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28F1743D" w:rsidR="00B55332" w:rsidRPr="005E166E" w:rsidRDefault="00B55332" w:rsidP="00B55332">
      <w:pPr>
        <w:jc w:val="both"/>
        <w:rPr>
          <w:i/>
          <w:sz w:val="26"/>
          <w:szCs w:val="26"/>
        </w:rPr>
      </w:pPr>
      <w:r w:rsidRPr="005E166E">
        <w:rPr>
          <w:i/>
          <w:sz w:val="26"/>
          <w:szCs w:val="26"/>
        </w:rPr>
        <w:t>Hydrological conditions predict wood density in Australian riparian plants</w:t>
      </w:r>
    </w:p>
    <w:p w14:paraId="0DB80BF4" w14:textId="4CBD7F21" w:rsidR="005E166E" w:rsidRPr="005E166E" w:rsidRDefault="005E166E" w:rsidP="00B55332">
      <w:pPr>
        <w:jc w:val="both"/>
      </w:pPr>
      <w:r w:rsidRPr="005E166E">
        <w:t>Lawson, James R., Leishman, Michelle R.</w:t>
      </w:r>
    </w:p>
    <w:p w14:paraId="319286A9" w14:textId="77777777" w:rsidR="005E166E" w:rsidRPr="00EA700F" w:rsidRDefault="005E166E" w:rsidP="00B55332">
      <w:pPr>
        <w:jc w:val="both"/>
        <w:rPr>
          <w:b/>
        </w:rPr>
      </w:pPr>
    </w:p>
    <w:p w14:paraId="54155B8B" w14:textId="2ED43D9D" w:rsidR="005E166E" w:rsidRDefault="005779AB" w:rsidP="00B55332">
      <w:pPr>
        <w:jc w:val="both"/>
        <w:rPr>
          <w:b/>
        </w:rPr>
      </w:pPr>
      <w:r>
        <w:rPr>
          <w:b/>
        </w:rPr>
        <w:t>Abstract</w:t>
      </w:r>
    </w:p>
    <w:p w14:paraId="3544881A" w14:textId="6FCE758B" w:rsidR="005E166E" w:rsidRPr="005779AB" w:rsidRDefault="005779AB" w:rsidP="005779AB">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(1) wood density increases with frequency and magnitude of flooding disturbance (2) wood density increases as water availability in the riparian zone becomes less predictable, and (3) flooding and unpredictability of water availability induce environmental specialisation in wood density as they 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baseflow index, seasonality and inter-annual variability. Metrics describing the largest, most intense flood events throughout a river’s hydrological record were found to be strong positive predictors of mean wood density. Mean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 – particularly disturbance and environmental unpredictability, as determinants of ecological strategy in riparian plants.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B55332">
      <w:pPr>
        <w:jc w:val="both"/>
        <w:rPr>
          <w:b/>
        </w:rPr>
      </w:pPr>
    </w:p>
    <w:p w14:paraId="629E0A98" w14:textId="77777777" w:rsidR="005E166E" w:rsidRDefault="005E166E" w:rsidP="00B55332">
      <w:pPr>
        <w:jc w:val="both"/>
        <w:rPr>
          <w:b/>
        </w:rPr>
      </w:pPr>
    </w:p>
    <w:p w14:paraId="22304C8B" w14:textId="77777777" w:rsidR="005E166E" w:rsidRDefault="005E166E" w:rsidP="00B55332">
      <w:pPr>
        <w:jc w:val="both"/>
        <w:rPr>
          <w:b/>
        </w:rPr>
      </w:pPr>
    </w:p>
    <w:p w14:paraId="0BD27220" w14:textId="77777777" w:rsidR="005E166E" w:rsidRDefault="005E166E" w:rsidP="00B55332">
      <w:pPr>
        <w:jc w:val="both"/>
        <w:rPr>
          <w:b/>
        </w:rPr>
      </w:pPr>
    </w:p>
    <w:p w14:paraId="42BED1DA" w14:textId="77777777" w:rsidR="005E166E" w:rsidRDefault="005E166E" w:rsidP="00B55332">
      <w:pPr>
        <w:jc w:val="both"/>
        <w:rPr>
          <w:b/>
        </w:rPr>
      </w:pPr>
    </w:p>
    <w:p w14:paraId="1F6408EA" w14:textId="77777777" w:rsidR="005E166E" w:rsidRDefault="005E166E" w:rsidP="00B55332">
      <w:pPr>
        <w:jc w:val="both"/>
        <w:rPr>
          <w:b/>
        </w:rPr>
      </w:pPr>
    </w:p>
    <w:p w14:paraId="38B776A4" w14:textId="77777777" w:rsidR="005E166E" w:rsidRDefault="005E166E" w:rsidP="00B55332">
      <w:pPr>
        <w:jc w:val="both"/>
        <w:rPr>
          <w:b/>
        </w:rPr>
      </w:pPr>
    </w:p>
    <w:p w14:paraId="50A19582" w14:textId="77777777" w:rsidR="005E166E" w:rsidRDefault="005E166E" w:rsidP="00B55332">
      <w:pPr>
        <w:jc w:val="both"/>
        <w:rPr>
          <w:b/>
        </w:rPr>
      </w:pPr>
    </w:p>
    <w:p w14:paraId="6EC69B7A" w14:textId="77777777" w:rsidR="005E166E" w:rsidRDefault="005E166E" w:rsidP="00B55332">
      <w:pPr>
        <w:jc w:val="both"/>
        <w:rPr>
          <w:b/>
        </w:rPr>
      </w:pPr>
    </w:p>
    <w:p w14:paraId="7C2FBD7D" w14:textId="77777777" w:rsidR="005E166E" w:rsidRDefault="005E166E" w:rsidP="00B55332">
      <w:pPr>
        <w:jc w:val="both"/>
        <w:rPr>
          <w:b/>
        </w:rPr>
      </w:pPr>
    </w:p>
    <w:p w14:paraId="39B78FE6" w14:textId="77777777" w:rsidR="005E166E" w:rsidRPr="00EA700F" w:rsidRDefault="005E166E" w:rsidP="00B55332">
      <w:pPr>
        <w:jc w:val="both"/>
        <w:rPr>
          <w:b/>
        </w:rPr>
      </w:pPr>
    </w:p>
    <w:p w14:paraId="1E23D72B" w14:textId="77777777" w:rsidR="00B634E6" w:rsidRPr="00EA700F" w:rsidRDefault="00B634E6" w:rsidP="00B55332">
      <w:pPr>
        <w:jc w:val="both"/>
        <w:rPr>
          <w:b/>
        </w:rPr>
      </w:pPr>
      <w:r w:rsidRPr="00EA700F">
        <w:rPr>
          <w:b/>
        </w:rPr>
        <w:lastRenderedPageBreak/>
        <w:t>Introduction</w:t>
      </w:r>
    </w:p>
    <w:p w14:paraId="600251EE" w14:textId="655351FA" w:rsidR="00B634E6" w:rsidRPr="00EA700F" w:rsidRDefault="00B634E6" w:rsidP="00B55332">
      <w:pPr>
        <w:spacing w:line="360" w:lineRule="auto"/>
        <w:jc w:val="both"/>
        <w:rPr>
          <w:lang w:val="en-US"/>
        </w:rPr>
      </w:pPr>
      <w:r w:rsidRPr="00EA700F">
        <w:rPr>
          <w:lang w:val="en-US"/>
        </w:rPr>
        <w:t xml:space="preserve">Functional trait oriented approaches to understanding community assembly </w:t>
      </w:r>
      <w:r w:rsidRPr="00EA700F">
        <w:rPr>
          <w:lang w:val="en-US"/>
        </w:rPr>
        <w:fldChar w:fldCharType="begin" w:fldLock="1"/>
      </w:r>
      <w:r w:rsidR="00ED02F3">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"previouslyFormattedCitation" : "(McGill, Enquist, Weiher, &amp; Westoby, 2006)" }, "properties" : { "noteIndex" : 0 }, "schema" : "https://github.com/citation-style-language/schema/raw/master/csl-citation.json" }</w:instrText>
      </w:r>
      <w:r w:rsidRPr="00EA700F">
        <w:rPr>
          <w:lang w:val="en-US"/>
        </w:rPr>
        <w:fldChar w:fldCharType="separate"/>
      </w:r>
      <w:r w:rsidRPr="00EA700F">
        <w:rPr>
          <w:noProof/>
          <w:lang w:val="en-US"/>
        </w:rPr>
        <w:t>(McGill, Enquist, Weiher, &amp; Westoby, 2006)</w:t>
      </w:r>
      <w:r w:rsidRPr="00EA700F">
        <w:rPr>
          <w:lang w:val="en-US"/>
        </w:rPr>
        <w:fldChar w:fldCharType="end"/>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ED02F3">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sidRPr="00EA700F">
        <w:rPr>
          <w:lang w:val="en-US"/>
        </w:rPr>
        <w:fldChar w:fldCharType="separate"/>
      </w:r>
      <w:r w:rsidRPr="00EA700F">
        <w:rPr>
          <w:noProof/>
          <w:lang w:val="en-US"/>
        </w:rPr>
        <w:t>(Kattge et al.,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ED02F3">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sidRPr="00EA700F">
        <w:rPr>
          <w:lang w:val="en-US"/>
        </w:rPr>
        <w:fldChar w:fldCharType="separate"/>
      </w:r>
      <w:r w:rsidRPr="00EA700F">
        <w:rPr>
          <w:noProof/>
          <w:lang w:val="en-US"/>
        </w:rPr>
        <w:t>(Westoby, Falster, Moles, Vesk, &amp; Wright, 2002)</w:t>
      </w:r>
      <w:r w:rsidRPr="00EA700F">
        <w:rPr>
          <w:lang w:val="en-US"/>
        </w:rPr>
        <w:fldChar w:fldCharType="end"/>
      </w:r>
      <w:r w:rsidRPr="00EA700F">
        <w:rPr>
          <w:lang w:val="en-US"/>
        </w:rPr>
        <w:t xml:space="preserve">. </w:t>
      </w:r>
    </w:p>
    <w:p w14:paraId="540DF1F9" w14:textId="381DAE01" w:rsidR="00B634E6" w:rsidRPr="00EA700F" w:rsidRDefault="00B634E6" w:rsidP="00B55332">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ED02F3">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EA700F">
        <w:fldChar w:fldCharType="separate"/>
      </w:r>
      <w:r w:rsidRPr="00EA700F">
        <w:rPr>
          <w:noProof/>
        </w:rPr>
        <w:t>(Merritt, Scott, Poff, Auble, &amp; Lytle, 2010)</w:t>
      </w:r>
      <w:r w:rsidRPr="00EA700F">
        <w:fldChar w:fldCharType="end"/>
      </w:r>
      <w:r w:rsidRPr="00EA700F">
        <w:t xml:space="preserve">. These are the conditions which are likely to dictate success of a particular 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ED02F3">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EA700F">
        <w:rPr>
          <w:lang w:val="en-US"/>
        </w:rPr>
        <w:fldChar w:fldCharType="separate"/>
      </w:r>
      <w:r w:rsidRPr="00EA700F">
        <w:rPr>
          <w:noProof/>
          <w:lang w:val="en-US"/>
        </w:rPr>
        <w:t>(Catford et al., 2012; Merritt et al., 2010)</w:t>
      </w:r>
      <w:r w:rsidRPr="00EA700F">
        <w:rPr>
          <w:lang w:val="en-US"/>
        </w:rPr>
        <w:fldChar w:fldCharType="end"/>
      </w:r>
      <w:r w:rsidRPr="00EA700F">
        <w:rPr>
          <w:lang w:val="en-US"/>
        </w:rPr>
        <w:t xml:space="preserve">. </w:t>
      </w:r>
      <w:r w:rsidRPr="00EA700F">
        <w:t xml:space="preserve"> While ecohydrological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ED02F3">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"(Arthington et al., 2012; Poff et al., 2010)" }, "properties" : { "noteIndex" : 0 }, "schema" : "https://github.com/citation-style-language/schema/raw/master/csl-citation.json" }</w:instrText>
      </w:r>
      <w:r w:rsidR="007137EA" w:rsidRPr="00EA700F">
        <w:fldChar w:fldCharType="separate"/>
      </w:r>
      <w:r w:rsidR="007137EA" w:rsidRPr="00EA700F">
        <w:rPr>
          <w:noProof/>
        </w:rPr>
        <w:t>(Arthington et al., 2012; Poff et al., 2010)</w:t>
      </w:r>
      <w:r w:rsidR="007137EA" w:rsidRPr="00EA700F">
        <w:fldChar w:fldCharType="end"/>
      </w:r>
      <w:r w:rsidRPr="00EA700F">
        <w:t xml:space="preserve">, functional approaches in ecohydrology </w:t>
      </w:r>
      <w:r w:rsidR="00EA700F" w:rsidRPr="00EA700F">
        <w:t>remain</w:t>
      </w:r>
      <w:r w:rsidRPr="00EA700F">
        <w:t xml:space="preserve"> novel.  </w:t>
      </w:r>
    </w:p>
    <w:p w14:paraId="3608C77B" w14:textId="3EB27941" w:rsidR="00B634E6" w:rsidRPr="00EA700F" w:rsidRDefault="00B634E6" w:rsidP="00B55332">
      <w:pPr>
        <w:spacing w:line="360" w:lineRule="auto"/>
        <w:jc w:val="both"/>
      </w:pPr>
      <w:r w:rsidRPr="00EA700F">
        <w:t xml:space="preserve">Woody plants determine the coarse physical structure of many riparian plant communities and are integral to the interplay of biological and physical elements that drive fluvial biogeomorphic processes </w:t>
      </w:r>
      <w:r w:rsidRPr="00EA700F">
        <w:fldChar w:fldCharType="begin" w:fldLock="1"/>
      </w:r>
      <w:r w:rsidR="00ED02F3">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rsidRPr="00EA700F">
        <w:fldChar w:fldCharType="separate"/>
      </w:r>
      <w:r w:rsidRPr="00EA700F">
        <w:rPr>
          <w:noProof/>
        </w:rPr>
        <w:t>(Corenblit, Steiger, Gurnell, Tabacchi, &amp; Roques, 2009)</w:t>
      </w:r>
      <w:r w:rsidRPr="00EA700F">
        <w:fldChar w:fldCharType="end"/>
      </w:r>
      <w:r w:rsidRPr="00EA700F">
        <w:t>. Consequently, an understanding of the mechanisms of riparian woody plant community assembly will provide important insights into 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ED02F3">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ED02F3">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Pr="00EA700F">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ED02F3">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rsidRPr="00EA700F">
        <w:fldChar w:fldCharType="separate"/>
      </w:r>
      <w:r w:rsidRPr="00EA700F">
        <w:rPr>
          <w:noProof/>
        </w:rPr>
        <w:t>(Westoby et al.,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ED02F3">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rsidRPr="00EA700F">
        <w:fldChar w:fldCharType="separate"/>
      </w:r>
      <w:r w:rsidRPr="00EA700F">
        <w:rPr>
          <w:noProof/>
        </w:rPr>
        <w:t>(Chave et al., 2009)</w:t>
      </w:r>
      <w:r w:rsidRPr="00EA700F">
        <w:fldChar w:fldCharType="end"/>
      </w:r>
      <w:r w:rsidRPr="00EA700F">
        <w:t xml:space="preserve">. Combined variation in these traits corresponds to the wide range of ecological strategies among woody plants. </w:t>
      </w:r>
    </w:p>
    <w:p w14:paraId="69EFCEC6" w14:textId="3517A012" w:rsidR="00EA700F" w:rsidRDefault="00B634E6" w:rsidP="00B55332">
      <w:pPr>
        <w:spacing w:line="360" w:lineRule="auto"/>
        <w:jc w:val="both"/>
      </w:pPr>
      <w:r w:rsidRPr="00EA700F">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w:t>
      </w:r>
      <w:r w:rsidRPr="00EA700F">
        <w:lastRenderedPageBreak/>
        <w:t>studies</w:t>
      </w:r>
      <w:r w:rsidR="00EA700F">
        <w:t>,</w:t>
      </w:r>
      <w:r w:rsidRPr="00EA700F">
        <w:t xml:space="preserve"> </w:t>
      </w:r>
      <w:r w:rsidR="00EA700F">
        <w:t>and</w:t>
      </w:r>
      <w:r w:rsidRPr="00EA700F">
        <w:t xml:space="preserve"> can provide some insight into the importance of variation in wood density in riparian communities. Dense wood confers mechanical stiffness </w:t>
      </w:r>
      <w:r w:rsidRPr="00EA700F">
        <w:fldChar w:fldCharType="begin" w:fldLock="1"/>
      </w:r>
      <w:r w:rsidR="00ED02F3">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rsidRPr="00EA700F">
        <w:fldChar w:fldCharType="separate"/>
      </w:r>
      <w:r w:rsidRPr="00EA700F">
        <w:rPr>
          <w:noProof/>
        </w:rPr>
        <w:t>(D. S. Falster, 2006; Niklas &amp; Spatz, 2010)</w:t>
      </w:r>
      <w:r w:rsidRPr="00EA700F">
        <w:fldChar w:fldCharType="end"/>
      </w:r>
      <w:r w:rsidRPr="00EA700F">
        <w:t xml:space="preserve">, as well as resistance to pathogens </w:t>
      </w:r>
      <w:r w:rsidRPr="00EA700F">
        <w:fldChar w:fldCharType="begin" w:fldLock="1"/>
      </w:r>
      <w:r w:rsidR="00ED02F3">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Pr="00EA700F">
        <w:rPr>
          <w:noProof/>
        </w:rPr>
        <w:t>(Augspurger &amp; Kelly, 1984)</w:t>
      </w:r>
      <w:r w:rsidRPr="00EA700F">
        <w:fldChar w:fldCharType="end"/>
      </w:r>
      <w:r w:rsidRPr="00EA700F">
        <w:t xml:space="preserve"> and herbivory </w:t>
      </w:r>
      <w:r w:rsidRPr="00EA700F">
        <w:fldChar w:fldCharType="begin" w:fldLock="1"/>
      </w:r>
      <w:r w:rsidR="00ED02F3">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Pr="00EA700F">
        <w:rPr>
          <w:noProof/>
        </w:rPr>
        <w:t>(Coley, 1983)</w:t>
      </w:r>
      <w:r w:rsidRPr="00EA700F">
        <w:fldChar w:fldCharType="end"/>
      </w:r>
      <w:r w:rsidRPr="00EA700F">
        <w:t>, but requires more investment of biomass and is therefore more costly to construct per unit of stem height.</w:t>
      </w:r>
    </w:p>
    <w:p w14:paraId="09D9945A" w14:textId="439DB0A3" w:rsidR="00B634E6" w:rsidRPr="00EA700F" w:rsidRDefault="00B634E6" w:rsidP="00B55332">
      <w:pPr>
        <w:spacing w:line="360" w:lineRule="auto"/>
        <w:jc w:val="both"/>
      </w:pPr>
      <w:r w:rsidRPr="00EA700F">
        <w:t xml:space="preserve">According to this trade-off, it follows that several relationships between wood density and life-history strategy are apparent: studies of tropical rainforest species have shown an inverse relationship between growth rate and wood density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Kraft, Metz, Condit, &amp; Chave,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Davies, Tan, &amp; Noor, 2006; Kraft, Metz, Condit, &amp; Chave, 2010; L Poorter et al., 2008; Lourens Poorter et al., 2010; Wright et al.,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ED02F3">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rsidRPr="00EA700F">
        <w:fldChar w:fldCharType="separate"/>
      </w:r>
      <w:r w:rsidRPr="00EA700F">
        <w:rPr>
          <w:noProof/>
        </w:rPr>
        <w:t>(Russo et al.,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Kraft et al.,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et al., 2006; Kraft et al., 2010; L Poorter et al., 2008; Lourens Poorter et al., 2010; Wright et al.,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ED02F3">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wood density of rainforest trees was indicative of both damage sustained and subsequent recovery of biomass. Trees with dense wood were more likely to have experienced only minor damage, while of those trees that experienced major stem and branch damage, lower wood density trees were more likely to resprout and recover biomass faster post-disturbance </w:t>
      </w:r>
      <w:r w:rsidRPr="00EA700F">
        <w:fldChar w:fldCharType="begin" w:fldLock="1"/>
      </w:r>
      <w:r w:rsidR="00ED02F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rsidRPr="00EA700F">
        <w:fldChar w:fldCharType="separate"/>
      </w:r>
      <w:r w:rsidRPr="00EA700F">
        <w:rPr>
          <w:noProof/>
        </w:rPr>
        <w:t>(Curran, Gersbach, Edwards, &amp; Krockenberger, 2008)</w:t>
      </w:r>
      <w:r w:rsidRPr="00EA700F">
        <w:fldChar w:fldCharType="end"/>
      </w:r>
      <w:r w:rsidRPr="00EA700F">
        <w:t xml:space="preserve">. Thus it seems likely that these observed relationships between wood density and recovery from disturbance at the individual level, as well as post-disturbance succession at the community level, </w:t>
      </w:r>
      <w:r w:rsidR="00CD354D">
        <w:t>should also</w:t>
      </w:r>
      <w:r w:rsidRPr="00EA700F">
        <w:t xml:space="preserve"> be true for riparian systems. </w:t>
      </w:r>
    </w:p>
    <w:p w14:paraId="06673F74" w14:textId="6DB2FE58" w:rsidR="00B634E6" w:rsidRPr="00EA700F" w:rsidRDefault="00621641" w:rsidP="00B55332">
      <w:pPr>
        <w:spacing w:line="360" w:lineRule="auto"/>
        <w:jc w:val="both"/>
      </w:pPr>
      <w:r>
        <w:t>While riparian plants have the best access to water in a landscape, dramatic fluctuations in soil moisture are often characteristic of the riparian environment. Ecological strategies for coping with intermittent water scarcity may therefore be adaptive under these conditions. The relationship between wood density and precipitation-driven patterns of soil moisture is unclear. S</w:t>
      </w:r>
      <w:r w:rsidR="00B634E6" w:rsidRPr="00EA700F">
        <w:t>ome studies (</w:t>
      </w:r>
      <w:r w:rsidR="00B634E6" w:rsidRPr="00EA700F">
        <w:fldChar w:fldCharType="begin" w:fldLock="1"/>
      </w:r>
      <w:r w:rsidR="00ED02F3">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 &amp; Williamson, 2002</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 rainfall while others (</w:t>
      </w:r>
      <w:r w:rsidR="00B634E6" w:rsidRPr="00EA700F">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rsidR="00B634E6" w:rsidRPr="00EA700F">
        <w:fldChar w:fldCharType="separate"/>
      </w:r>
      <w:r w:rsidR="00B634E6" w:rsidRPr="00EA700F">
        <w:rPr>
          <w:noProof/>
        </w:rPr>
        <w:t>Martínez-Cabrera, Jones, Espino, &amp; Schenk, 2009</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precipitation across a transcontinental gradient, and with soil moisture, respectively. High </w:t>
      </w:r>
      <w:r w:rsidR="00B634E6" w:rsidRPr="00621641">
        <w:t>wood density, along with low SLA and low maximum height, has been associated with environmental stress tolerance and conservative use of resources</w:t>
      </w:r>
      <w:r w:rsidR="00CD354D">
        <w:t xml:space="preserve"> </w:t>
      </w:r>
      <w:r w:rsidR="00CD354D">
        <w:fldChar w:fldCharType="begin" w:fldLock="1"/>
      </w:r>
      <w:r w:rsidR="00ED02F3">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"(Reich &amp; Wright, 2003; Swenson &amp; Enquist, 2007; Westoby, 1998)" }, "properties" : { "noteIndex" : 0 }, "schema" : "https://github.com/citation-style-language/schema/raw/master/csl-citation.json" }</w:instrText>
      </w:r>
      <w:r w:rsidR="00CD354D">
        <w:fldChar w:fldCharType="separate"/>
      </w:r>
      <w:r w:rsidR="00CD354D" w:rsidRPr="00CD354D">
        <w:rPr>
          <w:noProof/>
        </w:rPr>
        <w:t>(Reich &amp; Wright, 2003; Swenson &amp; Enquist, 2007; Westoby, 1998)</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CEF2E40" w:rsidR="00B634E6" w:rsidRPr="00EA700F" w:rsidRDefault="00CD354D" w:rsidP="00B55332">
      <w:pPr>
        <w:spacing w:line="360" w:lineRule="auto"/>
        <w:jc w:val="both"/>
      </w:pPr>
      <w:r>
        <w:lastRenderedPageBreak/>
        <w:t xml:space="preserve">Given 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the 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r w:rsidR="00B634E6" w:rsidRPr="00CD354D">
        <w:t>We sought to address the following questions:</w:t>
      </w:r>
      <w:r w:rsidR="00B634E6" w:rsidRPr="00EA700F">
        <w:t xml:space="preserve">  (1) do riparian vegetation communities along hydrologically distinct classes of river exhibit differences in wood density? (2) is wood density related to the frequency and magnitude of flood disturbance? (3) is wood density related to predictability of water ava</w:t>
      </w:r>
      <w:r>
        <w:t>ilability in the riparian zone?</w:t>
      </w:r>
    </w:p>
    <w:p w14:paraId="1CE0F579" w14:textId="77777777" w:rsidR="00A87877" w:rsidRPr="00EA700F" w:rsidRDefault="00A87877" w:rsidP="00B55332">
      <w:pPr>
        <w:spacing w:line="360" w:lineRule="auto"/>
        <w:jc w:val="both"/>
      </w:pPr>
    </w:p>
    <w:p w14:paraId="1338AB1E" w14:textId="77777777" w:rsidR="00A87877" w:rsidRPr="00EA700F" w:rsidRDefault="00A87877" w:rsidP="00B55332">
      <w:pPr>
        <w:spacing w:line="360" w:lineRule="auto"/>
        <w:jc w:val="both"/>
      </w:pPr>
    </w:p>
    <w:p w14:paraId="5ACFD6B2" w14:textId="77777777" w:rsidR="00A87877" w:rsidRPr="00EA700F" w:rsidRDefault="00A87877" w:rsidP="00B55332">
      <w:pPr>
        <w:spacing w:line="360" w:lineRule="auto"/>
        <w:jc w:val="both"/>
      </w:pPr>
    </w:p>
    <w:p w14:paraId="6882176A" w14:textId="77777777" w:rsidR="00A87877" w:rsidRPr="00EA700F" w:rsidRDefault="00A87877" w:rsidP="00B55332">
      <w:pPr>
        <w:spacing w:line="360" w:lineRule="auto"/>
        <w:jc w:val="both"/>
      </w:pPr>
    </w:p>
    <w:p w14:paraId="6974AA06" w14:textId="77777777" w:rsidR="00A87877" w:rsidRPr="00EA700F" w:rsidRDefault="00A87877" w:rsidP="00B55332">
      <w:pPr>
        <w:spacing w:line="360" w:lineRule="auto"/>
        <w:jc w:val="both"/>
      </w:pPr>
    </w:p>
    <w:p w14:paraId="346B9FB9" w14:textId="77777777" w:rsidR="00A87877" w:rsidRPr="00EA700F" w:rsidRDefault="00A87877" w:rsidP="00B55332">
      <w:pPr>
        <w:spacing w:line="360" w:lineRule="auto"/>
        <w:jc w:val="both"/>
      </w:pPr>
    </w:p>
    <w:p w14:paraId="769023A6" w14:textId="77777777" w:rsidR="00A87877" w:rsidRPr="00EA700F" w:rsidRDefault="00A87877" w:rsidP="00B55332">
      <w:pPr>
        <w:spacing w:line="360" w:lineRule="auto"/>
        <w:jc w:val="both"/>
      </w:pPr>
    </w:p>
    <w:p w14:paraId="264DD19D" w14:textId="77777777" w:rsidR="00A87877" w:rsidRPr="00EA700F" w:rsidRDefault="00A87877" w:rsidP="00B55332">
      <w:pPr>
        <w:spacing w:line="360" w:lineRule="auto"/>
        <w:jc w:val="both"/>
      </w:pPr>
    </w:p>
    <w:p w14:paraId="1EC4ABD7" w14:textId="77777777" w:rsidR="00A87877" w:rsidRPr="00EA700F" w:rsidRDefault="00A87877" w:rsidP="00B55332">
      <w:pPr>
        <w:spacing w:line="360" w:lineRule="auto"/>
        <w:jc w:val="both"/>
      </w:pPr>
    </w:p>
    <w:p w14:paraId="4A42108E" w14:textId="77777777" w:rsidR="00A87877" w:rsidRPr="00EA700F" w:rsidRDefault="00A87877" w:rsidP="00B55332">
      <w:pPr>
        <w:spacing w:line="360" w:lineRule="auto"/>
        <w:jc w:val="both"/>
      </w:pPr>
    </w:p>
    <w:p w14:paraId="543DF779" w14:textId="77777777" w:rsidR="00A87877" w:rsidRPr="00EA700F" w:rsidRDefault="00A87877" w:rsidP="00B55332">
      <w:pPr>
        <w:spacing w:line="360" w:lineRule="auto"/>
        <w:jc w:val="both"/>
      </w:pPr>
    </w:p>
    <w:p w14:paraId="7204AB58" w14:textId="77777777" w:rsidR="00A87877" w:rsidRPr="00EA700F" w:rsidRDefault="00A87877" w:rsidP="00B55332">
      <w:pPr>
        <w:spacing w:line="360" w:lineRule="auto"/>
        <w:jc w:val="both"/>
      </w:pPr>
    </w:p>
    <w:p w14:paraId="56D07857" w14:textId="77777777" w:rsidR="00A87877" w:rsidRDefault="00A87877" w:rsidP="00B55332">
      <w:pPr>
        <w:spacing w:line="360" w:lineRule="auto"/>
        <w:jc w:val="both"/>
      </w:pPr>
    </w:p>
    <w:p w14:paraId="793CF3FB" w14:textId="77777777" w:rsidR="007018A5" w:rsidRDefault="007018A5" w:rsidP="00B55332">
      <w:pPr>
        <w:spacing w:line="360" w:lineRule="auto"/>
        <w:jc w:val="both"/>
      </w:pPr>
    </w:p>
    <w:p w14:paraId="5515071B" w14:textId="77777777" w:rsidR="007018A5" w:rsidRDefault="007018A5" w:rsidP="00B55332">
      <w:pPr>
        <w:spacing w:line="360" w:lineRule="auto"/>
        <w:jc w:val="both"/>
      </w:pPr>
    </w:p>
    <w:p w14:paraId="21320C2B" w14:textId="77777777" w:rsidR="007018A5" w:rsidRDefault="007018A5" w:rsidP="00B55332">
      <w:pPr>
        <w:spacing w:line="360" w:lineRule="auto"/>
        <w:jc w:val="both"/>
      </w:pPr>
    </w:p>
    <w:p w14:paraId="734BC2F1" w14:textId="77777777" w:rsidR="007018A5" w:rsidRDefault="007018A5" w:rsidP="00B55332">
      <w:pPr>
        <w:spacing w:line="360" w:lineRule="auto"/>
        <w:jc w:val="both"/>
      </w:pPr>
    </w:p>
    <w:p w14:paraId="481F70C7" w14:textId="77777777" w:rsidR="00617ABD" w:rsidRDefault="00617ABD" w:rsidP="00B55332">
      <w:pPr>
        <w:spacing w:line="360" w:lineRule="auto"/>
        <w:jc w:val="both"/>
      </w:pPr>
    </w:p>
    <w:p w14:paraId="30B80EE3" w14:textId="77777777" w:rsidR="00617ABD" w:rsidRPr="00EA700F" w:rsidRDefault="00617ABD" w:rsidP="00B55332">
      <w:pPr>
        <w:spacing w:line="360" w:lineRule="auto"/>
        <w:jc w:val="both"/>
      </w:pPr>
    </w:p>
    <w:p w14:paraId="2B98D008" w14:textId="77777777" w:rsidR="00B634E6" w:rsidRPr="00EA700F" w:rsidRDefault="00B634E6" w:rsidP="00B55332">
      <w:pPr>
        <w:spacing w:line="360" w:lineRule="auto"/>
        <w:jc w:val="both"/>
        <w:rPr>
          <w:b/>
        </w:rPr>
      </w:pPr>
      <w:r w:rsidRPr="00EA700F">
        <w:rPr>
          <w:b/>
        </w:rPr>
        <w:lastRenderedPageBreak/>
        <w:t>Methods</w:t>
      </w:r>
    </w:p>
    <w:p w14:paraId="20719208" w14:textId="77777777" w:rsidR="00B634E6" w:rsidRPr="00EA700F" w:rsidRDefault="00B634E6" w:rsidP="00B55332">
      <w:pPr>
        <w:spacing w:line="360" w:lineRule="auto"/>
        <w:jc w:val="both"/>
        <w:rPr>
          <w:b/>
        </w:rPr>
      </w:pPr>
      <w:r w:rsidRPr="00EA700F">
        <w:rPr>
          <w:b/>
        </w:rPr>
        <w:t>Study site selection</w:t>
      </w:r>
    </w:p>
    <w:p w14:paraId="3FFC0F8D" w14:textId="649D0450" w:rsidR="00B634E6" w:rsidRPr="00EA700F" w:rsidRDefault="00B634E6" w:rsidP="00B55332">
      <w:pPr>
        <w:spacing w:line="360" w:lineRule="auto"/>
        <w:jc w:val="both"/>
      </w:pPr>
      <w:r w:rsidRPr="00EA700F">
        <w:t>Fifteen riparian sites were selected along gauged rivers within the South-East Coast 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ED02F3">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methodology for determining a minimally redundant set of hydrological descriptors. </w:t>
      </w:r>
      <w:r w:rsidRPr="00EA700F">
        <w:fldChar w:fldCharType="begin" w:fldLock="1"/>
      </w:r>
      <w:r w:rsidR="00ED02F3">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xml:space="preserve">) followed this methodology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baseflow’, ‘unpredictable baseflow’ and ‘unpredictable intermittent’ hydrological classes, as described by Kennard et al. (2010). These are the best represented hydrological classes in eastern NSW and VIC, and represent a clear gradient over ecologically relevant hydrological </w:t>
      </w:r>
      <w:r w:rsidR="0085737E">
        <w:t>conditions</w:t>
      </w:r>
      <w:r w:rsidRPr="00EA700F">
        <w:t xml:space="preserve">. Five sites per hydrological class were selected based on the </w:t>
      </w:r>
      <w:r w:rsidR="0085737E">
        <w:t xml:space="preserve">following </w:t>
      </w:r>
      <w:r w:rsidRPr="00EA700F">
        <w:t>criteria</w:t>
      </w:r>
      <w:r w:rsidR="0085737E">
        <w:t>:</w:t>
      </w:r>
    </w:p>
    <w:p w14:paraId="6E129745" w14:textId="77777777" w:rsidR="007166A1" w:rsidRPr="00EA700F" w:rsidRDefault="007166A1" w:rsidP="007166A1">
      <w:pPr>
        <w:keepNext/>
        <w:spacing w:line="360" w:lineRule="auto"/>
        <w:jc w:val="both"/>
      </w:pPr>
      <w:r w:rsidRPr="00EA700F">
        <w:rPr>
          <w:noProof/>
          <w:lang w:eastAsia="en-AU"/>
        </w:rPr>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5106174" cy="3700364"/>
                    </a:xfrm>
                    <a:prstGeom prst="rect">
                      <a:avLst/>
                    </a:prstGeom>
                  </pic:spPr>
                </pic:pic>
              </a:graphicData>
            </a:graphic>
          </wp:inline>
        </w:drawing>
      </w:r>
    </w:p>
    <w:p w14:paraId="1540BF97" w14:textId="5AE81C58" w:rsidR="007166A1" w:rsidRPr="00EA700F" w:rsidRDefault="007166A1" w:rsidP="007166A1">
      <w:pPr>
        <w:pStyle w:val="Caption"/>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r w:rsidR="00EF3710">
        <w:rPr>
          <w:sz w:val="22"/>
          <w:szCs w:val="22"/>
        </w:rPr>
        <w:t>.</w:t>
      </w:r>
    </w:p>
    <w:p w14:paraId="20EA697E" w14:textId="617AC06F" w:rsidR="007166A1" w:rsidRPr="00EA700F" w:rsidRDefault="00B634E6" w:rsidP="007166A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 xml:space="preserve">tion or catchment urbanisation, following </w:t>
      </w:r>
      <w:r w:rsidR="0085737E">
        <w:lastRenderedPageBreak/>
        <w:t>Kennard et al. (</w:t>
      </w:r>
      <w:r w:rsidRPr="00EA700F">
        <w:t>2010). To minimise signals associated with human land-use, the following further criteria were used to shortlist possible study sites: intact native riparian vegetation cover (a band of native riparian vegetation extending &gt;15 m from the channel edge), natural geomorphic condition (lack of significant human-induced erosional or depositional landforms), and minimal catchment clearing (catchment predominantly covered by native vegetation). These criteria were assessed using a combination of visual inspection of satellite photography (Google Earth, Microsoft Bing), information from the NSW Riparian Vegetation Extent dataset and the NSW Office of Water River Styles® geospatial dataset (</w:t>
      </w:r>
      <w:r w:rsidRPr="00EA700F">
        <w:rPr>
          <w:rFonts w:cs="Helvetica"/>
        </w:rPr>
        <w:t>NSW Office of Water, Department of Primary Industries)</w:t>
      </w:r>
      <w:r w:rsidRPr="00EA700F">
        <w:t>. Large rivers with catchment area &gt;1000 km</w:t>
      </w:r>
      <w:r w:rsidRPr="00EA700F">
        <w:rPr>
          <w:vertAlign w:val="superscript"/>
        </w:rPr>
        <w:t>2</w:t>
      </w:r>
      <w:r w:rsidRPr="00EA700F">
        <w:t xml:space="preserve"> were </w:t>
      </w:r>
      <w:r w:rsidR="0085737E">
        <w:t>also</w:t>
      </w:r>
      <w:r w:rsidRPr="00EA700F">
        <w:t xml:space="preserve"> removed</w:t>
      </w:r>
      <w:r w:rsidR="0085737E">
        <w:t xml:space="preserve"> from consideration</w:t>
      </w:r>
      <w:r w:rsidRPr="00EA700F">
        <w:t xml:space="preserve">. To select the 15 study sites from this shortlist, accessibility by road, permission from state or private landholders, and proximity of accessible areas to continuous hydrological monitoring stations were considered. </w:t>
      </w:r>
    </w:p>
    <w:p w14:paraId="73905FE0" w14:textId="77777777" w:rsidR="007137EA" w:rsidRPr="00EA700F" w:rsidRDefault="007137EA" w:rsidP="007166A1">
      <w:pPr>
        <w:autoSpaceDE w:val="0"/>
        <w:autoSpaceDN w:val="0"/>
        <w:adjustRightInd w:val="0"/>
        <w:spacing w:after="0" w:line="360" w:lineRule="auto"/>
        <w:jc w:val="both"/>
      </w:pPr>
    </w:p>
    <w:p w14:paraId="7EADD1DD" w14:textId="77777777" w:rsidR="00B634E6" w:rsidRPr="00EA700F" w:rsidRDefault="00B634E6" w:rsidP="00B55332">
      <w:pPr>
        <w:spacing w:line="360" w:lineRule="auto"/>
        <w:jc w:val="both"/>
        <w:rPr>
          <w:b/>
        </w:rPr>
      </w:pPr>
      <w:r w:rsidRPr="00EA700F">
        <w:rPr>
          <w:b/>
        </w:rPr>
        <w:t>Species abundance and trait data collection</w:t>
      </w:r>
    </w:p>
    <w:p w14:paraId="6D58F635" w14:textId="3A7944A6" w:rsidR="00B634E6" w:rsidRPr="00EA700F" w:rsidRDefault="00B634E6" w:rsidP="00B55332">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Data collection was undertaken between December 2012 and May 2013. At each site, a 10 m by 50 m plot was marked out, with the longest </w:t>
      </w:r>
      <w:r w:rsidR="0085737E">
        <w:rPr>
          <w:rFonts w:eastAsia="Times New Roman" w:cs="Arial"/>
          <w:color w:val="222222"/>
          <w:lang w:eastAsia="en-AU"/>
        </w:rPr>
        <w:t>edge</w:t>
      </w:r>
      <w:r w:rsidRPr="00EA700F">
        <w:rPr>
          <w:rFonts w:eastAsia="Times New Roman" w:cs="Arial"/>
          <w:color w:val="222222"/>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EA700F" w:rsidRDefault="00B634E6" w:rsidP="00B55332">
      <w:pPr>
        <w:shd w:val="clear" w:color="auto" w:fill="FFFFFF"/>
        <w:spacing w:after="0" w:line="360" w:lineRule="auto"/>
        <w:jc w:val="both"/>
        <w:rPr>
          <w:rFonts w:eastAsia="Times New Roman" w:cs="Arial"/>
          <w:color w:val="222222"/>
          <w:lang w:eastAsia="en-AU"/>
        </w:rPr>
      </w:pPr>
    </w:p>
    <w:p w14:paraId="1B624205" w14:textId="594B5E43" w:rsidR="00B634E6" w:rsidRPr="00EA700F" w:rsidRDefault="00B634E6" w:rsidP="00B55332">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Proportional cover of woody vegetation was assessed at three levels: shrub (1-4 m), subcanopy (4-8 m) and canopy (&gt;8 m). Species were identified using appropriate field guides, and were verified against herbarium specimens at the Macquarie University Herbarium. Hard to identify specimens were identified by staff at the Royal Botanic Gardens, Sydney. </w:t>
      </w:r>
    </w:p>
    <w:p w14:paraId="0E60DE90" w14:textId="3BCA750C" w:rsidR="00E665A9" w:rsidRPr="00EA700F" w:rsidRDefault="00B634E6" w:rsidP="00B55332">
      <w:pPr>
        <w:pStyle w:val="Heading1"/>
        <w:shd w:val="clear" w:color="auto" w:fill="FFFFFF"/>
        <w:spacing w:before="240" w:beforeAutospacing="0" w:after="240" w:afterAutospacing="0" w:line="360" w:lineRule="auto"/>
        <w:jc w:val="both"/>
        <w:rPr>
          <w:rFonts w:asciiTheme="minorHAnsi" w:hAnsiTheme="minorHAnsi"/>
          <w:sz w:val="22"/>
          <w:szCs w:val="22"/>
        </w:rPr>
      </w:pPr>
      <w:r w:rsidRPr="00EA700F">
        <w:rPr>
          <w:rFonts w:asciiTheme="minorHAnsi" w:hAnsiTheme="minorHAnsi" w:cs="Arial"/>
          <w:b w:val="0"/>
          <w:bCs w:val="0"/>
          <w:color w:val="222222"/>
          <w:sz w:val="22"/>
          <w:szCs w:val="22"/>
        </w:rPr>
        <w:t xml:space="preserve">Wood samples were collected from dominant woody species present within the plot at &gt;5% cover in shrub, sub canopy or canopy strata, and which had trunks robust enough to core. </w:t>
      </w:r>
      <w:r w:rsidR="0085737E" w:rsidRPr="00EA700F">
        <w:rPr>
          <w:rFonts w:asciiTheme="minorHAnsi" w:hAnsiTheme="minorHAnsi" w:cs="Arial"/>
          <w:b w:val="0"/>
          <w:bCs w:val="0"/>
          <w:color w:val="222222"/>
          <w:sz w:val="22"/>
          <w:szCs w:val="22"/>
        </w:rPr>
        <w:t>100 mm wood sample</w:t>
      </w:r>
      <w:r w:rsidR="0085737E">
        <w:rPr>
          <w:rFonts w:asciiTheme="minorHAnsi" w:hAnsiTheme="minorHAnsi" w:cs="Arial"/>
          <w:b w:val="0"/>
          <w:bCs w:val="0"/>
          <w:color w:val="222222"/>
          <w:sz w:val="22"/>
          <w:szCs w:val="22"/>
        </w:rPr>
        <w:t>s</w:t>
      </w:r>
      <w:r w:rsidR="0085737E" w:rsidRPr="00EA700F">
        <w:rPr>
          <w:rFonts w:asciiTheme="minorHAnsi" w:hAnsiTheme="minorHAnsi" w:cs="Arial"/>
          <w:b w:val="0"/>
          <w:bCs w:val="0"/>
          <w:color w:val="222222"/>
          <w:sz w:val="22"/>
          <w:szCs w:val="22"/>
        </w:rPr>
        <w:t xml:space="preserve"> from each of two individuals per species </w:t>
      </w:r>
      <w:r w:rsidR="0085737E">
        <w:rPr>
          <w:rFonts w:asciiTheme="minorHAnsi" w:hAnsiTheme="minorHAnsi" w:cs="Arial"/>
          <w:b w:val="0"/>
          <w:bCs w:val="0"/>
          <w:color w:val="222222"/>
          <w:sz w:val="22"/>
          <w:szCs w:val="22"/>
        </w:rPr>
        <w:t>were extracted using a</w:t>
      </w:r>
      <w:r w:rsidRPr="00EA700F">
        <w:rPr>
          <w:rFonts w:asciiTheme="minorHAnsi" w:hAnsiTheme="minorHAnsi" w:cs="Arial"/>
          <w:b w:val="0"/>
          <w:bCs w:val="0"/>
          <w:color w:val="222222"/>
          <w:sz w:val="22"/>
          <w:szCs w:val="22"/>
        </w:rPr>
        <w:t xml:space="preserve"> 5.15 mm diameter, triple threaded increment borer (Hagl</w:t>
      </w:r>
      <w:r w:rsidRPr="00EA700F">
        <w:rPr>
          <w:rFonts w:asciiTheme="minorHAnsi" w:hAnsiTheme="minorHAnsi"/>
          <w:b w:val="0"/>
          <w:color w:val="2A343A"/>
          <w:sz w:val="22"/>
          <w:szCs w:val="22"/>
        </w:rPr>
        <w:t>ö</w:t>
      </w:r>
      <w:r w:rsidRPr="00EA700F">
        <w:rPr>
          <w:rFonts w:asciiTheme="minorHAnsi" w:hAnsiTheme="minorHAnsi" w:cs="Arial"/>
          <w:b w:val="0"/>
          <w:bCs w:val="0"/>
          <w:color w:val="222222"/>
          <w:sz w:val="22"/>
          <w:szCs w:val="22"/>
        </w:rPr>
        <w:t>f Sweden)</w:t>
      </w:r>
      <w:r w:rsidR="0085737E">
        <w:rPr>
          <w:rFonts w:asciiTheme="minorHAnsi" w:hAnsiTheme="minorHAnsi" w:cs="Arial"/>
          <w:b w:val="0"/>
          <w:bCs w:val="0"/>
          <w:color w:val="222222"/>
          <w:sz w:val="22"/>
          <w:szCs w:val="22"/>
        </w:rPr>
        <w:t>.</w:t>
      </w:r>
      <w:r w:rsidRPr="00EA700F">
        <w:rPr>
          <w:rFonts w:asciiTheme="minorHAnsi" w:hAnsiTheme="minorHAnsi" w:cs="Arial"/>
          <w:b w:val="0"/>
          <w:bCs w:val="0"/>
          <w:color w:val="222222"/>
          <w:sz w:val="22"/>
          <w:szCs w:val="22"/>
        </w:rPr>
        <w:t xml:space="preserve"> Samples were extracted from the base of the main trunk, 10 cm above the leaf litter level, and air-dried at 20-45</w:t>
      </w:r>
      <w:r w:rsidR="006E5D88">
        <w:rPr>
          <w:rFonts w:asciiTheme="minorHAnsi" w:hAnsiTheme="minorHAnsi" w:cs="Arial"/>
          <w:b w:val="0"/>
          <w:bCs w:val="0"/>
          <w:color w:val="222222"/>
          <w:sz w:val="22"/>
          <w:szCs w:val="22"/>
        </w:rPr>
        <w:t xml:space="preserve"> </w:t>
      </w:r>
      <w:r w:rsidRPr="00EA700F">
        <w:rPr>
          <w:rFonts w:asciiTheme="minorHAnsi" w:hAnsiTheme="minorHAnsi" w:cs="Arial"/>
          <w:b w:val="0"/>
          <w:bCs w:val="0"/>
          <w:color w:val="222222"/>
          <w:sz w:val="22"/>
          <w:szCs w:val="22"/>
        </w:rPr>
        <w:t xml:space="preserve">°C. On return to the laboratory, samples were rehydrated in deionised water and </w:t>
      </w:r>
      <w:r w:rsidR="0085737E">
        <w:rPr>
          <w:rFonts w:asciiTheme="minorHAnsi" w:hAnsiTheme="minorHAnsi" w:cs="Arial"/>
          <w:b w:val="0"/>
          <w:bCs w:val="0"/>
          <w:color w:val="222222"/>
          <w:sz w:val="22"/>
          <w:szCs w:val="22"/>
        </w:rPr>
        <w:t>10 mm sections of mature w</w:t>
      </w:r>
      <w:r w:rsidR="00290091">
        <w:rPr>
          <w:rFonts w:asciiTheme="minorHAnsi" w:hAnsiTheme="minorHAnsi" w:cs="Arial"/>
          <w:b w:val="0"/>
          <w:bCs w:val="0"/>
          <w:color w:val="222222"/>
          <w:sz w:val="22"/>
          <w:szCs w:val="22"/>
        </w:rPr>
        <w:t>ood were cut with a razor</w:t>
      </w:r>
      <w:r w:rsidRPr="00EA700F">
        <w:rPr>
          <w:rFonts w:asciiTheme="minorHAnsi" w:hAnsiTheme="minorHAnsi" w:cs="Arial"/>
          <w:b w:val="0"/>
          <w:bCs w:val="0"/>
          <w:color w:val="222222"/>
          <w:sz w:val="22"/>
          <w:szCs w:val="22"/>
        </w:rPr>
        <w:t xml:space="preserve">, using visual inspection of vessel occlusion as an indicator of </w:t>
      </w:r>
      <w:r w:rsidR="00290091">
        <w:rPr>
          <w:rFonts w:asciiTheme="minorHAnsi" w:hAnsiTheme="minorHAnsi" w:cs="Arial"/>
          <w:b w:val="0"/>
          <w:bCs w:val="0"/>
          <w:color w:val="222222"/>
          <w:sz w:val="22"/>
          <w:szCs w:val="22"/>
        </w:rPr>
        <w:t>maturity</w:t>
      </w:r>
      <w:r w:rsidRPr="00EA700F">
        <w:rPr>
          <w:rFonts w:asciiTheme="minorHAnsi" w:hAnsiTheme="minorHAnsi" w:cs="Arial"/>
          <w:b w:val="0"/>
          <w:bCs w:val="0"/>
          <w:color w:val="222222"/>
          <w:sz w:val="22"/>
          <w:szCs w:val="22"/>
        </w:rPr>
        <w:t xml:space="preserve">. Sections were measured (x, y and z dimensions) with </w:t>
      </w:r>
      <w:r w:rsidR="00180A63" w:rsidRPr="00EA700F">
        <w:rPr>
          <w:rFonts w:asciiTheme="minorHAnsi" w:hAnsiTheme="minorHAnsi" w:cs="Arial"/>
          <w:b w:val="0"/>
          <w:bCs w:val="0"/>
          <w:color w:val="222222"/>
          <w:sz w:val="22"/>
          <w:szCs w:val="22"/>
        </w:rPr>
        <w:t>callipers</w:t>
      </w:r>
      <w:r w:rsidRPr="00EA700F">
        <w:rPr>
          <w:rFonts w:asciiTheme="minorHAnsi" w:hAnsiTheme="minorHAnsi" w:cs="Arial"/>
          <w:b w:val="0"/>
          <w:bCs w:val="0"/>
          <w:color w:val="222222"/>
          <w:sz w:val="22"/>
          <w:szCs w:val="22"/>
        </w:rPr>
        <w:t xml:space="preserve"> (Mitzuni) to calculate wet volume, then oven-dried at 80°C for 48 hours and weighed using a microbalance (Mettler Toledo). </w:t>
      </w:r>
      <w:r w:rsidRPr="00EA700F">
        <w:rPr>
          <w:rFonts w:asciiTheme="minorHAnsi" w:hAnsiTheme="minorHAnsi"/>
          <w:b w:val="0"/>
          <w:sz w:val="22"/>
          <w:szCs w:val="22"/>
        </w:rPr>
        <w:t>Wood density was then calculated as the ratio of oven dry mass to wet volume (g/cm</w:t>
      </w:r>
      <w:r w:rsidRPr="00EA700F">
        <w:rPr>
          <w:rFonts w:asciiTheme="minorHAnsi" w:hAnsiTheme="minorHAnsi"/>
          <w:b w:val="0"/>
          <w:sz w:val="22"/>
          <w:szCs w:val="22"/>
          <w:vertAlign w:val="superscript"/>
        </w:rPr>
        <w:t>3</w:t>
      </w:r>
      <w:r w:rsidRPr="00EA700F">
        <w:rPr>
          <w:rFonts w:asciiTheme="minorHAnsi" w:hAnsiTheme="minorHAnsi"/>
          <w:b w:val="0"/>
          <w:sz w:val="22"/>
          <w:szCs w:val="22"/>
        </w:rPr>
        <w:t>).</w:t>
      </w:r>
    </w:p>
    <w:p w14:paraId="3546F488" w14:textId="66B728B8" w:rsidR="00B634E6" w:rsidRPr="00EA700F" w:rsidRDefault="00B634E6" w:rsidP="00B55332">
      <w:pPr>
        <w:spacing w:line="360" w:lineRule="auto"/>
        <w:jc w:val="both"/>
        <w:rPr>
          <w:b/>
        </w:rPr>
      </w:pPr>
      <w:r w:rsidRPr="00EA700F">
        <w:rPr>
          <w:b/>
        </w:rPr>
        <w:lastRenderedPageBreak/>
        <w:t>Hydrological analysis</w:t>
      </w:r>
    </w:p>
    <w:p w14:paraId="7E1FE469" w14:textId="157C603C" w:rsidR="00B634E6" w:rsidRPr="00EA700F" w:rsidRDefault="00B634E6" w:rsidP="00B55332">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6" w:history="1">
        <w:r w:rsidRPr="00EA700F">
          <w:rPr>
            <w:rStyle w:val="Hyperlink"/>
          </w:rPr>
          <w:t>http://realtimedata.water.nsw.gov.au/water.stm</w:t>
        </w:r>
      </w:hyperlink>
      <w:r w:rsidRPr="00EA700F">
        <w:t>) (for NSW sites), and the Victoria State Government’s Water Measurement Information System website (</w:t>
      </w:r>
      <w:hyperlink r:id="rId7" w:history="1">
        <w:r w:rsidRPr="00EA700F">
          <w:rPr>
            <w:rStyle w:val="Hyperlink"/>
          </w:rPr>
          <w:t>http://data.water.vic.gov.au/monitoring.htm</w:t>
        </w:r>
      </w:hyperlink>
      <w:r w:rsidRPr="00EA700F">
        <w:t xml:space="preserve">). Daily discharge rate data </w:t>
      </w:r>
      <w:r w:rsidR="00B55332" w:rsidRPr="00EA700F">
        <w:t>is recorded</w:t>
      </w:r>
      <w:r w:rsidRPr="00EA700F">
        <w:t xml:space="preserve"> as timestamped average daily flow datapoints in units of megalitres per day. Where possible 30 year time series were obtained, spanning years 1983 – 2012. Records were truncated for three sites, spanning 15, 19 and 28 years. Missing data were approximated using the Time Series Manager module in River Analysis Package (REF). Consistency of the resulting outputs were checked by visual inspection of hydrographs. For Mammy Johnson’s River, Mann River, Sportsman’s Creek and Wallagaraugh River, multiple linear regression was chosen as the most appropriate method. Linear interpolation was used for Jilliby Creek data.</w:t>
      </w:r>
    </w:p>
    <w:p w14:paraId="288A9CA3" w14:textId="77777777" w:rsidR="00B634E6" w:rsidRPr="00EA700F" w:rsidRDefault="00B634E6" w:rsidP="00B55332">
      <w:pPr>
        <w:spacing w:line="360" w:lineRule="auto"/>
        <w:jc w:val="both"/>
      </w:pPr>
      <w:r w:rsidRPr="00EA700F">
        <w:t>A minimal set of 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thresholded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 20 year average return interval (ARI) flood magnitude was also calculated with a flood independence value of 7 days between peaks. Colwell’s 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B55332">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Abbreviation</w:t>
            </w:r>
          </w:p>
        </w:tc>
        <w:tc>
          <w:tcPr>
            <w:tcW w:w="1875" w:type="dxa"/>
          </w:tcPr>
          <w:p w14:paraId="4B7E3F13"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7166A1">
            <w:pPr>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625ED2">
            <w:pPr>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B55332">
            <w:pPr>
              <w:jc w:val="both"/>
              <w:rPr>
                <w:rFonts w:eastAsia="Times New Roman" w:cs="Times New Roman"/>
                <w:color w:val="000000"/>
                <w:lang w:eastAsia="en-AU"/>
              </w:rPr>
            </w:pPr>
            <w:r w:rsidRPr="00EA700F">
              <w:t>HSPeaknorm</w:t>
            </w:r>
          </w:p>
        </w:tc>
        <w:tc>
          <w:tcPr>
            <w:tcW w:w="2410" w:type="dxa"/>
            <w:gridSpan w:val="2"/>
          </w:tcPr>
          <w:p w14:paraId="74392C40"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77777777" w:rsidR="00B634E6" w:rsidRPr="00EA700F" w:rsidRDefault="00B634E6" w:rsidP="00FD175F">
            <w:pPr>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w:t>
            </w:r>
            <w:r w:rsidRPr="00EA700F">
              <w:lastRenderedPageBreak/>
              <w:t>periods. 20 year average return interval (ARI) floods are extreme flow events that have the potential to resculpt the fluvial landscape. Together, these metrics indicate the intensity and frequency with which mechanical stress is applied to plants in the riparian zone.</w:t>
            </w:r>
          </w:p>
        </w:tc>
      </w:tr>
      <w:tr w:rsidR="00B634E6" w:rsidRPr="00EA700F" w14:paraId="7C924A46" w14:textId="77777777" w:rsidTr="00630B93">
        <w:tc>
          <w:tcPr>
            <w:tcW w:w="2204" w:type="dxa"/>
          </w:tcPr>
          <w:p w14:paraId="04C8C2A6" w14:textId="77777777" w:rsidR="00B634E6" w:rsidRPr="00EA700F" w:rsidRDefault="00B634E6" w:rsidP="00625ED2">
            <w:pPr>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B55332">
            <w:pPr>
              <w:jc w:val="both"/>
              <w:rPr>
                <w:rFonts w:eastAsia="Times New Roman" w:cs="Times New Roman"/>
                <w:color w:val="000000"/>
                <w:lang w:eastAsia="en-AU"/>
              </w:rPr>
            </w:pPr>
            <w:r w:rsidRPr="00EA700F">
              <w:t>CVAnnHSPeak</w:t>
            </w:r>
          </w:p>
        </w:tc>
        <w:tc>
          <w:tcPr>
            <w:tcW w:w="2410" w:type="dxa"/>
            <w:gridSpan w:val="2"/>
          </w:tcPr>
          <w:p w14:paraId="44CDA8B0"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FD175F">
            <w:pPr>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625ED2">
            <w:pPr>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B55332">
            <w:pPr>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FD175F">
            <w:pPr>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625ED2">
            <w:pPr>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B55332">
            <w:pPr>
              <w:jc w:val="both"/>
              <w:rPr>
                <w:rFonts w:eastAsia="Times New Roman" w:cs="Times New Roman"/>
                <w:color w:val="000000"/>
                <w:lang w:eastAsia="en-AU"/>
              </w:rPr>
            </w:pPr>
            <w:r w:rsidRPr="00EA700F">
              <w:t>MDFAnnHSNum</w:t>
            </w:r>
          </w:p>
        </w:tc>
        <w:tc>
          <w:tcPr>
            <w:tcW w:w="2410" w:type="dxa"/>
            <w:gridSpan w:val="2"/>
          </w:tcPr>
          <w:p w14:paraId="6E75D8C4"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FD175F">
            <w:pPr>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625ED2">
            <w:pPr>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B55332">
            <w:pPr>
              <w:jc w:val="both"/>
              <w:rPr>
                <w:rFonts w:eastAsia="Times New Roman" w:cs="Times New Roman"/>
                <w:color w:val="000000"/>
                <w:lang w:eastAsia="en-AU"/>
              </w:rPr>
            </w:pPr>
            <w:r w:rsidRPr="00EA700F">
              <w:t>CVAnnHSNum</w:t>
            </w:r>
          </w:p>
        </w:tc>
        <w:tc>
          <w:tcPr>
            <w:tcW w:w="2410" w:type="dxa"/>
            <w:gridSpan w:val="2"/>
          </w:tcPr>
          <w:p w14:paraId="72A1924F"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FD175F">
            <w:pPr>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3721C9">
            <w:pPr>
              <w:tabs>
                <w:tab w:val="left" w:pos="3160"/>
              </w:tabs>
              <w:jc w:val="center"/>
              <w:rPr>
                <w:rFonts w:eastAsia="Times New Roman" w:cs="Times New Roman"/>
                <w:i/>
                <w:color w:val="000000"/>
                <w:lang w:eastAsia="en-AU"/>
              </w:rPr>
            </w:pPr>
            <w:r w:rsidRPr="00EA700F">
              <w:rPr>
                <w:i/>
              </w:rPr>
              <w:lastRenderedPageBreak/>
              <w:t>Rise and fall rates</w:t>
            </w:r>
          </w:p>
        </w:tc>
      </w:tr>
      <w:tr w:rsidR="00B634E6" w:rsidRPr="00EA700F" w14:paraId="51840342" w14:textId="77777777" w:rsidTr="00630B93">
        <w:tc>
          <w:tcPr>
            <w:tcW w:w="2204" w:type="dxa"/>
          </w:tcPr>
          <w:p w14:paraId="344B1C89"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B55332">
            <w:pPr>
              <w:jc w:val="both"/>
            </w:pPr>
            <w:r w:rsidRPr="00EA700F">
              <w:t>MRateRisenorm</w:t>
            </w:r>
          </w:p>
        </w:tc>
        <w:tc>
          <w:tcPr>
            <w:tcW w:w="2410" w:type="dxa"/>
            <w:gridSpan w:val="2"/>
          </w:tcPr>
          <w:p w14:paraId="4FBCFD73"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77777777" w:rsidR="00B634E6" w:rsidRPr="00EA700F" w:rsidRDefault="00B634E6" w:rsidP="00FD175F">
            <w:pPr>
              <w:rPr>
                <w:rFonts w:eastAsia="Times New Roman" w:cs="Times New Roman"/>
                <w:color w:val="000000"/>
                <w:lang w:eastAsia="en-AU"/>
              </w:rPr>
            </w:pPr>
            <w:r w:rsidRPr="00EA700F">
              <w:t>Rise and fall rates represent flow flashiness.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B55332">
            <w:pPr>
              <w:jc w:val="both"/>
            </w:pPr>
            <w:r w:rsidRPr="00EA700F">
              <w:t>MRateFallnorm</w:t>
            </w:r>
          </w:p>
        </w:tc>
        <w:tc>
          <w:tcPr>
            <w:tcW w:w="2410" w:type="dxa"/>
            <w:gridSpan w:val="2"/>
          </w:tcPr>
          <w:p w14:paraId="1FE486DC"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FD175F">
            <w:pPr>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B55332">
            <w:pPr>
              <w:jc w:val="both"/>
            </w:pPr>
            <w:r w:rsidRPr="00EA700F">
              <w:t>CVAnnMRateRise</w:t>
            </w:r>
          </w:p>
        </w:tc>
        <w:tc>
          <w:tcPr>
            <w:tcW w:w="2410" w:type="dxa"/>
            <w:gridSpan w:val="2"/>
          </w:tcPr>
          <w:p w14:paraId="61A4663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FD175F">
            <w:pPr>
              <w:rPr>
                <w:rFonts w:eastAsia="Times New Roman" w:cs="Times New Roman"/>
                <w:color w:val="000000"/>
                <w:lang w:eastAsia="en-AU"/>
              </w:rPr>
            </w:pPr>
          </w:p>
        </w:tc>
      </w:tr>
      <w:tr w:rsidR="00B634E6" w:rsidRPr="00EA700F" w14:paraId="15335D0B" w14:textId="77777777" w:rsidTr="00630B93">
        <w:tc>
          <w:tcPr>
            <w:tcW w:w="2204" w:type="dxa"/>
          </w:tcPr>
          <w:p w14:paraId="1B59DFD3"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61EC550D" w14:textId="77777777" w:rsidR="00B634E6" w:rsidRPr="00EA700F" w:rsidRDefault="00B634E6" w:rsidP="00B55332">
            <w:pPr>
              <w:jc w:val="both"/>
            </w:pPr>
            <w:r w:rsidRPr="00EA700F">
              <w:t>CVAnnMRateFall</w:t>
            </w:r>
          </w:p>
        </w:tc>
        <w:tc>
          <w:tcPr>
            <w:tcW w:w="2410" w:type="dxa"/>
            <w:gridSpan w:val="2"/>
          </w:tcPr>
          <w:p w14:paraId="4287C4C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FD175F">
            <w:pPr>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3721C9">
            <w:pPr>
              <w:jc w:val="center"/>
              <w:rPr>
                <w:rFonts w:eastAsia="Times New Roman" w:cs="Times New Roman"/>
                <w:i/>
                <w:color w:val="000000"/>
                <w:lang w:eastAsia="en-AU"/>
              </w:rPr>
            </w:pPr>
            <w:r w:rsidRPr="00EA700F">
              <w:rPr>
                <w:rFonts w:eastAsia="Times New Roman" w:cs="Times New Roman"/>
                <w:i/>
                <w:color w:val="000000"/>
                <w:lang w:eastAsia="en-AU"/>
              </w:rPr>
              <w:t>Baseflow index</w:t>
            </w:r>
          </w:p>
        </w:tc>
      </w:tr>
      <w:tr w:rsidR="00B634E6" w:rsidRPr="00EA700F" w14:paraId="5F1B9E42" w14:textId="77777777" w:rsidTr="00630B93">
        <w:tc>
          <w:tcPr>
            <w:tcW w:w="2204" w:type="dxa"/>
          </w:tcPr>
          <w:p w14:paraId="3A68D25B"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Baseflow index</w:t>
            </w:r>
          </w:p>
        </w:tc>
        <w:tc>
          <w:tcPr>
            <w:tcW w:w="1902" w:type="dxa"/>
          </w:tcPr>
          <w:p w14:paraId="625ABB22" w14:textId="77777777" w:rsidR="00B634E6" w:rsidRPr="00EA700F" w:rsidRDefault="00B634E6" w:rsidP="00B55332">
            <w:pPr>
              <w:jc w:val="both"/>
            </w:pPr>
            <w:r w:rsidRPr="00EA700F">
              <w:t>BFI</w:t>
            </w:r>
          </w:p>
        </w:tc>
        <w:tc>
          <w:tcPr>
            <w:tcW w:w="2410" w:type="dxa"/>
            <w:gridSpan w:val="2"/>
          </w:tcPr>
          <w:p w14:paraId="4DC9EB8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FD175F">
            <w:pPr>
              <w:rPr>
                <w:rFonts w:eastAsia="Times New Roman" w:cs="Times New Roman"/>
                <w:color w:val="000000"/>
                <w:lang w:eastAsia="en-AU"/>
              </w:rPr>
            </w:pPr>
            <w:r w:rsidRPr="00EA700F">
              <w:t xml:space="preserve">Baseflow index is calculated using the ratio of flow during average conditions to total flow. It is a useful metric of consistency of water availability, in that it is maximised when average flow conditions dominate, and minimised when total flow is dominated by above average flow events. </w:t>
            </w:r>
            <w:r w:rsidRPr="00EA700F">
              <w:lastRenderedPageBreak/>
              <w:t>Intra-annual variability in baseflow index measures how predictable baseflow index is between years.</w:t>
            </w:r>
          </w:p>
        </w:tc>
      </w:tr>
      <w:tr w:rsidR="00B634E6" w:rsidRPr="00EA700F" w14:paraId="6FF0FCD0" w14:textId="77777777" w:rsidTr="00630B93">
        <w:tc>
          <w:tcPr>
            <w:tcW w:w="2204" w:type="dxa"/>
          </w:tcPr>
          <w:p w14:paraId="4193258A" w14:textId="77777777" w:rsidR="00B634E6" w:rsidRPr="00EA700F" w:rsidRDefault="00B634E6" w:rsidP="00625ED2">
            <w:pPr>
              <w:rPr>
                <w:rFonts w:eastAsia="Times New Roman" w:cs="Times New Roman"/>
                <w:color w:val="000000"/>
                <w:lang w:eastAsia="en-AU"/>
              </w:rPr>
            </w:pPr>
            <w:r w:rsidRPr="00EA700F">
              <w:rPr>
                <w:color w:val="000000"/>
              </w:rPr>
              <w:t>CV of all years Baseflow Index</w:t>
            </w:r>
          </w:p>
        </w:tc>
        <w:tc>
          <w:tcPr>
            <w:tcW w:w="1902" w:type="dxa"/>
          </w:tcPr>
          <w:p w14:paraId="4513F7A0" w14:textId="77777777" w:rsidR="00B634E6" w:rsidRPr="00EA700F" w:rsidRDefault="00B634E6" w:rsidP="00B55332">
            <w:pPr>
              <w:jc w:val="both"/>
            </w:pPr>
            <w:r w:rsidRPr="00EA700F">
              <w:t>CVAnnBFI</w:t>
            </w:r>
          </w:p>
        </w:tc>
        <w:tc>
          <w:tcPr>
            <w:tcW w:w="2410" w:type="dxa"/>
            <w:gridSpan w:val="2"/>
          </w:tcPr>
          <w:p w14:paraId="2A0F7C7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FD175F">
            <w:pPr>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3721C9">
            <w:pPr>
              <w:jc w:val="center"/>
              <w:rPr>
                <w:i/>
              </w:rPr>
            </w:pPr>
            <w:r w:rsidRPr="00EA700F">
              <w:rPr>
                <w:i/>
              </w:rPr>
              <w:lastRenderedPageBreak/>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625ED2">
            <w:pPr>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B55332">
            <w:pPr>
              <w:jc w:val="both"/>
            </w:pPr>
            <w:r w:rsidRPr="00EA700F">
              <w:t>LSPeaknorm</w:t>
            </w:r>
          </w:p>
        </w:tc>
        <w:tc>
          <w:tcPr>
            <w:tcW w:w="2410" w:type="dxa"/>
            <w:gridSpan w:val="2"/>
          </w:tcPr>
          <w:p w14:paraId="3C0198DD"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FD175F">
            <w:pPr>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interannual variability in magnitude and duration of low flows.</w:t>
            </w:r>
          </w:p>
        </w:tc>
      </w:tr>
      <w:tr w:rsidR="00B634E6" w:rsidRPr="00EA700F" w14:paraId="1148F8BB" w14:textId="77777777" w:rsidTr="00630B93">
        <w:tc>
          <w:tcPr>
            <w:tcW w:w="2204" w:type="dxa"/>
          </w:tcPr>
          <w:p w14:paraId="7DEB42C7"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mean of low spell magnitude</w:t>
            </w:r>
          </w:p>
        </w:tc>
        <w:tc>
          <w:tcPr>
            <w:tcW w:w="1902" w:type="dxa"/>
          </w:tcPr>
          <w:p w14:paraId="456DD99C" w14:textId="77777777" w:rsidR="00B634E6" w:rsidRPr="00EA700F" w:rsidRDefault="00B634E6" w:rsidP="00B55332">
            <w:pPr>
              <w:jc w:val="both"/>
            </w:pPr>
            <w:r w:rsidRPr="00EA700F">
              <w:t>CVAnnLSPeak</w:t>
            </w:r>
          </w:p>
        </w:tc>
        <w:tc>
          <w:tcPr>
            <w:tcW w:w="2410" w:type="dxa"/>
            <w:gridSpan w:val="2"/>
          </w:tcPr>
          <w:p w14:paraId="22420AB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FD175F">
            <w:pPr>
              <w:rPr>
                <w:rFonts w:eastAsia="Times New Roman" w:cs="Times New Roman"/>
                <w:color w:val="000000"/>
                <w:lang w:eastAsia="en-AU"/>
              </w:rPr>
            </w:pPr>
          </w:p>
        </w:tc>
      </w:tr>
      <w:tr w:rsidR="00B634E6" w:rsidRPr="00EA700F" w14:paraId="04BF64D2" w14:textId="77777777" w:rsidTr="00630B93">
        <w:tc>
          <w:tcPr>
            <w:tcW w:w="2204" w:type="dxa"/>
          </w:tcPr>
          <w:p w14:paraId="377AD42F"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of all years number of low spells</w:t>
            </w:r>
          </w:p>
        </w:tc>
        <w:tc>
          <w:tcPr>
            <w:tcW w:w="1902" w:type="dxa"/>
          </w:tcPr>
          <w:p w14:paraId="7E2AD607" w14:textId="77777777" w:rsidR="00B634E6" w:rsidRPr="00EA700F" w:rsidRDefault="00B634E6" w:rsidP="00B55332">
            <w:pPr>
              <w:jc w:val="both"/>
            </w:pPr>
            <w:r w:rsidRPr="00EA700F">
              <w:t>MDFAnnLSNum</w:t>
            </w:r>
          </w:p>
        </w:tc>
        <w:tc>
          <w:tcPr>
            <w:tcW w:w="2410" w:type="dxa"/>
            <w:gridSpan w:val="2"/>
          </w:tcPr>
          <w:p w14:paraId="4C61CB4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FD175F">
            <w:pPr>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625ED2">
            <w:pPr>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B55332">
            <w:pPr>
              <w:jc w:val="both"/>
            </w:pPr>
            <w:r w:rsidRPr="00EA700F">
              <w:t>CVAnnLSNum</w:t>
            </w:r>
          </w:p>
        </w:tc>
        <w:tc>
          <w:tcPr>
            <w:tcW w:w="2410" w:type="dxa"/>
            <w:gridSpan w:val="2"/>
          </w:tcPr>
          <w:p w14:paraId="39A86EE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FD175F">
            <w:pPr>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B55332">
            <w:pPr>
              <w:jc w:val="both"/>
            </w:pPr>
            <w:r w:rsidRPr="00EA700F">
              <w:t>LSMeanDur</w:t>
            </w:r>
          </w:p>
        </w:tc>
        <w:tc>
          <w:tcPr>
            <w:tcW w:w="2410" w:type="dxa"/>
            <w:gridSpan w:val="2"/>
          </w:tcPr>
          <w:p w14:paraId="48B9C82C"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FD175F">
            <w:pPr>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B55332">
            <w:pPr>
              <w:jc w:val="both"/>
            </w:pPr>
            <w:r w:rsidRPr="00EA700F">
              <w:t>CVAnnLSMeanDur</w:t>
            </w:r>
          </w:p>
        </w:tc>
        <w:tc>
          <w:tcPr>
            <w:tcW w:w="2410" w:type="dxa"/>
            <w:gridSpan w:val="2"/>
          </w:tcPr>
          <w:p w14:paraId="61C7B34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FD175F">
            <w:pPr>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B55332">
            <w:pPr>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FD175F">
            <w:pPr>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B55332">
            <w:pPr>
              <w:jc w:val="both"/>
            </w:pPr>
            <w:r w:rsidRPr="00EA700F">
              <w:t>MDFAnnUnder0.1</w:t>
            </w:r>
          </w:p>
        </w:tc>
        <w:tc>
          <w:tcPr>
            <w:tcW w:w="2410" w:type="dxa"/>
            <w:gridSpan w:val="2"/>
          </w:tcPr>
          <w:p w14:paraId="02E97B42"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FD175F">
            <w:pPr>
              <w:rPr>
                <w:rFonts w:eastAsia="Times New Roman" w:cs="Times New Roman"/>
                <w:color w:val="000000"/>
                <w:lang w:eastAsia="en-AU"/>
              </w:rPr>
            </w:pPr>
          </w:p>
        </w:tc>
      </w:tr>
      <w:tr w:rsidR="00B634E6" w:rsidRPr="00EA700F" w14:paraId="591B5AAC" w14:textId="77777777" w:rsidTr="00630B93">
        <w:tc>
          <w:tcPr>
            <w:tcW w:w="2204" w:type="dxa"/>
          </w:tcPr>
          <w:p w14:paraId="793C144C"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days per year under 0.1ML/day flow</w:t>
            </w:r>
          </w:p>
        </w:tc>
        <w:tc>
          <w:tcPr>
            <w:tcW w:w="1902" w:type="dxa"/>
          </w:tcPr>
          <w:p w14:paraId="10E39562" w14:textId="77777777" w:rsidR="00B634E6" w:rsidRPr="00EA700F" w:rsidRDefault="00B634E6" w:rsidP="00B55332">
            <w:pPr>
              <w:jc w:val="both"/>
            </w:pPr>
            <w:r w:rsidRPr="00EA700F">
              <w:t>CVAnnMDFAnnUnder0.1</w:t>
            </w:r>
          </w:p>
        </w:tc>
        <w:tc>
          <w:tcPr>
            <w:tcW w:w="2410" w:type="dxa"/>
            <w:gridSpan w:val="2"/>
          </w:tcPr>
          <w:p w14:paraId="05E68821"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FD175F">
            <w:pPr>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3721C9">
            <w:pPr>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625ED2">
            <w:pPr>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B55332">
            <w:pPr>
              <w:jc w:val="both"/>
            </w:pPr>
            <w:r w:rsidRPr="00EA700F">
              <w:t>C_MDFM</w:t>
            </w:r>
          </w:p>
        </w:tc>
        <w:tc>
          <w:tcPr>
            <w:tcW w:w="2410" w:type="dxa"/>
            <w:gridSpan w:val="2"/>
          </w:tcPr>
          <w:p w14:paraId="128A974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77777777" w:rsidR="00B634E6" w:rsidRPr="00EA700F" w:rsidRDefault="00B634E6" w:rsidP="00FD175F">
            <w:pPr>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 measures uniformity of flow across seasons, and is maximised when flow conditions do not differ between seasons. </w:t>
            </w:r>
            <w:r w:rsidRPr="00EA700F">
              <w:rPr>
                <w:iCs/>
                <w:color w:val="000000"/>
              </w:rPr>
              <w:t>Contingency (M)</w:t>
            </w:r>
            <w:r w:rsidRPr="00EA700F">
              <w:rPr>
                <w:color w:val="000000"/>
              </w:rPr>
              <w:t xml:space="preserve"> is a measure of interannual uniformity in seasonal flow patterns, and is maximized when seasonal patterns of flow are consistent between years.  We generated Colwells indices for both average flow conditions </w:t>
            </w:r>
            <w:r w:rsidRPr="00EA700F">
              <w:rPr>
                <w:color w:val="000000"/>
              </w:rPr>
              <w:lastRenderedPageBreak/>
              <w:t>and minimum flows conditions.</w:t>
            </w:r>
          </w:p>
        </w:tc>
      </w:tr>
      <w:tr w:rsidR="00B634E6" w:rsidRPr="00EA700F" w14:paraId="1BE2CA6B" w14:textId="77777777" w:rsidTr="00630B93">
        <w:tc>
          <w:tcPr>
            <w:tcW w:w="2204" w:type="dxa"/>
          </w:tcPr>
          <w:p w14:paraId="53D7148B" w14:textId="1AC9988F" w:rsidR="00B634E6" w:rsidRPr="00EA700F" w:rsidRDefault="00625ED2" w:rsidP="00625ED2">
            <w:pPr>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B55332">
            <w:pPr>
              <w:jc w:val="both"/>
            </w:pPr>
            <w:r w:rsidRPr="00EA700F">
              <w:t>M_MDFM</w:t>
            </w:r>
          </w:p>
        </w:tc>
        <w:tc>
          <w:tcPr>
            <w:tcW w:w="2410" w:type="dxa"/>
            <w:gridSpan w:val="2"/>
          </w:tcPr>
          <w:p w14:paraId="00DDB2A2"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B55332">
            <w:pPr>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625ED2">
            <w:pPr>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B55332">
            <w:pPr>
              <w:jc w:val="both"/>
            </w:pPr>
            <w:r w:rsidRPr="00EA700F">
              <w:t>C_MinM</w:t>
            </w:r>
          </w:p>
        </w:tc>
        <w:tc>
          <w:tcPr>
            <w:tcW w:w="2410" w:type="dxa"/>
            <w:gridSpan w:val="2"/>
          </w:tcPr>
          <w:p w14:paraId="25AB01F6"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B55332">
            <w:pPr>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625ED2">
            <w:pPr>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B55332">
            <w:pPr>
              <w:jc w:val="both"/>
            </w:pPr>
            <w:r w:rsidRPr="00EA700F">
              <w:t>M_MinM</w:t>
            </w:r>
          </w:p>
        </w:tc>
        <w:tc>
          <w:tcPr>
            <w:tcW w:w="2410" w:type="dxa"/>
            <w:gridSpan w:val="2"/>
          </w:tcPr>
          <w:p w14:paraId="073DCE81"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B55332">
            <w:pPr>
              <w:jc w:val="both"/>
              <w:rPr>
                <w:rFonts w:eastAsia="Times New Roman" w:cs="Times New Roman"/>
                <w:color w:val="000000"/>
                <w:lang w:eastAsia="en-AU"/>
              </w:rPr>
            </w:pPr>
          </w:p>
        </w:tc>
      </w:tr>
    </w:tbl>
    <w:p w14:paraId="7E747D08" w14:textId="03B3C4A8" w:rsidR="00B634E6" w:rsidRPr="00EA700F" w:rsidRDefault="00B634E6" w:rsidP="00B55332">
      <w:pPr>
        <w:pStyle w:val="Caption"/>
        <w:jc w:val="both"/>
        <w:rPr>
          <w:rFonts w:eastAsia="Times New Roman" w:cs="Times New Roman"/>
          <w:color w:val="000000"/>
          <w:sz w:val="22"/>
          <w:szCs w:val="22"/>
          <w:lang w:eastAsia="en-AU"/>
        </w:rPr>
      </w:pPr>
      <w:r w:rsidRPr="00EA700F">
        <w:rPr>
          <w:sz w:val="22"/>
          <w:szCs w:val="22"/>
        </w:rPr>
        <w:lastRenderedPageBreak/>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76049404" w:rsidR="00B634E6" w:rsidRDefault="00B634E6" w:rsidP="00B55332">
      <w:pPr>
        <w:spacing w:line="360" w:lineRule="auto"/>
        <w:jc w:val="both"/>
      </w:pPr>
      <w:r w:rsidRPr="00EA700F">
        <w:t>Finally, we performed permutational multivariate analysis of variance using distance matrice</w:t>
      </w:r>
      <w:r w:rsidR="00947919">
        <w:t xml:space="preserve">s, using the vegan package in R </w:t>
      </w:r>
      <w:r w:rsidR="00947919">
        <w:fldChar w:fldCharType="begin" w:fldLock="1"/>
      </w:r>
      <w:r w:rsidR="00ED02F3">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et al., 2013; R Core Team, 2013)" }, "properties" : { "noteIndex" : 0 }, "schema" : "https://github.com/citation-style-language/schema/raw/master/csl-citation.json" }</w:instrText>
      </w:r>
      <w:r w:rsidR="00947919">
        <w:fldChar w:fldCharType="separate"/>
      </w:r>
      <w:r w:rsidR="00947919" w:rsidRPr="00947919">
        <w:rPr>
          <w:noProof/>
        </w:rPr>
        <w:t>(Oksanen et al., 2013; R Core Team, 2013)</w:t>
      </w:r>
      <w:r w:rsidR="00947919">
        <w:fldChar w:fldCharType="end"/>
      </w:r>
      <w:r w:rsidR="00947919">
        <w:t xml:space="preserve">, </w:t>
      </w:r>
      <w:r w:rsidRPr="00EA700F">
        <w:t xml:space="preserve">across these chosen metrics to confirm that our field sites </w:t>
      </w:r>
      <w:r w:rsidR="00947919">
        <w:t>whether our field sites</w:t>
      </w:r>
      <w:r w:rsidRPr="00EA700F">
        <w:t xml:space="preserve"> comprise three significantly different hydrological categories.</w:t>
      </w:r>
    </w:p>
    <w:p w14:paraId="613F2F5B" w14:textId="1FF95DC3" w:rsidR="00F42B80" w:rsidRDefault="00F42B80" w:rsidP="00B55332">
      <w:pPr>
        <w:spacing w:line="360" w:lineRule="auto"/>
        <w:jc w:val="both"/>
        <w:rPr>
          <w:b/>
        </w:rPr>
      </w:pPr>
      <w:r w:rsidRPr="00F42B80">
        <w:rPr>
          <w:b/>
        </w:rPr>
        <w:t>Data analysis</w:t>
      </w:r>
    </w:p>
    <w:p w14:paraId="31652934" w14:textId="2D2FB03C" w:rsidR="00F42B80" w:rsidRPr="00F42B80" w:rsidRDefault="00F42B80" w:rsidP="00B55332">
      <w:pPr>
        <w:spacing w:line="360" w:lineRule="auto"/>
        <w:jc w:val="both"/>
        <w:rPr>
          <w:b/>
        </w:rPr>
      </w:pPr>
      <w:r>
        <w:t xml:space="preserve">All statistical analyses in this study were performed using the R statistical programming environment </w:t>
      </w:r>
      <w:r>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Pr="00F42B80">
        <w:rPr>
          <w:noProof/>
        </w:rPr>
        <w:t>(R Core Team, 2013)</w:t>
      </w:r>
      <w:r>
        <w:fldChar w:fldCharType="end"/>
      </w:r>
      <w:r>
        <w:t>. Statistical significance was thresholded at alpha = 0.05.</w:t>
      </w:r>
    </w:p>
    <w:p w14:paraId="173753BF" w14:textId="77777777" w:rsidR="00B634E6" w:rsidRPr="00F42B80" w:rsidRDefault="00B634E6" w:rsidP="00B55332">
      <w:pPr>
        <w:spacing w:line="360" w:lineRule="auto"/>
        <w:jc w:val="both"/>
        <w:rPr>
          <w:i/>
        </w:rPr>
      </w:pPr>
      <w:r w:rsidRPr="00F42B80">
        <w:rPr>
          <w:i/>
        </w:rPr>
        <w:t>Abundance weighted site means of wood density</w:t>
      </w:r>
    </w:p>
    <w:p w14:paraId="40948BC5" w14:textId="77777777" w:rsidR="00B634E6" w:rsidRPr="00EA700F" w:rsidRDefault="00B634E6" w:rsidP="00B55332">
      <w:pPr>
        <w:spacing w:line="360" w:lineRule="auto"/>
        <w:jc w:val="both"/>
      </w:pPr>
      <w:r w:rsidRPr="00EA700F">
        <w:t xml:space="preserve">To investigate variation in wood density across hydrological gradients at the community level, abundance weighted means of wood density were generated for each site. Species relative abundance was compiled from records of % cover at the shrub (1-4m), subcanopy (4-8m) and canopy (8+)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B55332">
      <w:pPr>
        <w:spacing w:line="360" w:lineRule="auto"/>
        <w:jc w:val="both"/>
        <w:rPr>
          <w:i/>
        </w:rPr>
      </w:pPr>
      <w:r w:rsidRPr="00F42B80">
        <w:rPr>
          <w:i/>
        </w:rPr>
        <w:t>Comparing wood density between hydrological classes</w:t>
      </w:r>
    </w:p>
    <w:p w14:paraId="59004043" w14:textId="0904D031" w:rsidR="00B634E6" w:rsidRPr="00EA700F" w:rsidRDefault="00B634E6" w:rsidP="00B55332">
      <w:pPr>
        <w:spacing w:line="360" w:lineRule="auto"/>
        <w:jc w:val="both"/>
      </w:pPr>
      <w:r w:rsidRPr="00EA700F">
        <w:t>Raw species trait values were lumped according to the hydrological class membership</w:t>
      </w:r>
      <w:r w:rsidR="006F4B8F">
        <w:t>,</w:t>
      </w:r>
      <w:r w:rsidRPr="00EA700F">
        <w:t xml:space="preserve"> and differences between classes tested for using a post-hoc Tukey’s HSD test. This test was repeated using class-lumped abundance weighted site means. </w:t>
      </w:r>
    </w:p>
    <w:p w14:paraId="79AE2560" w14:textId="77777777" w:rsidR="00B634E6" w:rsidRPr="00F42B80" w:rsidRDefault="00B634E6" w:rsidP="00B55332">
      <w:pPr>
        <w:spacing w:line="360" w:lineRule="auto"/>
        <w:jc w:val="both"/>
        <w:rPr>
          <w:i/>
        </w:rPr>
      </w:pPr>
      <w:r w:rsidRPr="00F42B80">
        <w:rPr>
          <w:i/>
        </w:rPr>
        <w:t>Testing relationships between mean wood density and hydrological conditions</w:t>
      </w:r>
    </w:p>
    <w:p w14:paraId="1968B0C2" w14:textId="61F87B0B" w:rsidR="00335320" w:rsidRDefault="00B634E6" w:rsidP="006F4B8F">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Benjamini - </w:t>
      </w:r>
      <w:r w:rsidRPr="00EA700F">
        <w:t xml:space="preserve">Hochberg (BH) </w:t>
      </w:r>
      <w:r w:rsidRPr="00EA700F">
        <w:lastRenderedPageBreak/>
        <w:t>procedure for controlling family-wise error rate</w:t>
      </w:r>
      <w:r w:rsidR="006F4B8F">
        <w:t xml:space="preserve"> (stats package, </w:t>
      </w:r>
      <w:r w:rsidR="006F4B8F">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w:t>
      </w:r>
      <w:bookmarkStart w:id="0" w:name="_GoBack"/>
      <w:bookmarkEnd w:id="0"/>
      <w:r w:rsidRPr="00EA700F">
        <w:t xml:space="preserve">e highly autocorrelated. The BH procedure has been shown to control the false discovery rate for positively dependent test statistics (Benjamini and Yekutieli, 2001). We then identified ecologically relevant axes of variation in hydrological conditions by running a principal components analysis </w:t>
      </w:r>
      <w:r w:rsidR="00F42B80">
        <w:t xml:space="preserve">(stats package, </w:t>
      </w:r>
      <w:r w:rsidR="00F42B80">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r w:rsidRPr="00EA700F">
        <w:t xml:space="preserve">over hydrological metrics </w:t>
      </w:r>
      <w:r w:rsidR="00842036" w:rsidRPr="00EA700F">
        <w:t>showing</w:t>
      </w:r>
      <w:r w:rsidRPr="00EA700F">
        <w:t xml:space="preserve"> significant relationships with site mean wood density values.</w:t>
      </w:r>
    </w:p>
    <w:p w14:paraId="2F2B744C" w14:textId="77777777" w:rsidR="00F42B80" w:rsidRDefault="00F42B80" w:rsidP="006F4B8F">
      <w:pPr>
        <w:spacing w:line="360" w:lineRule="auto"/>
        <w:jc w:val="both"/>
      </w:pPr>
    </w:p>
    <w:p w14:paraId="3DD0D713" w14:textId="77777777" w:rsidR="00F42B80" w:rsidRDefault="00F42B80" w:rsidP="006F4B8F">
      <w:pPr>
        <w:spacing w:line="360" w:lineRule="auto"/>
        <w:jc w:val="both"/>
      </w:pPr>
    </w:p>
    <w:p w14:paraId="7D91237C" w14:textId="77777777" w:rsidR="00F42B80" w:rsidRDefault="00F42B80" w:rsidP="006F4B8F">
      <w:pPr>
        <w:spacing w:line="360" w:lineRule="auto"/>
        <w:jc w:val="both"/>
      </w:pPr>
    </w:p>
    <w:p w14:paraId="2A5DC810" w14:textId="77777777" w:rsidR="00F42B80" w:rsidRDefault="00F42B80" w:rsidP="006F4B8F">
      <w:pPr>
        <w:spacing w:line="360" w:lineRule="auto"/>
        <w:jc w:val="both"/>
      </w:pPr>
    </w:p>
    <w:p w14:paraId="48E49197" w14:textId="77777777" w:rsidR="00F42B80" w:rsidRDefault="00F42B80" w:rsidP="006F4B8F">
      <w:pPr>
        <w:spacing w:line="360" w:lineRule="auto"/>
        <w:jc w:val="both"/>
      </w:pPr>
    </w:p>
    <w:p w14:paraId="0F28A6A2" w14:textId="77777777" w:rsidR="00F42B80" w:rsidRDefault="00F42B80" w:rsidP="006F4B8F">
      <w:pPr>
        <w:spacing w:line="360" w:lineRule="auto"/>
        <w:jc w:val="both"/>
      </w:pPr>
    </w:p>
    <w:p w14:paraId="37130498" w14:textId="77777777" w:rsidR="00F42B80" w:rsidRDefault="00F42B80" w:rsidP="006F4B8F">
      <w:pPr>
        <w:spacing w:line="360" w:lineRule="auto"/>
        <w:jc w:val="both"/>
      </w:pPr>
    </w:p>
    <w:p w14:paraId="093B5F5E" w14:textId="77777777" w:rsidR="00F42B80" w:rsidRDefault="00F42B80" w:rsidP="006F4B8F">
      <w:pPr>
        <w:spacing w:line="360" w:lineRule="auto"/>
        <w:jc w:val="both"/>
      </w:pPr>
    </w:p>
    <w:p w14:paraId="517D3FEF" w14:textId="77777777" w:rsidR="00F42B80" w:rsidRDefault="00F42B80" w:rsidP="006F4B8F">
      <w:pPr>
        <w:spacing w:line="360" w:lineRule="auto"/>
        <w:jc w:val="both"/>
      </w:pPr>
    </w:p>
    <w:p w14:paraId="53712929" w14:textId="77777777" w:rsidR="00F42B80" w:rsidRDefault="00F42B80" w:rsidP="006F4B8F">
      <w:pPr>
        <w:spacing w:line="360" w:lineRule="auto"/>
        <w:jc w:val="both"/>
      </w:pPr>
    </w:p>
    <w:p w14:paraId="5AA8C956" w14:textId="77777777" w:rsidR="00F42B80" w:rsidRDefault="00F42B80" w:rsidP="006F4B8F">
      <w:pPr>
        <w:spacing w:line="360" w:lineRule="auto"/>
        <w:jc w:val="both"/>
      </w:pPr>
    </w:p>
    <w:p w14:paraId="446F5506" w14:textId="77777777" w:rsidR="00F42B80" w:rsidRDefault="00F42B80" w:rsidP="006F4B8F">
      <w:pPr>
        <w:spacing w:line="360" w:lineRule="auto"/>
        <w:jc w:val="both"/>
      </w:pPr>
    </w:p>
    <w:p w14:paraId="0A606C33" w14:textId="77777777" w:rsidR="00F42B80" w:rsidRDefault="00F42B80" w:rsidP="006F4B8F">
      <w:pPr>
        <w:spacing w:line="360" w:lineRule="auto"/>
        <w:jc w:val="both"/>
      </w:pPr>
    </w:p>
    <w:p w14:paraId="5303ADE3" w14:textId="77777777" w:rsidR="00F42B80" w:rsidRDefault="00F42B80" w:rsidP="006F4B8F">
      <w:pPr>
        <w:spacing w:line="360" w:lineRule="auto"/>
        <w:jc w:val="both"/>
      </w:pPr>
    </w:p>
    <w:p w14:paraId="41C976ED" w14:textId="77777777" w:rsidR="00F42B80" w:rsidRDefault="00F42B80" w:rsidP="006F4B8F">
      <w:pPr>
        <w:spacing w:line="360" w:lineRule="auto"/>
        <w:jc w:val="both"/>
      </w:pPr>
    </w:p>
    <w:p w14:paraId="45072F6D" w14:textId="77777777" w:rsidR="00F42B80" w:rsidRDefault="00F42B80" w:rsidP="006F4B8F">
      <w:pPr>
        <w:spacing w:line="360" w:lineRule="auto"/>
        <w:jc w:val="both"/>
      </w:pPr>
    </w:p>
    <w:p w14:paraId="44A584BB" w14:textId="77777777" w:rsidR="00F42B80" w:rsidRDefault="00F42B80" w:rsidP="006F4B8F">
      <w:pPr>
        <w:spacing w:line="360" w:lineRule="auto"/>
        <w:jc w:val="both"/>
      </w:pPr>
    </w:p>
    <w:p w14:paraId="397E2905" w14:textId="77777777" w:rsidR="00F42B80" w:rsidRDefault="00F42B80" w:rsidP="00B55332">
      <w:pPr>
        <w:jc w:val="both"/>
      </w:pPr>
    </w:p>
    <w:p w14:paraId="3F3D0AF2" w14:textId="77777777" w:rsidR="00EF3710" w:rsidRDefault="00EF3710" w:rsidP="00B55332">
      <w:pPr>
        <w:jc w:val="both"/>
      </w:pPr>
    </w:p>
    <w:p w14:paraId="4EDF29E4" w14:textId="77777777" w:rsidR="00EF3710" w:rsidRDefault="00EF3710" w:rsidP="00B55332">
      <w:pPr>
        <w:jc w:val="both"/>
      </w:pPr>
    </w:p>
    <w:p w14:paraId="718CA37B" w14:textId="5644D9FE" w:rsidR="00B634E6" w:rsidRPr="00EA700F" w:rsidRDefault="00335320" w:rsidP="00B55332">
      <w:pPr>
        <w:jc w:val="both"/>
        <w:rPr>
          <w:b/>
        </w:rPr>
      </w:pPr>
      <w:r w:rsidRPr="00EA700F">
        <w:rPr>
          <w:b/>
        </w:rPr>
        <w:lastRenderedPageBreak/>
        <w:t>Results</w:t>
      </w:r>
    </w:p>
    <w:p w14:paraId="3B68A3F0" w14:textId="77777777" w:rsidR="00B634E6" w:rsidRPr="00EA700F" w:rsidRDefault="00B634E6" w:rsidP="00B55332">
      <w:pPr>
        <w:jc w:val="both"/>
      </w:pPr>
      <w:r w:rsidRPr="00EA700F">
        <w:rPr>
          <w:i/>
        </w:rPr>
        <w:t>Confirmation of hydrological classes</w:t>
      </w:r>
    </w:p>
    <w:p w14:paraId="38660A93" w14:textId="27F04AF4" w:rsidR="00B634E6" w:rsidRPr="00EA700F" w:rsidRDefault="00B634E6" w:rsidP="00B55332">
      <w:pPr>
        <w:jc w:val="both"/>
      </w:pPr>
      <w:r w:rsidRPr="00EA700F">
        <w:t>The three classes of river in this study were significantly different across the chosen hydrological metrics</w:t>
      </w:r>
      <w:r w:rsidR="00F42B80">
        <w:t>. Stable baseflow rivers</w:t>
      </w:r>
      <w:r w:rsidRPr="00EA700F">
        <w:t xml:space="preserve"> were most different from unpredictable intermittent rivers, R</w:t>
      </w:r>
      <w:r w:rsidRPr="00EA700F">
        <w:rPr>
          <w:vertAlign w:val="superscript"/>
        </w:rPr>
        <w:t>2</w:t>
      </w:r>
      <w:r w:rsidRPr="00EA700F">
        <w:t xml:space="preserve"> = 0.644, and slightly less so from unpredictable baseflow rivers</w:t>
      </w:r>
      <w:r w:rsidR="00F42B80">
        <w:t>,</w:t>
      </w:r>
      <w:r w:rsidRPr="00EA700F">
        <w:t xml:space="preserve"> R</w:t>
      </w:r>
      <w:r w:rsidRPr="00EA700F">
        <w:rPr>
          <w:vertAlign w:val="superscript"/>
        </w:rPr>
        <w:t>2</w:t>
      </w:r>
      <w:r w:rsidRPr="00EA700F">
        <w:t xml:space="preserve"> = 0.617. Unpredictable intermittent and unpredictable baseflow rivers exhibited greater similarity, R</w:t>
      </w:r>
      <w:r w:rsidRPr="00EA700F">
        <w:rPr>
          <w:vertAlign w:val="superscript"/>
        </w:rPr>
        <w:t>2</w:t>
      </w:r>
      <w:r w:rsidRPr="00EA700F">
        <w:t xml:space="preserve"> = 0.379.</w:t>
      </w:r>
    </w:p>
    <w:p w14:paraId="3DB081D1" w14:textId="77777777" w:rsidR="00B634E6" w:rsidRPr="00EA700F" w:rsidRDefault="00B634E6" w:rsidP="00B55332">
      <w:pPr>
        <w:jc w:val="both"/>
      </w:pPr>
      <w:r w:rsidRPr="00EA700F">
        <w:rPr>
          <w:i/>
        </w:rPr>
        <w:t>Differences in wood density between hydrological classes</w:t>
      </w:r>
    </w:p>
    <w:p w14:paraId="377115A7" w14:textId="0176CF5D" w:rsidR="00B634E6" w:rsidRPr="00EA700F" w:rsidRDefault="00B634E6" w:rsidP="00B55332">
      <w:pPr>
        <w:jc w:val="both"/>
      </w:pPr>
      <w:r w:rsidRPr="00EA700F">
        <w:t>Using abundance weighted site mean values, wood density was found to be significantly different between unpredictable baseflow rivers and stable baseflow rivers. The difference b</w:t>
      </w:r>
      <w:r w:rsidR="00180A63">
        <w:t>e</w:t>
      </w:r>
      <w:r w:rsidRPr="00EA700F">
        <w:t xml:space="preserve">tween unpredictable intermittent rivers and stable baseflow rivers </w:t>
      </w:r>
      <w:r w:rsidR="00F42B80">
        <w:t>approached significance (p</w:t>
      </w:r>
      <w:r w:rsidRPr="00EA700F">
        <w:t xml:space="preserve"> = 0.052), indicating that differences wood density between classes of river tracks differences in hydrology. No significant difference in raw wood density values was found between hydrological classes.</w:t>
      </w:r>
      <w:r w:rsidRPr="00EA700F">
        <w:br/>
      </w:r>
    </w:p>
    <w:p w14:paraId="085882A2" w14:textId="77777777" w:rsidR="00B634E6" w:rsidRPr="00EA700F" w:rsidRDefault="00B634E6" w:rsidP="00B55332">
      <w:pPr>
        <w:keepNext/>
        <w:jc w:val="both"/>
      </w:pPr>
      <w:r w:rsidRPr="00EA700F">
        <w:rPr>
          <w:noProof/>
          <w:lang w:eastAsia="en-AU"/>
        </w:rPr>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8">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9">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2207F574" w:rsidR="00B634E6" w:rsidRPr="00EA700F" w:rsidRDefault="00B634E6" w:rsidP="00B55332">
      <w:pPr>
        <w:pStyle w:val="Caption"/>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 abundance weighted means, b.) means of raw wood density values. Error bars represent standard error of the mean.</w:t>
      </w:r>
      <w:r w:rsidR="00F42B80">
        <w:rPr>
          <w:sz w:val="22"/>
          <w:szCs w:val="22"/>
        </w:rPr>
        <w:t xml:space="preserve"> </w:t>
      </w:r>
    </w:p>
    <w:p w14:paraId="5B0D6A4E" w14:textId="77777777" w:rsidR="00B634E6" w:rsidRPr="00EA700F" w:rsidRDefault="00B634E6" w:rsidP="00B55332">
      <w:pPr>
        <w:jc w:val="both"/>
      </w:pPr>
      <w:r w:rsidRPr="00EA700F">
        <w:rPr>
          <w:i/>
        </w:rPr>
        <w:t>How does wood density change over hydrological gradients?</w:t>
      </w:r>
    </w:p>
    <w:p w14:paraId="2CB4062F" w14:textId="57DB4C46" w:rsidR="00B634E6" w:rsidRPr="00EA700F" w:rsidRDefault="005779AB" w:rsidP="00B55332">
      <w:pPr>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3c,d,e)</w:t>
      </w:r>
      <w:r w:rsidRPr="005779AB">
        <w:rPr>
          <w:rFonts w:cs="Arial"/>
        </w:rPr>
        <w:t>.</w:t>
      </w:r>
      <w:r>
        <w:rPr>
          <w:rFonts w:cs="Arial"/>
        </w:rPr>
        <w:t xml:space="preserve"> F</w:t>
      </w:r>
      <w:r w:rsidR="00B634E6" w:rsidRPr="00EA700F">
        <w:t>looding frequency</w:t>
      </w:r>
      <w:r>
        <w:t xml:space="preserve"> had no influence on wood density</w:t>
      </w:r>
      <w:r w:rsidR="00B634E6" w:rsidRPr="00EA700F">
        <w:t>. Interannual variability</w:t>
      </w:r>
      <w:r w:rsidR="00980EC2">
        <w:t xml:space="preserve"> (Fig 3d)</w:t>
      </w:r>
      <w:r w:rsidR="00B634E6" w:rsidRPr="00EA700F">
        <w:t xml:space="preserve"> in flood magnitude did not show a significant relationship with wood density after Benjamini-Hochberg adjustment, although a trend is apparent. Removing the Snowy Creek site as an outlier, due to its high mean wood density (0.66 g/cm</w:t>
      </w:r>
      <w:r w:rsidR="00B634E6" w:rsidRPr="00EA700F">
        <w:rPr>
          <w:vertAlign w:val="superscript"/>
        </w:rPr>
        <w:t>3</w:t>
      </w:r>
      <w:r w:rsidR="00B634E6" w:rsidRPr="00EA700F">
        <w:t>) relative to other stable winter baseflow sites, produces a tight relationship (R</w:t>
      </w:r>
      <w:r w:rsidR="00B634E6" w:rsidRPr="00EA700F">
        <w:rPr>
          <w:vertAlign w:val="superscript"/>
        </w:rPr>
        <w:t>2</w:t>
      </w:r>
      <w:r w:rsidR="00B634E6" w:rsidRPr="00EA700F">
        <w:t xml:space="preserve"> = 75.4, p &gt; 0.001). Variability in flood rise and fall rates</w:t>
      </w:r>
      <w:r w:rsidR="00980EC2">
        <w:t xml:space="preserve"> (Fig3a,b)</w:t>
      </w:r>
      <w:r w:rsidR="00B634E6" w:rsidRPr="00EA700F">
        <w:t xml:space="preserve"> were also significant positive predictors of wood density, while mean flood rise and fall rates showed no significant relationship. This </w:t>
      </w:r>
      <w:r w:rsidR="00980EC2">
        <w:t xml:space="preserve">result </w:t>
      </w:r>
      <w:r w:rsidR="00B634E6" w:rsidRPr="00EA700F">
        <w:t>indicates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B55332">
      <w:pPr>
        <w:jc w:val="both"/>
      </w:pPr>
    </w:p>
    <w:p w14:paraId="5CC13DF4" w14:textId="77777777" w:rsidR="00B634E6" w:rsidRPr="00EA700F" w:rsidRDefault="00B634E6" w:rsidP="00B55332">
      <w:pPr>
        <w:jc w:val="both"/>
      </w:pPr>
    </w:p>
    <w:p w14:paraId="7C729041" w14:textId="77777777" w:rsidR="00B634E6" w:rsidRPr="00EA700F" w:rsidRDefault="00B634E6" w:rsidP="00B55332">
      <w:pPr>
        <w:jc w:val="both"/>
      </w:pPr>
    </w:p>
    <w:p w14:paraId="59577023" w14:textId="77777777" w:rsidR="00B634E6" w:rsidRPr="00EA700F" w:rsidRDefault="00B634E6" w:rsidP="00B55332">
      <w:pPr>
        <w:jc w:val="both"/>
      </w:pPr>
    </w:p>
    <w:p w14:paraId="0A75E51B" w14:textId="755071D6" w:rsidR="00B634E6" w:rsidRPr="00EA700F" w:rsidRDefault="00B634E6" w:rsidP="00B55332">
      <w:pPr>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0">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1">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B55332">
      <w:pPr>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2">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3">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B55332">
      <w:pPr>
        <w:keepNext/>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4">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0AA9EB7F" w:rsidR="00B634E6" w:rsidRPr="001133BD" w:rsidRDefault="00B634E6" w:rsidP="00B55332">
      <w:pPr>
        <w:pStyle w:val="Caption"/>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Relationships between abundance weighted mean wood density and hydrological metrics describing a.) </w:t>
      </w:r>
      <w:r w:rsidR="00D0402B">
        <w:rPr>
          <w:sz w:val="22"/>
          <w:szCs w:val="22"/>
        </w:rPr>
        <w:t xml:space="preserve">interannual </w:t>
      </w:r>
      <w:r w:rsidRPr="00EA700F">
        <w:rPr>
          <w:sz w:val="22"/>
          <w:szCs w:val="22"/>
        </w:rPr>
        <w:t>variability in flood fall rates</w:t>
      </w:r>
      <w:r w:rsidR="006A025A">
        <w:rPr>
          <w:sz w:val="22"/>
          <w:szCs w:val="22"/>
        </w:rPr>
        <w:t xml:space="preserve"> (CVAnnMRateRise)</w:t>
      </w:r>
      <w:r w:rsidRPr="00EA700F">
        <w:rPr>
          <w:sz w:val="22"/>
          <w:szCs w:val="22"/>
        </w:rPr>
        <w:t xml:space="preserve">, b.) </w:t>
      </w:r>
      <w:r w:rsidR="00D0402B">
        <w:rPr>
          <w:sz w:val="22"/>
          <w:szCs w:val="22"/>
        </w:rPr>
        <w:t xml:space="preserve">interannual </w:t>
      </w:r>
      <w:r w:rsidRPr="00EA700F">
        <w:rPr>
          <w:sz w:val="22"/>
          <w:szCs w:val="22"/>
        </w:rPr>
        <w:t>variability in flood rise rate</w:t>
      </w:r>
      <w:r w:rsidR="006A025A">
        <w:rPr>
          <w:sz w:val="22"/>
          <w:szCs w:val="22"/>
        </w:rPr>
        <w:t>s (CVAnnMRateFall)</w:t>
      </w:r>
      <w:r w:rsidRPr="00EA700F">
        <w:rPr>
          <w:sz w:val="22"/>
          <w:szCs w:val="22"/>
        </w:rPr>
        <w:t>, c.) mean high flow magnitude</w:t>
      </w:r>
      <w:r w:rsidR="006A025A">
        <w:rPr>
          <w:sz w:val="22"/>
          <w:szCs w:val="22"/>
        </w:rPr>
        <w:t xml:space="preserve"> (HSPeaknorm)</w:t>
      </w:r>
      <w:r w:rsidRPr="00EA700F">
        <w:rPr>
          <w:sz w:val="22"/>
          <w:szCs w:val="22"/>
        </w:rPr>
        <w:t xml:space="preserve">, d.) </w:t>
      </w:r>
      <w:r w:rsidR="00625ED2">
        <w:rPr>
          <w:sz w:val="22"/>
          <w:szCs w:val="22"/>
        </w:rPr>
        <w:t xml:space="preserve">interannual </w:t>
      </w:r>
      <w:r w:rsidRPr="00EA700F">
        <w:rPr>
          <w:sz w:val="22"/>
          <w:szCs w:val="22"/>
        </w:rPr>
        <w:t>variability in high flow magnitude</w:t>
      </w:r>
      <w:r w:rsidR="006A025A">
        <w:rPr>
          <w:sz w:val="22"/>
          <w:szCs w:val="22"/>
        </w:rPr>
        <w:t xml:space="preserve"> (CVAnnHSPeak)</w:t>
      </w:r>
      <w:r w:rsidRPr="00EA700F">
        <w:rPr>
          <w:sz w:val="22"/>
          <w:szCs w:val="22"/>
        </w:rPr>
        <w:t>, e.) magnitude of the 20 year average return interval flood</w:t>
      </w:r>
      <w:r w:rsidR="006A025A">
        <w:rPr>
          <w:sz w:val="22"/>
          <w:szCs w:val="22"/>
        </w:rPr>
        <w:t xml:space="preserve"> (AS20YrARInorm)</w:t>
      </w:r>
      <w:r w:rsidRPr="00EA700F">
        <w:rPr>
          <w:sz w:val="22"/>
          <w:szCs w:val="22"/>
        </w:rPr>
        <w:t xml:space="preserve">. Fit lines depict ordinary least squares regression models. a. – d. 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r w:rsidR="001133BD">
        <w:rPr>
          <w:sz w:val="22"/>
          <w:szCs w:val="22"/>
        </w:rPr>
        <w:t>p.adj refers to Benjamini-Hochberg adjusted p values.</w:t>
      </w:r>
    </w:p>
    <w:p w14:paraId="6BEEF8F5" w14:textId="011D2E4B" w:rsidR="00B634E6" w:rsidRPr="00EA700F" w:rsidRDefault="00B634E6" w:rsidP="00B55332">
      <w:pPr>
        <w:jc w:val="both"/>
      </w:pPr>
      <w:r w:rsidRPr="00EA700F">
        <w:lastRenderedPageBreak/>
        <w:t xml:space="preserve">We found denser woody tissues were increasingly favoured as </w:t>
      </w:r>
      <w:r w:rsidR="00617ABD">
        <w:t xml:space="preserve">baseflow index decreased (Fig 4a). </w:t>
      </w:r>
      <w:r w:rsidRPr="00EA700F">
        <w:t>Wood density increased as patterns of average flow conditions became a.) less uniforml</w:t>
      </w:r>
      <w:r w:rsidR="00617ABD">
        <w:t>y distributed across seasons (Fig 4c</w:t>
      </w:r>
      <w:r w:rsidRPr="00EA700F">
        <w:t>), and b.) less uniformly distributed year to year</w:t>
      </w:r>
      <w:r w:rsidR="00617ABD">
        <w:t xml:space="preserve"> (Fig 4d)</w:t>
      </w:r>
      <w:r w:rsidRPr="00EA700F">
        <w:t xml:space="preserve">. Thus mean wood density is maximised when average flows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r w:rsidRPr="00EA700F">
        <w:t>That is to say, it was not important how strongly minimum flows were associated with particular seasons, but whether the seasonal pattern of flows was the sam</w:t>
      </w:r>
      <w:r w:rsidR="00617ABD">
        <w:t xml:space="preserve">e across years of the record.  </w:t>
      </w:r>
      <w:r w:rsidRPr="00EA700F">
        <w:t>Mean wood density also increased with increasing interannual variability in baseflow index</w:t>
      </w:r>
      <w:r w:rsidR="00617ABD">
        <w:t xml:space="preserve"> (Fig 4b)</w:t>
      </w:r>
      <w:r w:rsidRPr="00EA700F">
        <w:t>, pointing to a strong effect from years in which ba</w:t>
      </w:r>
      <w:r w:rsidR="00617ABD">
        <w:t xml:space="preserve">seflow deviated from the mean. </w:t>
      </w:r>
      <w:r w:rsidRPr="00EA700F">
        <w:t>Wood density also decreased with mean low spell flow</w:t>
      </w:r>
      <w:r w:rsidR="00617ABD">
        <w:t xml:space="preserve"> (Fig 4f)</w:t>
      </w:r>
      <w:r w:rsidRPr="00EA700F">
        <w:t>, and with removal of Snowy Creek as an outlier, the mean 7 day minimum flow</w:t>
      </w:r>
      <w:r w:rsidR="00617ABD">
        <w:t xml:space="preserve"> (Fig 4g),</w:t>
      </w:r>
      <w:r w:rsidRPr="00EA700F">
        <w:t xml:space="preserve"> </w:t>
      </w:r>
      <w:r w:rsidR="00617ABD">
        <w:t>for both of which  higher value</w:t>
      </w:r>
      <w:r w:rsidRPr="00EA700F">
        <w:t xml:space="preserve"> indicate</w:t>
      </w:r>
      <w:r w:rsidR="00617ABD">
        <w:t>s</w:t>
      </w:r>
      <w:r w:rsidRPr="00EA700F">
        <w:t xml:space="preserve"> wetter minimum flow conditions).  Metrics of low flow duration did not significantly predict wood density. </w:t>
      </w:r>
    </w:p>
    <w:p w14:paraId="49D1CEC2" w14:textId="77777777" w:rsidR="00B634E6" w:rsidRPr="00EA700F" w:rsidRDefault="00B634E6" w:rsidP="00B55332">
      <w:pPr>
        <w:jc w:val="both"/>
      </w:pPr>
      <w:r w:rsidRPr="00EA700F">
        <w:rPr>
          <w:noProof/>
          <w:lang w:eastAsia="en-AU"/>
        </w:rPr>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5">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6">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17">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18">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B55332">
      <w:pPr>
        <w:jc w:val="both"/>
      </w:pPr>
      <w:r w:rsidRPr="00EA700F">
        <w:rPr>
          <w:noProof/>
          <w:lang w:eastAsia="en-AU"/>
        </w:rPr>
        <w:lastRenderedPageBreak/>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19">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0">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335320">
      <w:pPr>
        <w:keepNext/>
        <w:jc w:val="both"/>
      </w:pPr>
      <w:r w:rsidRPr="00EA700F">
        <w:rPr>
          <w:noProof/>
          <w:lang w:eastAsia="en-AU"/>
        </w:rPr>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1">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335320">
      <w:pPr>
        <w:pStyle w:val="Caption"/>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baseflow index (BFI)</w:t>
      </w:r>
      <w:r w:rsidR="00980EC2" w:rsidRPr="007760E7">
        <w:rPr>
          <w:sz w:val="22"/>
          <w:szCs w:val="22"/>
        </w:rPr>
        <w:t xml:space="preserve">, b.) </w:t>
      </w:r>
      <w:r w:rsidR="00625ED2" w:rsidRPr="007760E7">
        <w:rPr>
          <w:sz w:val="22"/>
          <w:szCs w:val="22"/>
        </w:rPr>
        <w:t>interannual variability in baseflow index (CVAnnBFI)</w:t>
      </w:r>
      <w:r w:rsidR="00980EC2" w:rsidRPr="007760E7">
        <w:rPr>
          <w:sz w:val="22"/>
          <w:szCs w:val="22"/>
        </w:rPr>
        <w:t xml:space="preserve">, c.) </w:t>
      </w:r>
      <w:r w:rsidR="00625ED2" w:rsidRPr="007760E7">
        <w:rPr>
          <w:sz w:val="22"/>
          <w:szCs w:val="22"/>
        </w:rPr>
        <w:t>contingency of monthly mean daily flow (</w:t>
      </w:r>
      <w:r w:rsidR="00980EC2" w:rsidRPr="007760E7">
        <w:rPr>
          <w:sz w:val="22"/>
          <w:szCs w:val="22"/>
        </w:rPr>
        <w:t>M_MDFM</w:t>
      </w:r>
      <w:r w:rsidR="00625ED2" w:rsidRPr="007760E7">
        <w:rPr>
          <w:sz w:val="22"/>
          <w:szCs w:val="22"/>
        </w:rPr>
        <w:t>)</w:t>
      </w:r>
      <w:r w:rsidR="00980EC2" w:rsidRPr="007760E7">
        <w:rPr>
          <w:sz w:val="22"/>
          <w:szCs w:val="22"/>
        </w:rPr>
        <w:t xml:space="preserve">, d.) </w:t>
      </w:r>
      <w:r w:rsidR="00625ED2" w:rsidRPr="007760E7">
        <w:rPr>
          <w:sz w:val="22"/>
          <w:szCs w:val="22"/>
        </w:rPr>
        <w:t>contingency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r w:rsidR="007760E7" w:rsidRPr="007760E7">
        <w:rPr>
          <w:sz w:val="22"/>
          <w:szCs w:val="22"/>
        </w:rPr>
        <w:t xml:space="preserve">contingency of monthly </w:t>
      </w:r>
      <w:r w:rsidR="007760E7">
        <w:rPr>
          <w:sz w:val="22"/>
          <w:szCs w:val="22"/>
        </w:rPr>
        <w:t>minimum</w:t>
      </w:r>
      <w:r w:rsidR="007760E7" w:rsidRPr="007760E7">
        <w:rPr>
          <w:sz w:val="22"/>
          <w:szCs w:val="22"/>
        </w:rPr>
        <w:t xml:space="preserve"> daily flow (</w:t>
      </w:r>
      <w:r w:rsidR="007760E7">
        <w:rPr>
          <w:sz w:val="22"/>
          <w:szCs w:val="22"/>
        </w:rPr>
        <w:t>M_MinM</w:t>
      </w:r>
      <w:r w:rsidR="007760E7" w:rsidRPr="007760E7">
        <w:rPr>
          <w:sz w:val="22"/>
          <w:szCs w:val="22"/>
        </w:rPr>
        <w:t>)</w:t>
      </w:r>
      <w:r w:rsidR="00980EC2" w:rsidRPr="007760E7">
        <w:rPr>
          <w:sz w:val="22"/>
          <w:szCs w:val="22"/>
        </w:rPr>
        <w:t xml:space="preserve">, f.) </w:t>
      </w:r>
      <w:r w:rsidR="007760E7">
        <w:rPr>
          <w:sz w:val="22"/>
          <w:szCs w:val="22"/>
        </w:rPr>
        <w:t>mean low flow magnitude (</w:t>
      </w:r>
      <w:r w:rsidR="00980EC2" w:rsidRPr="007760E7">
        <w:rPr>
          <w:sz w:val="22"/>
          <w:szCs w:val="22"/>
        </w:rPr>
        <w:t>LSPeaknorm</w:t>
      </w:r>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r w:rsidR="001133BD">
        <w:rPr>
          <w:sz w:val="22"/>
          <w:szCs w:val="22"/>
        </w:rPr>
        <w:t>p.adj refers to Benjamini-Hochberg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p.adj</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p.adj</w:t>
            </w:r>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M_MinM</w:t>
            </w:r>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CVAnnBFI</w:t>
            </w:r>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CVAnnMRateRise</w:t>
            </w:r>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CVAnnMRateFall</w:t>
            </w:r>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LSPeaknorm</w:t>
            </w:r>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HSPeaknorm</w:t>
            </w:r>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CVAnnHSPeak</w:t>
            </w:r>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MRateRisenorm</w:t>
            </w:r>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CVAnnHSNum</w:t>
            </w:r>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lastRenderedPageBreak/>
              <w:t>MDFAnnLSNum</w:t>
            </w:r>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MRateFallnorm</w:t>
            </w:r>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CVAnnLSPeak</w:t>
            </w:r>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LSMeanDur</w:t>
            </w:r>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CVAnnLSNum</w:t>
            </w:r>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C_MinM</w:t>
            </w:r>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MDFAnnZer</w:t>
            </w:r>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MDFAnnHSNum</w:t>
            </w:r>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CVAnnLSMeanDur</w:t>
            </w:r>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1708974A" w:rsidR="00B634E6" w:rsidRPr="00EA700F" w:rsidRDefault="00B634E6" w:rsidP="00B55332">
      <w:pPr>
        <w:pStyle w:val="Caption"/>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Statistics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CVAnnHSPeak was non-significant initially but a significant relationship became apparent following outlier removal. </w:t>
      </w:r>
    </w:p>
    <w:p w14:paraId="56159FFE" w14:textId="165AF66F" w:rsidR="00B634E6" w:rsidRPr="00EA700F" w:rsidRDefault="00DE7C76" w:rsidP="00B55332">
      <w:pPr>
        <w:jc w:val="both"/>
      </w:pPr>
      <w:r>
        <w:t>To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interannual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Removing Snowy Creek as an outlier value substantially tightens up relationships between wood density and hydrological metrics (see Table 2.). This site was located within Victoria State Forestry and appeared to have been </w:t>
      </w:r>
      <w:r w:rsidR="009546E2">
        <w:t>cleared by logging within the last 20-30 years</w:t>
      </w:r>
      <w:r w:rsidR="00B634E6" w:rsidRPr="00EA700F">
        <w:t xml:space="preserve">. Compared with upstream reaches within National Parks land, seral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B55332">
      <w:pPr>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612E3BF4" w:rsidR="00B634E6" w:rsidRPr="00EA700F" w:rsidRDefault="00B634E6" w:rsidP="00B55332">
      <w:pPr>
        <w:jc w:val="both"/>
      </w:pPr>
      <w:r w:rsidRPr="00EA700F">
        <w:t>Hydrological metrics that significantly explain</w:t>
      </w:r>
      <w:r w:rsidR="00CC24F8" w:rsidRPr="00EA700F">
        <w:t>ed</w:t>
      </w:r>
      <w:r w:rsidRPr="00EA700F">
        <w:t xml:space="preserve"> site mean wood density were highly autocorrelated in our dataset. Principal Components Analysis (PCA) identified one dominant axis within these metrics, representing 83.78% of variation. The remaining variation was split between several minor axes.</w:t>
      </w:r>
    </w:p>
    <w:tbl>
      <w:tblPr>
        <w:tblW w:w="9193" w:type="dxa"/>
        <w:tblInd w:w="-5" w:type="dxa"/>
        <w:tblLook w:val="04A0" w:firstRow="1" w:lastRow="0" w:firstColumn="1" w:lastColumn="0" w:noHBand="0" w:noVBand="1"/>
      </w:tblPr>
      <w:tblGrid>
        <w:gridCol w:w="1654"/>
        <w:gridCol w:w="774"/>
        <w:gridCol w:w="875"/>
        <w:gridCol w:w="875"/>
        <w:gridCol w:w="875"/>
        <w:gridCol w:w="774"/>
        <w:gridCol w:w="875"/>
        <w:gridCol w:w="875"/>
        <w:gridCol w:w="875"/>
        <w:gridCol w:w="774"/>
      </w:tblGrid>
      <w:tr w:rsidR="00630B93" w:rsidRPr="009546E2"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PC9</w:t>
            </w:r>
          </w:p>
        </w:tc>
      </w:tr>
      <w:tr w:rsidR="00630B93" w:rsidRPr="009546E2"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0.1342</w:t>
            </w:r>
          </w:p>
        </w:tc>
      </w:tr>
      <w:tr w:rsidR="00630B93" w:rsidRPr="009546E2"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r>
      <w:tr w:rsidR="00630B93" w:rsidRPr="009546E2"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9546E2" w:rsidRDefault="00630B93" w:rsidP="00630B93">
            <w:pPr>
              <w:keepNext/>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0.9995</w:t>
            </w:r>
          </w:p>
        </w:tc>
      </w:tr>
    </w:tbl>
    <w:p w14:paraId="56A9643E" w14:textId="4217FE34" w:rsidR="00B634E6" w:rsidRPr="00EA700F" w:rsidRDefault="00630B93" w:rsidP="00630B93">
      <w:pPr>
        <w:pStyle w:val="Caption"/>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 5 are highlighted.</w:t>
      </w:r>
    </w:p>
    <w:p w14:paraId="3B77840D" w14:textId="77777777" w:rsidR="00B634E6" w:rsidRPr="00EA700F" w:rsidRDefault="00B634E6" w:rsidP="00B55332">
      <w:pPr>
        <w:keepNext/>
        <w:jc w:val="both"/>
      </w:pPr>
      <w:r w:rsidRPr="00EA700F">
        <w:rPr>
          <w:noProof/>
          <w:lang w:eastAsia="en-AU"/>
        </w:rPr>
        <w:lastRenderedPageBreak/>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B55332">
      <w:pPr>
        <w:pStyle w:val="Caption"/>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Biplot of sites ordinated across the first two principal components (PC) of the PCA. Points represent positions of individual sites. Ellipses indicate clustering of sites according to hydrological class. Arrows represent loadings of hydrological metrics across each PC. </w:t>
      </w:r>
    </w:p>
    <w:p w14:paraId="0BCA3DD7" w14:textId="6AA81672" w:rsidR="00B634E6" w:rsidRPr="00EA700F" w:rsidRDefault="001049B7" w:rsidP="00B55332">
      <w:pPr>
        <w:jc w:val="both"/>
      </w:pPr>
      <w:r w:rsidRPr="00EA700F">
        <w:t xml:space="preserve">PC1 represents a gradient of environmental harshness that integrates baseflow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r w:rsidR="00B634E6" w:rsidRPr="00EA700F">
        <w:t xml:space="preserve"> and low variability </w:t>
      </w:r>
      <w:r>
        <w:t>of</w:t>
      </w:r>
      <w:r w:rsidR="00B634E6" w:rsidRPr="00EA700F">
        <w:t xml:space="preserve"> water availability sit at the positive end of the PC1 axis, while metrics that are maximised under conditions of </w:t>
      </w:r>
      <w:r>
        <w:t xml:space="preserve">interannual </w:t>
      </w:r>
      <w:r w:rsidR="00B634E6" w:rsidRPr="00EA700F">
        <w:t>high baseflow variability and high intensity flooding sit at the negative end. Stable baseflow rivers exhibit lower site mean wood density, and are clustered at the ‘mild’ positive end of the PC1 gradient. Unpredictable baseflow and unpredictable intermittent rivers overlap across PC1 and are located distally towards the ‘harsh’ negative end, and are associated with higher site mean wood density. Here we see the pattern of differentiation in wood density between hydrological classes reiterated, and largely reduced to a single axis of variation.</w:t>
      </w:r>
    </w:p>
    <w:p w14:paraId="68B31D1F" w14:textId="77777777" w:rsidR="00B634E6" w:rsidRPr="00EA700F" w:rsidRDefault="00B634E6" w:rsidP="00B55332">
      <w:pPr>
        <w:tabs>
          <w:tab w:val="left" w:pos="3456"/>
        </w:tabs>
        <w:jc w:val="both"/>
      </w:pPr>
    </w:p>
    <w:p w14:paraId="4E95C12D" w14:textId="77777777" w:rsidR="00650D8B" w:rsidRPr="00EA700F" w:rsidRDefault="00650D8B" w:rsidP="00B55332">
      <w:pPr>
        <w:tabs>
          <w:tab w:val="left" w:pos="3456"/>
        </w:tabs>
        <w:jc w:val="both"/>
      </w:pPr>
    </w:p>
    <w:p w14:paraId="14E2F9E4" w14:textId="77777777" w:rsidR="00650D8B" w:rsidRPr="00EA700F" w:rsidRDefault="00650D8B" w:rsidP="00B55332">
      <w:pPr>
        <w:tabs>
          <w:tab w:val="left" w:pos="3456"/>
        </w:tabs>
        <w:jc w:val="both"/>
      </w:pPr>
    </w:p>
    <w:p w14:paraId="6D8C8956" w14:textId="77777777" w:rsidR="00650D8B" w:rsidRPr="00EA700F" w:rsidRDefault="00650D8B" w:rsidP="00B55332">
      <w:pPr>
        <w:tabs>
          <w:tab w:val="left" w:pos="3456"/>
        </w:tabs>
        <w:jc w:val="both"/>
      </w:pPr>
    </w:p>
    <w:p w14:paraId="2FC25891" w14:textId="77777777" w:rsidR="00650D8B" w:rsidRPr="00EA700F" w:rsidRDefault="00650D8B" w:rsidP="00B55332">
      <w:pPr>
        <w:tabs>
          <w:tab w:val="left" w:pos="3456"/>
        </w:tabs>
        <w:jc w:val="both"/>
      </w:pPr>
    </w:p>
    <w:p w14:paraId="10D03204" w14:textId="77777777" w:rsidR="00650D8B" w:rsidRPr="00EA700F" w:rsidRDefault="00650D8B" w:rsidP="00B55332">
      <w:pPr>
        <w:tabs>
          <w:tab w:val="left" w:pos="3456"/>
        </w:tabs>
        <w:jc w:val="both"/>
      </w:pPr>
    </w:p>
    <w:p w14:paraId="01AEC971" w14:textId="77777777" w:rsidR="00650D8B" w:rsidRPr="00EA700F" w:rsidRDefault="00650D8B" w:rsidP="00B55332">
      <w:pPr>
        <w:tabs>
          <w:tab w:val="left" w:pos="3456"/>
        </w:tabs>
        <w:jc w:val="both"/>
      </w:pPr>
    </w:p>
    <w:p w14:paraId="0E34A698" w14:textId="77777777" w:rsidR="00650D8B" w:rsidRPr="00EA700F" w:rsidRDefault="00650D8B" w:rsidP="00B55332">
      <w:pPr>
        <w:tabs>
          <w:tab w:val="left" w:pos="3456"/>
        </w:tabs>
        <w:jc w:val="both"/>
      </w:pPr>
    </w:p>
    <w:p w14:paraId="1DB8C7C6" w14:textId="77777777" w:rsidR="00650D8B" w:rsidRPr="00EA700F" w:rsidRDefault="00650D8B" w:rsidP="00B55332">
      <w:pPr>
        <w:tabs>
          <w:tab w:val="left" w:pos="3456"/>
        </w:tabs>
        <w:jc w:val="both"/>
      </w:pPr>
    </w:p>
    <w:p w14:paraId="45AF2719" w14:textId="77777777" w:rsidR="00650D8B" w:rsidRPr="00EA700F" w:rsidRDefault="00650D8B" w:rsidP="00B55332">
      <w:pPr>
        <w:tabs>
          <w:tab w:val="left" w:pos="3456"/>
        </w:tabs>
        <w:jc w:val="both"/>
      </w:pPr>
    </w:p>
    <w:p w14:paraId="3A711B0F" w14:textId="637B260F" w:rsidR="00B634E6" w:rsidRPr="00EA700F" w:rsidRDefault="00650D8B" w:rsidP="00B55332">
      <w:pPr>
        <w:jc w:val="both"/>
        <w:rPr>
          <w:b/>
        </w:rPr>
      </w:pPr>
      <w:r w:rsidRPr="00EA700F">
        <w:rPr>
          <w:b/>
        </w:rPr>
        <w:lastRenderedPageBreak/>
        <w:t>Discussion</w:t>
      </w:r>
    </w:p>
    <w:p w14:paraId="2027DE66" w14:textId="12D5FDAC" w:rsidR="00B634E6" w:rsidRPr="00EA700F" w:rsidRDefault="006B1A67" w:rsidP="00B55332">
      <w:pPr>
        <w:jc w:val="both"/>
      </w:pPr>
      <w:r>
        <w:t>T</w:t>
      </w:r>
      <w:r w:rsidR="00B634E6" w:rsidRPr="00EA700F">
        <w:t xml:space="preserve">hese results lend credibility to broad-scale ecohydrological classification as a coarse but useful tool in riparian functional ecology. Where river systems belong to different hydrological classes but are spatially or climatically close, it makes sense to dig deeper than lumped categorical comparisons and compare continuous hydrological parameters. </w:t>
      </w:r>
    </w:p>
    <w:p w14:paraId="348BC1A0" w14:textId="77777777" w:rsidR="00B634E6" w:rsidRPr="00EA700F" w:rsidRDefault="00B634E6" w:rsidP="00B55332">
      <w:pPr>
        <w:jc w:val="both"/>
      </w:pPr>
      <w:r w:rsidRPr="00EA700F">
        <w:t xml:space="preserve">We found that wood density increased with intensity of flooding disturbance. Wood density was not correlated with the frequency of high flow periods, which individually may not correspond to significant disturbance events, depending on the hydrological characteristics of the given river. Rather, it was the actual magnitude of flow during high flow periods that was important. The observation that variability but not average values of flood rise and fall rates predicted wood density, indicates the influence of low frequency, intensely flashy outlier flow events not captured by the mean.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conditions. We therefore suggest that a ‘brick house’ ecological strategy is selected for in riparian environments that experience intense flooding. This suggestion concurs with findings that trees tend to overcompensate for mechanical stress, with investment in defences increasing cumulatively in response to rare, extreme events (Cohen &amp; Mangel 1999, Telewski 1995). </w:t>
      </w:r>
    </w:p>
    <w:p w14:paraId="708FF768" w14:textId="77777777" w:rsidR="00B634E6" w:rsidRPr="00EA700F" w:rsidRDefault="00B634E6" w:rsidP="00B55332">
      <w:pPr>
        <w:jc w:val="both"/>
      </w:pPr>
      <w:r w:rsidRPr="00EA700F">
        <w:t xml:space="preserve">Predictability of water availability in the riparian zone was also strongly predictive of mean wood density. We can extend the observation about the influence of intense ‘pulse’ flow events on wood density: plants living in environments where flow occurs unpredictably and largely within specific events, rather than being evenly distributed throughout time, will experience more intense pulses of water stress. </w:t>
      </w:r>
    </w:p>
    <w:p w14:paraId="5E133A47" w14:textId="2EE7BF0A" w:rsidR="00B634E6" w:rsidRPr="00EA700F" w:rsidRDefault="00B634E6" w:rsidP="00B55332">
      <w:pPr>
        <w:jc w:val="both"/>
      </w:pPr>
      <w:r w:rsidRPr="00EA700F">
        <w:t>High wood density may be symptomatic of wood anatomy strategies that allow plants to tolerate water stress</w:t>
      </w:r>
      <w:r w:rsidR="009D2CA8">
        <w:t xml:space="preserve"> </w:t>
      </w:r>
      <w:r w:rsidR="009D2CA8">
        <w:fldChar w:fldCharType="begin" w:fldLock="1"/>
      </w:r>
      <w:r w:rsidR="00ED02F3">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Sperry, Pockman, Davis, &amp; McCulloh, 2001; A. Jacobsen &amp; Ewers, 2005; A. L. Jacobsen et al., 2007)" }, "properties" : { "noteIndex" : 0 }, "schema" : "https://github.com/citation-style-language/schema/raw/master/csl-citation.json" }</w:instrText>
      </w:r>
      <w:r w:rsidR="009D2CA8">
        <w:fldChar w:fldCharType="separate"/>
      </w:r>
      <w:r w:rsidR="009D2CA8" w:rsidRPr="009D2CA8">
        <w:rPr>
          <w:noProof/>
        </w:rPr>
        <w:t>(Hacke, Sperry, Pockman, Davis, &amp; McCulloh, 2001; A. Jacobsen &amp; Ewers, 2005; A. L. Jacobsen et al.,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et al., 2009)" }, "properties" : { "noteIndex" : 0 }, "schema" : "https://github.com/citation-style-language/schema/raw/master/csl-citation.json" }</w:instrText>
      </w:r>
      <w:r w:rsidR="009D2CA8">
        <w:fldChar w:fldCharType="separate"/>
      </w:r>
      <w:r w:rsidR="009D2CA8" w:rsidRPr="009D2CA8">
        <w:rPr>
          <w:noProof/>
        </w:rPr>
        <w:t>(Martínez-Cabrera et al.,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ED02F3">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et al., 2011; Zieminska, Butler, Gleason, Wright, &amp; Westoby, 2013)" }, "properties" : { "noteIndex" : 0 }, "schema" : "https://github.com/citation-style-language/schema/raw/master/csl-citation.json" }</w:instrText>
      </w:r>
      <w:r w:rsidR="009D2CA8">
        <w:fldChar w:fldCharType="separate"/>
      </w:r>
      <w:r w:rsidR="009D2CA8" w:rsidRPr="009D2CA8">
        <w:rPr>
          <w:noProof/>
        </w:rPr>
        <w:t>(Lens et al., 2011; Zieminska, Butler, Gleason, Wright, &amp; Westoby, 2013)</w:t>
      </w:r>
      <w:r w:rsidR="009D2CA8">
        <w:fldChar w:fldCharType="end"/>
      </w:r>
      <w:r w:rsidR="009D2CA8">
        <w:t xml:space="preserve"> </w:t>
      </w:r>
      <w:r w:rsidRPr="00EA700F">
        <w:t>and/or aboveground biomass production traits, both of which are tangentially related to wood density.</w:t>
      </w:r>
    </w:p>
    <w:p w14:paraId="22AFAC68" w14:textId="5B75AB18" w:rsidR="00B634E6" w:rsidRPr="00EA700F" w:rsidRDefault="00B634E6" w:rsidP="00B55332">
      <w:pPr>
        <w:jc w:val="both"/>
      </w:pPr>
      <w:r w:rsidRPr="00EA700F">
        <w:t>A more compelling rationale for our findings is that riparian woody plants are again overcompensating for the possibility of rare</w:t>
      </w:r>
      <w:r w:rsidR="006E5D88">
        <w:t>,</w:t>
      </w:r>
      <w:r w:rsidRPr="00EA700F">
        <w:t xml:space="preserve"> life-or-death stress events.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ED02F3">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Balaguer, Martinez-Ferri, Perez-Corona, &amp; Manrique, 2002; Valladares, Chico, &amp; Aranda, 2002)" }, "properties" : { "noteIndex" : 0 }, "schema" : "https://github.com/citation-style-language/schema/raw/master/csl-citation.json" }</w:instrText>
      </w:r>
      <w:r w:rsidR="00FC0DFA">
        <w:fldChar w:fldCharType="separate"/>
      </w:r>
      <w:r w:rsidR="00FC0DFA" w:rsidRPr="00FC0DFA">
        <w:rPr>
          <w:noProof/>
        </w:rPr>
        <w:t>(Valladares, Balaguer, Martinez-Ferri, Perez-Corona, &amp; Manrique, 2002; Valladares, Chico, &amp; Aranda, 2002)</w:t>
      </w:r>
      <w:r w:rsidR="00FC0DFA">
        <w:fldChar w:fldCharType="end"/>
      </w:r>
      <w:r w:rsidR="00FC0DFA">
        <w:t xml:space="preserve"> </w:t>
      </w:r>
      <w:r w:rsidRPr="00EA700F">
        <w:t>and conservative resource-use phenotypes such as high wood density would be favoured (Valladares et al. 2007). Traits associated with conservative resource use and better recovery following periods of extreme stress actually confer as much or greater fitness than traits associated with tolerating the event itself, such as thermotolerance</w:t>
      </w:r>
      <w:r w:rsidR="00B064E3">
        <w:t xml:space="preserve"> </w:t>
      </w:r>
      <w:r w:rsidR="00FC0DFA">
        <w:fldChar w:fldCharType="begin" w:fldLock="1"/>
      </w:r>
      <w:r w:rsidR="00ED02F3">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FC0DFA" w:rsidRPr="00FC0DFA">
        <w:rPr>
          <w:noProof/>
        </w:rPr>
        <w:t>(Gutschick &amp; BassiriRad, 2003)</w:t>
      </w:r>
      <w:r w:rsidR="00FC0DFA">
        <w:fldChar w:fldCharType="end"/>
      </w:r>
      <w:r w:rsidRPr="00EA700F">
        <w:t xml:space="preserve">. </w:t>
      </w:r>
    </w:p>
    <w:p w14:paraId="4875D9DD" w14:textId="684A79DE" w:rsidR="00B634E6" w:rsidRPr="00EA700F" w:rsidRDefault="00B634E6" w:rsidP="00B55332">
      <w:pPr>
        <w:jc w:val="both"/>
      </w:pPr>
      <w:r w:rsidRPr="00EA700F">
        <w:t xml:space="preserve">Strategies in which species avoid harsh hydrological conditions by completing their lifecycles in between extreme events may also be successful. Pioneer species employing a fast relative growth rate, low wood density ecological strategy are benefitted by repeated setbacks to early successional </w:t>
      </w:r>
      <w:r w:rsidRPr="00EA700F">
        <w:lastRenderedPageBreak/>
        <w:t>conditions. Abundance weighted means may obfuscate the true pattern where differentiation in ecological strategy is strong, due to their inability to capture multimodality in trait distributions. In this case, higher abundance of these species would drive down mean wood density values through the upper ranges of disturbance intensity. This observation offers a potential explanation for the goodness of fit of quadratic models which begin to dip after reaching an apex at three quarters of their maximum value, rather than simply app</w:t>
      </w:r>
      <w:r w:rsidR="00FC0DFA">
        <w:t>roaching an asymptote (e.g. Fig 3a,d, Fig 4a,b,d</w:t>
      </w:r>
      <w:r w:rsidRPr="00EA700F">
        <w:t xml:space="preserve">). </w:t>
      </w:r>
    </w:p>
    <w:p w14:paraId="6C33C315" w14:textId="57496E15" w:rsidR="00B634E6" w:rsidRPr="00EA700F" w:rsidRDefault="00B634E6" w:rsidP="00B55332">
      <w:pPr>
        <w:jc w:val="both"/>
      </w:pPr>
      <w:r w:rsidRPr="00EA700F">
        <w:t xml:space="preserve">Another further for coping with harsh conditions is possible. Some species also have the ability to radically change their wood density throughout their life history. </w:t>
      </w:r>
      <w:r w:rsidRPr="00EA700F">
        <w:rPr>
          <w:i/>
        </w:rPr>
        <w:t>Casuarina cunnhinghamiana</w:t>
      </w:r>
      <w:r w:rsidRPr="00EA700F">
        <w:t>, for instance, is an obligate riparian species whose entire life history revolves around response to flooding disturbance</w:t>
      </w:r>
      <w:r w:rsidR="00DB30C6">
        <w:t xml:space="preserve"> </w:t>
      </w:r>
      <w:r w:rsidR="00DB30C6">
        <w:fldChar w:fldCharType="begin" w:fldLock="1"/>
      </w:r>
      <w:r w:rsidR="00ED02F3">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DB30C6">
        <w:fldChar w:fldCharType="separate"/>
      </w:r>
      <w:r w:rsidR="00DB30C6" w:rsidRPr="00DB30C6">
        <w:rPr>
          <w:noProof/>
        </w:rPr>
        <w:t>(Woolfrey &amp; Ladd, 2001)</w:t>
      </w:r>
      <w:r w:rsidR="00DB30C6">
        <w:fldChar w:fldCharType="end"/>
      </w:r>
      <w:r w:rsidRPr="00EA700F">
        <w:t xml:space="preserve">. After seeding </w:t>
      </w:r>
      <w:r w:rsidRPr="00EA700F">
        <w:rPr>
          <w:i/>
        </w:rPr>
        <w:t xml:space="preserve">en masse </w:t>
      </w:r>
      <w:r w:rsidRPr="00EA700F">
        <w:t xml:space="preserve">onto fresh substrate, dense stands of flexible-stemmed saplings emerge, protecting each other from flood flows. Self-thinning subsequently occurs, and stem wood density increases in the maturing plant to help it withstand its environment. This strategy is likewise difficult to capture using abundance weighted means. </w:t>
      </w:r>
    </w:p>
    <w:p w14:paraId="18CFE7A1" w14:textId="4EB0203D" w:rsidR="00B634E6" w:rsidRPr="00EA700F" w:rsidRDefault="00B634E6" w:rsidP="00B55332">
      <w:pPr>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 xml:space="preserve">nalysis integrates predictability of water availability, seasonality and flood intensity into a single axis of hydrological variation. It is not possible to tease out individual drivers of variation in wood density, the conditions associated with both environmental unpredictability and mechanical disturbance act in unison to constrain community wood density to higher mean values. Based on our findings, hydrological regionalisation frameworks that distinguish between rivers according to predictability and perenniality of flow provide a basis for predicting wood density. </w:t>
      </w:r>
    </w:p>
    <w:p w14:paraId="42DF420E" w14:textId="61EE5D58" w:rsidR="00B634E6" w:rsidRPr="00EA700F" w:rsidRDefault="00B634E6" w:rsidP="00B55332">
      <w:pPr>
        <w:jc w:val="both"/>
      </w:pPr>
      <w:r w:rsidRPr="00EA700F">
        <w:t>Hydrological classification therefore becomes useful in projecting changes to the functional attributes of riparian plant communities u</w:t>
      </w:r>
      <w:r w:rsidR="00ED02F3">
        <w:t xml:space="preserve">nder changing 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ED02F3">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7137EA" w:rsidRPr="00EA700F">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 and altering seasonality.  The converse of this situation is presented by predictions of future climatic conditions: i</w:t>
      </w:r>
      <w:r w:rsidRPr="00EA700F">
        <w:rPr>
          <w:lang w:val="en-US"/>
        </w:rPr>
        <w:t>n Australia, warming of 0.4 – 0.7</w:t>
      </w:r>
      <w:r w:rsidRPr="00EA700F">
        <w:rPr>
          <w:vertAlign w:val="superscript"/>
          <w:lang w:val="en-US"/>
        </w:rPr>
        <w:t>o</w:t>
      </w:r>
      <w:r w:rsidRPr="00EA700F">
        <w:rPr>
          <w:lang w:val="en-US"/>
        </w:rPr>
        <w:t xml:space="preserve">C has occurred since 1950, attended by a reduction in rainfall across southern and eastern regions of the continent, and an increase in intensity of droughts.  Increases in flooding and drought are predicted with high confidence over the next century </w:t>
      </w:r>
      <w:r w:rsidRPr="00EA700F">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instrText>
      </w:r>
      <w:r w:rsidRPr="00EA700F">
        <w:rPr>
          <w:lang w:val="en-US"/>
        </w:rPr>
        <w:fldChar w:fldCharType="separate"/>
      </w:r>
      <w:r w:rsidR="007137EA" w:rsidRPr="00EA700F">
        <w:rPr>
          <w:noProof/>
          <w:lang w:val="en-US"/>
        </w:rPr>
        <w:t>(Hennessy et al., 2007)</w:t>
      </w:r>
      <w:r w:rsidRPr="00EA700F">
        <w:rPr>
          <w:lang w:val="en-US"/>
        </w:rPr>
        <w:fldChar w:fldCharType="end"/>
      </w:r>
      <w:r w:rsidRPr="00EA700F">
        <w:rPr>
          <w:lang w:val="en-US"/>
        </w:rPr>
        <w:t>. Overall, climate change projections highlight increasing climatic variability and unpredictability, and intensification of the ENSO phenomenon that is an integral driver of eastern Australia’s climate patterns</w:t>
      </w:r>
      <w:r w:rsidR="00ED02F3">
        <w:rPr>
          <w:lang w:val="en-US"/>
        </w:rPr>
        <w:t xml:space="preserve"> </w:t>
      </w:r>
      <w:r w:rsidR="00ED02F3">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ED02F3">
        <w:rPr>
          <w:lang w:val="en-US"/>
        </w:rPr>
        <w:fldChar w:fldCharType="separate"/>
      </w:r>
      <w:r w:rsidR="00ED02F3" w:rsidRPr="00ED02F3">
        <w:rPr>
          <w:noProof/>
          <w:lang w:val="en-US"/>
        </w:rPr>
        <w:t>(Hennessy et al., 2008)</w:t>
      </w:r>
      <w:r w:rsidR="00ED02F3">
        <w:rPr>
          <w:lang w:val="en-US"/>
        </w:rPr>
        <w:fldChar w:fldCharType="end"/>
      </w:r>
      <w:r w:rsidRPr="00EA700F">
        <w:rPr>
          <w:lang w:val="en-US"/>
        </w:rPr>
        <w:t>.</w:t>
      </w:r>
      <w:r w:rsidRPr="00EA700F">
        <w:t xml:space="preserve"> If changes in spatial extent of climate zones can be related to changes in runoff - a complicated, but progressing area of research in hydroclimatology</w:t>
      </w:r>
      <w:r w:rsidR="00ED02F3">
        <w:t xml:space="preserve"> </w:t>
      </w:r>
      <w:r w:rsidR="00ED02F3">
        <w:fldChar w:fldCharType="begin" w:fldLock="1"/>
      </w:r>
      <w:r w:rsidR="00ED02F3">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ED02F3" w:rsidRPr="00ED02F3">
        <w:rPr>
          <w:noProof/>
        </w:rPr>
        <w:t>(Peel &amp; Bloschl, 2011)</w:t>
      </w:r>
      <w:r w:rsidR="00ED02F3">
        <w:fldChar w:fldCharType="end"/>
      </w:r>
      <w:r w:rsidRPr="00EA700F">
        <w:t xml:space="preserve"> – functional approaches to ecohydrology can give insight into the changing ecology of riparian plant communities.  </w:t>
      </w:r>
    </w:p>
    <w:p w14:paraId="39552D30" w14:textId="02D3C8FF" w:rsidR="00B634E6" w:rsidRPr="00EA700F" w:rsidRDefault="00B634E6" w:rsidP="00B55332">
      <w:pPr>
        <w:jc w:val="both"/>
      </w:pPr>
      <w:r w:rsidRPr="00EA700F">
        <w:t>Our study emphasises the importance of hydrological conditions – particularly disturbance and environmental unpredictability, as determinants of ecological strategy in riparian plants. This is likely to hold important ecological consequences for riparian plant communities in south-eastern Australia, where increasing climatic variability and frequency of extreme events are hallmarks of climate change predictions.</w:t>
      </w:r>
    </w:p>
    <w:p w14:paraId="5EED4427" w14:textId="77777777" w:rsidR="007137EA" w:rsidRPr="00EA700F" w:rsidRDefault="007137EA" w:rsidP="00B55332">
      <w:pPr>
        <w:jc w:val="both"/>
      </w:pPr>
    </w:p>
    <w:p w14:paraId="56AC6DCA" w14:textId="77777777" w:rsidR="007137EA" w:rsidRPr="00EA700F" w:rsidRDefault="007137EA" w:rsidP="00B55332">
      <w:pPr>
        <w:jc w:val="both"/>
      </w:pPr>
    </w:p>
    <w:p w14:paraId="404EE54B" w14:textId="77777777" w:rsidR="007137EA" w:rsidRPr="00EA700F" w:rsidRDefault="007137EA" w:rsidP="00B55332">
      <w:pPr>
        <w:jc w:val="both"/>
      </w:pPr>
    </w:p>
    <w:p w14:paraId="7A8AE9BC" w14:textId="4B4B20E6" w:rsidR="007137EA" w:rsidRPr="00EF3710" w:rsidRDefault="007137EA" w:rsidP="00B55332">
      <w:pPr>
        <w:jc w:val="both"/>
        <w:rPr>
          <w:b/>
          <w:sz w:val="20"/>
          <w:szCs w:val="20"/>
        </w:rPr>
      </w:pPr>
      <w:r w:rsidRPr="00EF3710">
        <w:rPr>
          <w:b/>
          <w:sz w:val="20"/>
          <w:szCs w:val="20"/>
        </w:rPr>
        <w:lastRenderedPageBreak/>
        <w:t>References</w:t>
      </w:r>
    </w:p>
    <w:p w14:paraId="11A99488" w14:textId="3BB85F46" w:rsidR="00ED02F3" w:rsidRPr="00EF3710" w:rsidRDefault="007137EA">
      <w:pPr>
        <w:pStyle w:val="NormalWeb"/>
        <w:ind w:left="480" w:hanging="480"/>
        <w:divId w:val="1853950378"/>
        <w:rPr>
          <w:rFonts w:ascii="Calibri" w:hAnsi="Calibri"/>
          <w:noProof/>
          <w:sz w:val="20"/>
          <w:szCs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ED02F3" w:rsidRPr="00EF3710">
        <w:rPr>
          <w:rFonts w:ascii="Calibri" w:hAnsi="Calibri"/>
          <w:noProof/>
          <w:sz w:val="20"/>
          <w:szCs w:val="20"/>
        </w:rPr>
        <w:t>Arthington, A., Mackay, S., James, C., Rolls, R., Sternberg, D., A, B., &amp; SJ, C. (2012). Ecological limits of hydrologic alteration: a test of the ELOHA framework in south-east Queensland, (75). Retrieved from http://nwc.gov.au/__data/assets/word_doc/0016/21724/Waterlines-75-Ecological-limits-of-hydrologic-alteration.doc</w:t>
      </w:r>
    </w:p>
    <w:p w14:paraId="31B3E26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Augspurger, C. K., &amp; Kelly, C. K. (1984). Pathogen mortality of tropical tree seedlings: experimental studies of the effects of dispersal distance, seedling density, and light conditions.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61</w:t>
      </w:r>
      <w:r w:rsidRPr="00EF3710">
        <w:rPr>
          <w:rFonts w:ascii="Calibri" w:hAnsi="Calibri"/>
          <w:noProof/>
          <w:sz w:val="20"/>
          <w:szCs w:val="20"/>
        </w:rPr>
        <w:t>(2), 211–217. doi:10.1007/BF00396763</w:t>
      </w:r>
    </w:p>
    <w:p w14:paraId="5D013759"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Australian State of the Environment Committee. (2011). Australian State of the Environment Report - Inland Waters.</w:t>
      </w:r>
    </w:p>
    <w:p w14:paraId="12B5387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Catford, J. a., Naiman, R. J., Chambers, L. E., Roberts, J., Douglas, M., &amp; Davies, P. (2012). Predicting Novel Riparian Ecosystems in a Changing Climate. </w:t>
      </w:r>
      <w:r w:rsidRPr="00EF3710">
        <w:rPr>
          <w:rFonts w:ascii="Calibri" w:hAnsi="Calibri"/>
          <w:i/>
          <w:iCs/>
          <w:noProof/>
          <w:sz w:val="20"/>
          <w:szCs w:val="20"/>
        </w:rPr>
        <w:t>Ecosystems</w:t>
      </w:r>
      <w:r w:rsidRPr="00EF3710">
        <w:rPr>
          <w:rFonts w:ascii="Calibri" w:hAnsi="Calibri"/>
          <w:noProof/>
          <w:sz w:val="20"/>
          <w:szCs w:val="20"/>
        </w:rPr>
        <w:t xml:space="preserve">, </w:t>
      </w:r>
      <w:r w:rsidRPr="00EF3710">
        <w:rPr>
          <w:rFonts w:ascii="Calibri" w:hAnsi="Calibri"/>
          <w:i/>
          <w:iCs/>
          <w:noProof/>
          <w:sz w:val="20"/>
          <w:szCs w:val="20"/>
        </w:rPr>
        <w:t>June</w:t>
      </w:r>
      <w:r w:rsidRPr="00EF3710">
        <w:rPr>
          <w:rFonts w:ascii="Calibri" w:hAnsi="Calibri"/>
          <w:noProof/>
          <w:sz w:val="20"/>
          <w:szCs w:val="20"/>
        </w:rPr>
        <w:t>, 1–19. doi:10.1007/s10021-012-9566-7</w:t>
      </w:r>
    </w:p>
    <w:p w14:paraId="4D42D1C4"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Chave, J., Coomes, D., Jansen, S., Lewis, S. L., Swenson, N. G., &amp; Amy, E. (2009). Towards a worldwide wood economics spectrum. </w:t>
      </w:r>
      <w:r w:rsidRPr="00EF3710">
        <w:rPr>
          <w:rFonts w:ascii="Calibri" w:hAnsi="Calibri"/>
          <w:i/>
          <w:iCs/>
          <w:noProof/>
          <w:sz w:val="20"/>
          <w:szCs w:val="20"/>
        </w:rPr>
        <w:t>Ecology Letters</w:t>
      </w:r>
      <w:r w:rsidRPr="00EF3710">
        <w:rPr>
          <w:rFonts w:ascii="Calibri" w:hAnsi="Calibri"/>
          <w:noProof/>
          <w:sz w:val="20"/>
          <w:szCs w:val="20"/>
        </w:rPr>
        <w:t xml:space="preserve">, </w:t>
      </w:r>
      <w:r w:rsidRPr="00EF3710">
        <w:rPr>
          <w:rFonts w:ascii="Calibri" w:hAnsi="Calibri"/>
          <w:i/>
          <w:iCs/>
          <w:noProof/>
          <w:sz w:val="20"/>
          <w:szCs w:val="20"/>
        </w:rPr>
        <w:t>12</w:t>
      </w:r>
      <w:r w:rsidRPr="00EF3710">
        <w:rPr>
          <w:rFonts w:ascii="Calibri" w:hAnsi="Calibri"/>
          <w:noProof/>
          <w:sz w:val="20"/>
          <w:szCs w:val="20"/>
        </w:rPr>
        <w:t>(4), 351–366. doi:10.1111/j.1461-0248.2009.01285.x</w:t>
      </w:r>
    </w:p>
    <w:p w14:paraId="17762512"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Coley, P. (1983). Herbivory and defensive characteristics of tree species in a lowland tropical forest. </w:t>
      </w:r>
      <w:r w:rsidRPr="00EF3710">
        <w:rPr>
          <w:rFonts w:ascii="Calibri" w:hAnsi="Calibri"/>
          <w:i/>
          <w:iCs/>
          <w:noProof/>
          <w:sz w:val="20"/>
          <w:szCs w:val="20"/>
        </w:rPr>
        <w:t>Ecological Monographs</w:t>
      </w:r>
      <w:r w:rsidRPr="00EF3710">
        <w:rPr>
          <w:rFonts w:ascii="Calibri" w:hAnsi="Calibri"/>
          <w:noProof/>
          <w:sz w:val="20"/>
          <w:szCs w:val="20"/>
        </w:rPr>
        <w:t xml:space="preserve">, </w:t>
      </w:r>
      <w:r w:rsidRPr="00EF3710">
        <w:rPr>
          <w:rFonts w:ascii="Calibri" w:hAnsi="Calibri"/>
          <w:i/>
          <w:iCs/>
          <w:noProof/>
          <w:sz w:val="20"/>
          <w:szCs w:val="20"/>
        </w:rPr>
        <w:t>53</w:t>
      </w:r>
      <w:r w:rsidRPr="00EF3710">
        <w:rPr>
          <w:rFonts w:ascii="Calibri" w:hAnsi="Calibri"/>
          <w:noProof/>
          <w:sz w:val="20"/>
          <w:szCs w:val="20"/>
        </w:rPr>
        <w:t>(2). Retrieved from http://www.esajournals.org/doi/abs/10.2307/1942495</w:t>
      </w:r>
    </w:p>
    <w:p w14:paraId="2A78E75A"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Corenblit, D., Steiger, J., Gurnell, A. M., Tabacchi, E., &amp; Roques, L. (2009). Control of sediment dynamics by vegetation as a key function driving biogeomorphic succession within fluvial corridors. </w:t>
      </w:r>
      <w:r w:rsidRPr="00EF3710">
        <w:rPr>
          <w:rFonts w:ascii="Calibri" w:hAnsi="Calibri"/>
          <w:i/>
          <w:iCs/>
          <w:noProof/>
          <w:sz w:val="20"/>
          <w:szCs w:val="20"/>
        </w:rPr>
        <w:t>Earth Surface Processes and Landforms</w:t>
      </w:r>
      <w:r w:rsidRPr="00EF3710">
        <w:rPr>
          <w:rFonts w:ascii="Calibri" w:hAnsi="Calibri"/>
          <w:noProof/>
          <w:sz w:val="20"/>
          <w:szCs w:val="20"/>
        </w:rPr>
        <w:t xml:space="preserve">, </w:t>
      </w:r>
      <w:r w:rsidRPr="00EF3710">
        <w:rPr>
          <w:rFonts w:ascii="Calibri" w:hAnsi="Calibri"/>
          <w:i/>
          <w:iCs/>
          <w:noProof/>
          <w:sz w:val="20"/>
          <w:szCs w:val="20"/>
        </w:rPr>
        <w:t>1810</w:t>
      </w:r>
      <w:r w:rsidRPr="00EF3710">
        <w:rPr>
          <w:rFonts w:ascii="Calibri" w:hAnsi="Calibri"/>
          <w:noProof/>
          <w:sz w:val="20"/>
          <w:szCs w:val="20"/>
        </w:rPr>
        <w:t>, 1790–1810. doi:10.1002/esp</w:t>
      </w:r>
    </w:p>
    <w:p w14:paraId="7B5029EE"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Cornelissen, J. H. C. A., Lavorel, S. B., Garnier, E. B., Díaz, S. C., Buchmann, N. D., Gurvich, D. E. C., … Poorter, H. I. (2003). A handbook of protocols for standardised and easy measurement of plant functional traits worldwide.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51</w:t>
      </w:r>
      <w:r w:rsidRPr="00EF3710">
        <w:rPr>
          <w:rFonts w:ascii="Calibri" w:hAnsi="Calibri"/>
          <w:noProof/>
          <w:sz w:val="20"/>
          <w:szCs w:val="20"/>
        </w:rPr>
        <w:t>(4), 335–380.</w:t>
      </w:r>
    </w:p>
    <w:p w14:paraId="4D657F2E"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Curran, T. J., Gersbach, L. N., Edwards, W., &amp; Krockenberger, A. K. (2008). Wood density predicts plant damage and vegetative recovery rates caused by cyclone disturbance in tropical rainforest tree species of North Queensland, Australia. </w:t>
      </w:r>
      <w:r w:rsidRPr="00EF3710">
        <w:rPr>
          <w:rFonts w:ascii="Calibri" w:hAnsi="Calibri"/>
          <w:i/>
          <w:iCs/>
          <w:noProof/>
          <w:sz w:val="20"/>
          <w:szCs w:val="20"/>
        </w:rPr>
        <w:t>Austral Ecology</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(4), 442–450. doi:10.1111/j.1442-9993.2008.01899.x</w:t>
      </w:r>
    </w:p>
    <w:p w14:paraId="49CCDAF5"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Falster, D. S. (2006). Sapling strength and safety: the importance of wood density in tropical forests.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171</w:t>
      </w:r>
      <w:r w:rsidRPr="00EF3710">
        <w:rPr>
          <w:rFonts w:ascii="Calibri" w:hAnsi="Calibri"/>
          <w:noProof/>
          <w:sz w:val="20"/>
          <w:szCs w:val="20"/>
        </w:rPr>
        <w:t>(2), 237–9. doi:10.1111/j.1469-8137.2006.01809.x</w:t>
      </w:r>
    </w:p>
    <w:p w14:paraId="52F8BB4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Falster, D., &amp; Westoby, M. (2005). Alternative height strategies among 45 dicot rain forest species from tropical Queensland, Australia.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93</w:t>
      </w:r>
      <w:r w:rsidRPr="00EF3710">
        <w:rPr>
          <w:rFonts w:ascii="Calibri" w:hAnsi="Calibri"/>
          <w:noProof/>
          <w:sz w:val="20"/>
          <w:szCs w:val="20"/>
        </w:rPr>
        <w:t>, 521–535. doi:10.1111/j.1365-2745.2005.00992.x</w:t>
      </w:r>
    </w:p>
    <w:p w14:paraId="2B355734"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Gutschick, V. P., &amp; BassiriRad, H. (2003). Extreme events as shaping physiology, ecology, and evolution of plants: toward a unified definition and evaluation of their consequences.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160</w:t>
      </w:r>
      <w:r w:rsidRPr="00EF3710">
        <w:rPr>
          <w:rFonts w:ascii="Calibri" w:hAnsi="Calibri"/>
          <w:noProof/>
          <w:sz w:val="20"/>
          <w:szCs w:val="20"/>
        </w:rPr>
        <w:t>(1), 21–42. doi:10.1046/j.1469-8137.2003.00866.x</w:t>
      </w:r>
    </w:p>
    <w:p w14:paraId="385F3983"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Hacke, U. G., Sperry, J. S., Pockman, W. T., Davis, S. D., &amp; McCulloh, K. a. (2001). Trends in wood density and structure are linked to prevention of xylem implosion by negative pressure.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126</w:t>
      </w:r>
      <w:r w:rsidRPr="00EF3710">
        <w:rPr>
          <w:rFonts w:ascii="Calibri" w:hAnsi="Calibri"/>
          <w:noProof/>
          <w:sz w:val="20"/>
          <w:szCs w:val="20"/>
        </w:rPr>
        <w:t>(4), 457–461. doi:10.1007/s004420100628</w:t>
      </w:r>
    </w:p>
    <w:p w14:paraId="382E2557"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Hennessy, K., Fawcett, R., Kirono, D., Mpelasoka, M., Jones, D., Bathols, J., … Plummer, N. (2008). </w:t>
      </w:r>
      <w:r w:rsidRPr="00EF3710">
        <w:rPr>
          <w:rFonts w:ascii="Calibri" w:hAnsi="Calibri"/>
          <w:i/>
          <w:iCs/>
          <w:noProof/>
          <w:sz w:val="20"/>
          <w:szCs w:val="20"/>
        </w:rPr>
        <w:t>An assessment of the impact of climate change on the nature and frequency of exceptional climatic events</w:t>
      </w:r>
      <w:r w:rsidRPr="00EF3710">
        <w:rPr>
          <w:rFonts w:ascii="Calibri" w:hAnsi="Calibri"/>
          <w:noProof/>
          <w:sz w:val="20"/>
          <w:szCs w:val="20"/>
        </w:rPr>
        <w:t>. Department of Agriculture, Fisheries and Forestry, 2008. Retrieved from http://www.oisaweb.es/documents/10148/30643/Impact+of+climate+change+on+the+nature+of+excepcional+climatic+events.pdf</w:t>
      </w:r>
    </w:p>
    <w:p w14:paraId="5D5B50C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lastRenderedPageBreak/>
        <w:t xml:space="preserve">Hennessy, K., Fitzharris, B., Bates, B. C., Harvey, N., SM, H., L, H., … Warrick, R. (2007). </w:t>
      </w:r>
      <w:r w:rsidRPr="00EF3710">
        <w:rPr>
          <w:rFonts w:ascii="Calibri" w:hAnsi="Calibri"/>
          <w:i/>
          <w:iCs/>
          <w:noProof/>
          <w:sz w:val="20"/>
          <w:szCs w:val="20"/>
        </w:rPr>
        <w:t>Climate Change 2007: Impacts, Adaptation and Vulnerability. Contribution of Working Group II to the Fourth Assessment Report of the Intergovernmental Panel on Climate Change</w:t>
      </w:r>
      <w:r w:rsidRPr="00EF3710">
        <w:rPr>
          <w:rFonts w:ascii="Calibri" w:hAnsi="Calibri"/>
          <w:noProof/>
          <w:sz w:val="20"/>
          <w:szCs w:val="20"/>
        </w:rPr>
        <w:t>. (M. . Parry, O. . Canziani, J. . Palutikof, P. . van der Linden, &amp; C. . Hanson, Eds.) (pp. 507–540). Cambridge: Cambridge University Press.</w:t>
      </w:r>
    </w:p>
    <w:p w14:paraId="1336916D"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Jacobsen, A., &amp; Ewers, F. (2005). Do xylem fibers affect vessel cavitation resistance? </w:t>
      </w:r>
      <w:r w:rsidRPr="00EF3710">
        <w:rPr>
          <w:rFonts w:ascii="Calibri" w:hAnsi="Calibri"/>
          <w:i/>
          <w:iCs/>
          <w:noProof/>
          <w:sz w:val="20"/>
          <w:szCs w:val="20"/>
        </w:rPr>
        <w:t>Plant Physiology</w:t>
      </w:r>
      <w:r w:rsidRPr="00EF3710">
        <w:rPr>
          <w:rFonts w:ascii="Calibri" w:hAnsi="Calibri"/>
          <w:noProof/>
          <w:sz w:val="20"/>
          <w:szCs w:val="20"/>
        </w:rPr>
        <w:t xml:space="preserve">, </w:t>
      </w:r>
      <w:r w:rsidRPr="00EF3710">
        <w:rPr>
          <w:rFonts w:ascii="Calibri" w:hAnsi="Calibri"/>
          <w:i/>
          <w:iCs/>
          <w:noProof/>
          <w:sz w:val="20"/>
          <w:szCs w:val="20"/>
        </w:rPr>
        <w:t>139</w:t>
      </w:r>
      <w:r w:rsidRPr="00EF3710">
        <w:rPr>
          <w:rFonts w:ascii="Calibri" w:hAnsi="Calibri"/>
          <w:noProof/>
          <w:sz w:val="20"/>
          <w:szCs w:val="20"/>
        </w:rPr>
        <w:t>(September), 546–556. doi:10.1104/pp.104.058404.result</w:t>
      </w:r>
    </w:p>
    <w:p w14:paraId="2F75BFBE"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Jacobsen, A. L., Agenbag, L., Esler, K. J., Pratt, R. B., Ewers, F. W., &amp; Davis, S. D. (2007). Xylem density, biomechanics and anatomical traits correlate with water stress in 17 evergreen shrub species of the Mediterranean-type climate region of South Africa.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95</w:t>
      </w:r>
      <w:r w:rsidRPr="00EF3710">
        <w:rPr>
          <w:rFonts w:ascii="Calibri" w:hAnsi="Calibri"/>
          <w:noProof/>
          <w:sz w:val="20"/>
          <w:szCs w:val="20"/>
        </w:rPr>
        <w:t>(1), 171–183. doi:10.1111/j.1365-2745.2006.01186.x</w:t>
      </w:r>
    </w:p>
    <w:p w14:paraId="534997E4"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Kattge, J., Díaz, S., Lavorel, S., Prentice, I. C., Leadley, P., Bönisch, G., … Wirth, C. (2011). TRY - a global database of plant traits. </w:t>
      </w:r>
      <w:r w:rsidRPr="00EF3710">
        <w:rPr>
          <w:rFonts w:ascii="Calibri" w:hAnsi="Calibri"/>
          <w:i/>
          <w:iCs/>
          <w:noProof/>
          <w:sz w:val="20"/>
          <w:szCs w:val="20"/>
        </w:rPr>
        <w:t>Global Change Biology</w:t>
      </w:r>
      <w:r w:rsidRPr="00EF3710">
        <w:rPr>
          <w:rFonts w:ascii="Calibri" w:hAnsi="Calibri"/>
          <w:noProof/>
          <w:sz w:val="20"/>
          <w:szCs w:val="20"/>
        </w:rPr>
        <w:t xml:space="preserve">, </w:t>
      </w:r>
      <w:r w:rsidRPr="00EF3710">
        <w:rPr>
          <w:rFonts w:ascii="Calibri" w:hAnsi="Calibri"/>
          <w:i/>
          <w:iCs/>
          <w:noProof/>
          <w:sz w:val="20"/>
          <w:szCs w:val="20"/>
        </w:rPr>
        <w:t>17</w:t>
      </w:r>
      <w:r w:rsidRPr="00EF3710">
        <w:rPr>
          <w:rFonts w:ascii="Calibri" w:hAnsi="Calibri"/>
          <w:noProof/>
          <w:sz w:val="20"/>
          <w:szCs w:val="20"/>
        </w:rPr>
        <w:t>(9), 2905–2935. doi:10.1111/j.1365-2486.2011.02451.x</w:t>
      </w:r>
    </w:p>
    <w:p w14:paraId="4954E4B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Kennard, M. J., Pusey, B. J., Olden, J. D., Mackay, S. J., Stein, J. L., &amp; Marsh, N. (2010). Classification of natural flow regimes in Australia to support environmental flow management.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171–193. doi:10.1111/j.1365-2427.2009.02307.x</w:t>
      </w:r>
    </w:p>
    <w:p w14:paraId="58D60C2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King, D. a., Davies, S. J., Tan, S., &amp; Noor, N. S. M. (2006). The role of wood density and stem support costs in the growth and mortality of tropical trees.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670–680. doi:10.1111/j.1365-2745.2006.01112.x</w:t>
      </w:r>
    </w:p>
    <w:p w14:paraId="269C1FD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Kraft, N. J. B., Metz, M. R., Condit, R. S., &amp; Chave, J. (2010). The relationship between wood density and mortality in a global tropical forest data set.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188</w:t>
      </w:r>
      <w:r w:rsidRPr="00EF3710">
        <w:rPr>
          <w:rFonts w:ascii="Calibri" w:hAnsi="Calibri"/>
          <w:noProof/>
          <w:sz w:val="20"/>
          <w:szCs w:val="20"/>
        </w:rPr>
        <w:t>(4), 1124–36. doi:10.1111/j.1469-8137.2010.03444.x</w:t>
      </w:r>
    </w:p>
    <w:p w14:paraId="4E7D2F8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Lens, F., Sperry, J. S., Christman, M. a, Choat, B., Rabaey, D., &amp; Jansen, S. (2011). Testing hypotheses that link wood anatomy to cavitation resistance and hydraulic conductivity in the genus Acer.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190</w:t>
      </w:r>
      <w:r w:rsidRPr="00EF3710">
        <w:rPr>
          <w:rFonts w:ascii="Calibri" w:hAnsi="Calibri"/>
          <w:noProof/>
          <w:sz w:val="20"/>
          <w:szCs w:val="20"/>
        </w:rPr>
        <w:t>(3), 709–23. doi:10.1111/j.1469-8137.2010.03518.x</w:t>
      </w:r>
    </w:p>
    <w:p w14:paraId="33951407"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Martínez-Cabrera, H. I., Jones, C. S., Espino, S., &amp; Schenk, H. J. (2009). Wood anatomy and wood density in shrubs: Responses to varying aridity along transcontinental transects.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96</w:t>
      </w:r>
      <w:r w:rsidRPr="00EF3710">
        <w:rPr>
          <w:rFonts w:ascii="Calibri" w:hAnsi="Calibri"/>
          <w:noProof/>
          <w:sz w:val="20"/>
          <w:szCs w:val="20"/>
        </w:rPr>
        <w:t>(8), 1388–98. doi:10.3732/ajb.0800237</w:t>
      </w:r>
    </w:p>
    <w:p w14:paraId="792E1D0B"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McGill, B. J., Enquist, B. J., Weiher, E., &amp; Westoby, M. (2006). Rebuilding community ecology from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(4), 178–85. doi:10.1016/j.tree.2006.02.002</w:t>
      </w:r>
    </w:p>
    <w:p w14:paraId="791D1A4A"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Merritt, D. M., Scott, M. L., Poff, N. L., Auble, G. T., &amp; Lytle, D. a. (2010). Theory, methods and tools for determining environmental flows for riparian vegetation: riparian vegetation-flow response guilds.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206–225. doi:10.1111/j.1365-2427.2009.02206.x</w:t>
      </w:r>
    </w:p>
    <w:p w14:paraId="6C868D47"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Niklas, K. J., &amp; Spatz, H.-C. (2010). Worldwide correlations of mechanical properties and green wood density.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97</w:t>
      </w:r>
      <w:r w:rsidRPr="00EF3710">
        <w:rPr>
          <w:rFonts w:ascii="Calibri" w:hAnsi="Calibri"/>
          <w:noProof/>
          <w:sz w:val="20"/>
          <w:szCs w:val="20"/>
        </w:rPr>
        <w:t>(10), 1587–94. doi:10.3732/ajb.1000150</w:t>
      </w:r>
    </w:p>
    <w:p w14:paraId="00E6DB8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Oksanen, J., Blanchet, F. G., Kindt, R., Legendre, P., Minchin, P. R., O’Hara, R. B., … Wagner, H. (2013). vegan: Community Ecology Package. Retrieved from http://cran.r-project.org/package=vegan</w:t>
      </w:r>
    </w:p>
    <w:p w14:paraId="337F76F9"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Olden, J. D., &amp; Poff, N. L. (2003). Redundancy and the choice of hydrologic indices for characterizing streamflow regimes. </w:t>
      </w:r>
      <w:r w:rsidRPr="00EF3710">
        <w:rPr>
          <w:rFonts w:ascii="Calibri" w:hAnsi="Calibri"/>
          <w:i/>
          <w:iCs/>
          <w:noProof/>
          <w:sz w:val="20"/>
          <w:szCs w:val="20"/>
        </w:rPr>
        <w:t>River Research and Applications</w:t>
      </w:r>
      <w:r w:rsidRPr="00EF3710">
        <w:rPr>
          <w:rFonts w:ascii="Calibri" w:hAnsi="Calibri"/>
          <w:noProof/>
          <w:sz w:val="20"/>
          <w:szCs w:val="20"/>
        </w:rPr>
        <w:t xml:space="preserve">, </w:t>
      </w:r>
      <w:r w:rsidRPr="00EF3710">
        <w:rPr>
          <w:rFonts w:ascii="Calibri" w:hAnsi="Calibri"/>
          <w:i/>
          <w:iCs/>
          <w:noProof/>
          <w:sz w:val="20"/>
          <w:szCs w:val="20"/>
        </w:rPr>
        <w:t>19</w:t>
      </w:r>
      <w:r w:rsidRPr="00EF3710">
        <w:rPr>
          <w:rFonts w:ascii="Calibri" w:hAnsi="Calibri"/>
          <w:noProof/>
          <w:sz w:val="20"/>
          <w:szCs w:val="20"/>
        </w:rPr>
        <w:t>(2), 101–121. doi:10.1002/rra.700</w:t>
      </w:r>
    </w:p>
    <w:p w14:paraId="3C03EE2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Peel, M. C., &amp; Bloschl, G. (2011). Hydrological modelling in a changing world. </w:t>
      </w:r>
      <w:r w:rsidRPr="00EF3710">
        <w:rPr>
          <w:rFonts w:ascii="Calibri" w:hAnsi="Calibri"/>
          <w:i/>
          <w:iCs/>
          <w:noProof/>
          <w:sz w:val="20"/>
          <w:szCs w:val="20"/>
        </w:rPr>
        <w:t>Progress in Physical Geography</w:t>
      </w:r>
      <w:r w:rsidRPr="00EF3710">
        <w:rPr>
          <w:rFonts w:ascii="Calibri" w:hAnsi="Calibri"/>
          <w:noProof/>
          <w:sz w:val="20"/>
          <w:szCs w:val="20"/>
        </w:rPr>
        <w:t xml:space="preserve">, </w:t>
      </w:r>
      <w:r w:rsidRPr="00EF3710">
        <w:rPr>
          <w:rFonts w:ascii="Calibri" w:hAnsi="Calibri"/>
          <w:i/>
          <w:iCs/>
          <w:noProof/>
          <w:sz w:val="20"/>
          <w:szCs w:val="20"/>
        </w:rPr>
        <w:t>35</w:t>
      </w:r>
      <w:r w:rsidRPr="00EF3710">
        <w:rPr>
          <w:rFonts w:ascii="Calibri" w:hAnsi="Calibri"/>
          <w:noProof/>
          <w:sz w:val="20"/>
          <w:szCs w:val="20"/>
        </w:rPr>
        <w:t>(2), 249–261. doi:10.1177/0309133311402550</w:t>
      </w:r>
    </w:p>
    <w:p w14:paraId="7DD3F5EA"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lastRenderedPageBreak/>
        <w:t xml:space="preserve">Poff, N. L., Richter, B. D., Arthington, A. H., Bunn, S. E., Naiman, R. J., Kendy, E., … Warner, A. (2010). The ecological limits of hydrologic alteration (ELOHA): a new framework for developing regional environmental flow standards.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147–170. doi:10.1111/j.1365-2427.2009.02204.x</w:t>
      </w:r>
    </w:p>
    <w:p w14:paraId="478E0CE4"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Poorter, L., McDonald, I., Alarcón, A., Fichtler, E., Licona, J.-C., Peña-Claros, M., … Sass-Klaassen, U. (2010). The importance of wood traits and hydraulic conductance for the performance and life history strategies of 42 rainforest tree species.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185</w:t>
      </w:r>
      <w:r w:rsidRPr="00EF3710">
        <w:rPr>
          <w:rFonts w:ascii="Calibri" w:hAnsi="Calibri"/>
          <w:noProof/>
          <w:sz w:val="20"/>
          <w:szCs w:val="20"/>
        </w:rPr>
        <w:t>(2), 481–92. doi:10.1111/j.1469-8137.2009.03092.x</w:t>
      </w:r>
    </w:p>
    <w:p w14:paraId="2F915C79"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Poorter, L., Wright, S. J., Paz, H., Ackerly, D. D., Condit, R., Ibarra-Manríquez, G., … Wright, I. J. (2008). Are functional traits good predictors of demographic rates? Evidence from five neotropical forests.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89</w:t>
      </w:r>
      <w:r w:rsidRPr="00EF3710">
        <w:rPr>
          <w:rFonts w:ascii="Calibri" w:hAnsi="Calibri"/>
          <w:noProof/>
          <w:sz w:val="20"/>
          <w:szCs w:val="20"/>
        </w:rPr>
        <w:t>(7), 1908–20. Retrieved from http://www.ncbi.nlm.nih.gov/pubmed/18705377</w:t>
      </w:r>
    </w:p>
    <w:p w14:paraId="76955908"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Preston, K. a, Cornwell, W. K., &amp; Denoyer, J. L. (2006). Wood density and vessel traits as distinct correlates of ecological strategy in 51 California coast range angiosperms.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170</w:t>
      </w:r>
      <w:r w:rsidRPr="00EF3710">
        <w:rPr>
          <w:rFonts w:ascii="Calibri" w:hAnsi="Calibri"/>
          <w:noProof/>
          <w:sz w:val="20"/>
          <w:szCs w:val="20"/>
        </w:rPr>
        <w:t>(4), 807–18. doi:10.1111/j.1469-8137.2006.01712.x</w:t>
      </w:r>
    </w:p>
    <w:p w14:paraId="5A858842"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R Core Team. (2013). R: A Language and Environment for Statistical Computing. Vienna, Austria. Retrieved from http://www.r-project.org/</w:t>
      </w:r>
    </w:p>
    <w:p w14:paraId="4FC92BA9"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Reich, P., &amp; Wright, I. (2003). The evolution of plant functional variation: traits, spectra, and strategies. </w:t>
      </w:r>
      <w:r w:rsidRPr="00EF3710">
        <w:rPr>
          <w:rFonts w:ascii="Calibri" w:hAnsi="Calibri"/>
          <w:i/>
          <w:iCs/>
          <w:noProof/>
          <w:sz w:val="20"/>
          <w:szCs w:val="20"/>
        </w:rPr>
        <w:t>International Journal of Plant Sciences</w:t>
      </w:r>
      <w:r w:rsidRPr="00EF3710">
        <w:rPr>
          <w:rFonts w:ascii="Calibri" w:hAnsi="Calibri"/>
          <w:noProof/>
          <w:sz w:val="20"/>
          <w:szCs w:val="20"/>
        </w:rPr>
        <w:t xml:space="preserve">, </w:t>
      </w:r>
      <w:r w:rsidRPr="00EF3710">
        <w:rPr>
          <w:rFonts w:ascii="Calibri" w:hAnsi="Calibri"/>
          <w:i/>
          <w:iCs/>
          <w:noProof/>
          <w:sz w:val="20"/>
          <w:szCs w:val="20"/>
        </w:rPr>
        <w:t>164</w:t>
      </w:r>
      <w:r w:rsidRPr="00EF3710">
        <w:rPr>
          <w:rFonts w:ascii="Calibri" w:hAnsi="Calibri"/>
          <w:noProof/>
          <w:sz w:val="20"/>
          <w:szCs w:val="20"/>
        </w:rPr>
        <w:t>(May 2003), 146–164. Retrieved from http://www.jstor.org/stable/10.1086/374368</w:t>
      </w:r>
    </w:p>
    <w:p w14:paraId="739CCA82"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Russo, S. E., Jenkins, K. L., Wiser, S. K., Uriarte, M., Duncan, R. P., &amp; Coomes, D. a. (2010). Interspecific relationships among growth, mortality and xylem traits of woody species from New Zealand. </w:t>
      </w:r>
      <w:r w:rsidRPr="00EF3710">
        <w:rPr>
          <w:rFonts w:ascii="Calibri" w:hAnsi="Calibri"/>
          <w:i/>
          <w:iCs/>
          <w:noProof/>
          <w:sz w:val="20"/>
          <w:szCs w:val="20"/>
        </w:rPr>
        <w:t>Functional Ecology</w:t>
      </w:r>
      <w:r w:rsidRPr="00EF3710">
        <w:rPr>
          <w:rFonts w:ascii="Calibri" w:hAnsi="Calibri"/>
          <w:noProof/>
          <w:sz w:val="20"/>
          <w:szCs w:val="20"/>
        </w:rPr>
        <w:t xml:space="preserve">, </w:t>
      </w:r>
      <w:r w:rsidRPr="00EF3710">
        <w:rPr>
          <w:rFonts w:ascii="Calibri" w:hAnsi="Calibri"/>
          <w:i/>
          <w:iCs/>
          <w:noProof/>
          <w:sz w:val="20"/>
          <w:szCs w:val="20"/>
        </w:rPr>
        <w:t>24</w:t>
      </w:r>
      <w:r w:rsidRPr="00EF3710">
        <w:rPr>
          <w:rFonts w:ascii="Calibri" w:hAnsi="Calibri"/>
          <w:noProof/>
          <w:sz w:val="20"/>
          <w:szCs w:val="20"/>
        </w:rPr>
        <w:t>(2), 253–262. doi:10.1111/j.1365-2435.2009.01670.x</w:t>
      </w:r>
    </w:p>
    <w:p w14:paraId="6111CE71"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Swenson, N., &amp; Enquist, B. (2007). Ecological and evolutionary determinants of a key plant functional trait: wood density and its community-wide variation across latitude and elevation.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451–459. Retrieved from http://www.amjbot.org/content/94/3/451.short</w:t>
      </w:r>
    </w:p>
    <w:p w14:paraId="0329B094"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Valladares, F., Balaguer, L., Martinez-Ferri, E., Perez-Corona, E., &amp; Manrique, E. (2002). Plasticity, instability and canalization: is the phenotypic variation in seedlings of sclerophyll oaks consistent with the environmental unpredictability of Mediterranean ecosystems?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156</w:t>
      </w:r>
      <w:r w:rsidRPr="00EF3710">
        <w:rPr>
          <w:rFonts w:ascii="Calibri" w:hAnsi="Calibri"/>
          <w:noProof/>
          <w:sz w:val="20"/>
          <w:szCs w:val="20"/>
        </w:rPr>
        <w:t>(3), 457–467. doi:10.1046/j.1469-8137.2002.00525.x</w:t>
      </w:r>
    </w:p>
    <w:p w14:paraId="7167C3FA"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Valladares, F., Chico, J., &amp; Aranda, I. (2002). The greater seedling high-light tolerance of Quercus robur over Fagus sylvatica is linked to a greater physiological plasticity. </w:t>
      </w:r>
      <w:r w:rsidRPr="00EF3710">
        <w:rPr>
          <w:rFonts w:ascii="Calibri" w:hAnsi="Calibri"/>
          <w:i/>
          <w:iCs/>
          <w:noProof/>
          <w:sz w:val="20"/>
          <w:szCs w:val="20"/>
        </w:rPr>
        <w:t>Trees</w:t>
      </w:r>
      <w:r w:rsidRPr="00EF3710">
        <w:rPr>
          <w:rFonts w:ascii="Calibri" w:hAnsi="Calibri"/>
          <w:noProof/>
          <w:sz w:val="20"/>
          <w:szCs w:val="20"/>
        </w:rPr>
        <w:t xml:space="preserve">, </w:t>
      </w:r>
      <w:r w:rsidRPr="00EF3710">
        <w:rPr>
          <w:rFonts w:ascii="Calibri" w:hAnsi="Calibri"/>
          <w:i/>
          <w:iCs/>
          <w:noProof/>
          <w:sz w:val="20"/>
          <w:szCs w:val="20"/>
        </w:rPr>
        <w:t>16</w:t>
      </w:r>
      <w:r w:rsidRPr="00EF3710">
        <w:rPr>
          <w:rFonts w:ascii="Calibri" w:hAnsi="Calibri"/>
          <w:noProof/>
          <w:sz w:val="20"/>
          <w:szCs w:val="20"/>
        </w:rPr>
        <w:t>(6), 395–403. doi:10.1007/s00468-002-0184-4</w:t>
      </w:r>
    </w:p>
    <w:p w14:paraId="34D64017"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Weimann, M., &amp; Williamson, G. (2002). Geographic variation in wood specific gravity: effects of latitude, temperature and precipitation. </w:t>
      </w:r>
      <w:r w:rsidRPr="00EF3710">
        <w:rPr>
          <w:rFonts w:ascii="Calibri" w:hAnsi="Calibri"/>
          <w:i/>
          <w:iCs/>
          <w:noProof/>
          <w:sz w:val="20"/>
          <w:szCs w:val="20"/>
        </w:rPr>
        <w:t>Wood and Fiber Science</w:t>
      </w:r>
      <w:r w:rsidRPr="00EF3710">
        <w:rPr>
          <w:rFonts w:ascii="Calibri" w:hAnsi="Calibri"/>
          <w:noProof/>
          <w:sz w:val="20"/>
          <w:szCs w:val="20"/>
        </w:rPr>
        <w:t xml:space="preserve">, </w:t>
      </w:r>
      <w:r w:rsidRPr="00EF3710">
        <w:rPr>
          <w:rFonts w:ascii="Calibri" w:hAnsi="Calibri"/>
          <w:i/>
          <w:iCs/>
          <w:noProof/>
          <w:sz w:val="20"/>
          <w:szCs w:val="20"/>
        </w:rPr>
        <w:t>34</w:t>
      </w:r>
      <w:r w:rsidRPr="00EF3710">
        <w:rPr>
          <w:rFonts w:ascii="Calibri" w:hAnsi="Calibri"/>
          <w:noProof/>
          <w:sz w:val="20"/>
          <w:szCs w:val="20"/>
        </w:rPr>
        <w:t>(1), 96–107.</w:t>
      </w:r>
    </w:p>
    <w:p w14:paraId="1A657CE9"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Westoby, M. (1998). A leaf-height-seed (LHS) plant ecology strategy scheme. </w:t>
      </w:r>
      <w:r w:rsidRPr="00EF3710">
        <w:rPr>
          <w:rFonts w:ascii="Calibri" w:hAnsi="Calibri"/>
          <w:i/>
          <w:iCs/>
          <w:noProof/>
          <w:sz w:val="20"/>
          <w:szCs w:val="20"/>
        </w:rPr>
        <w:t>Plant and Soil</w:t>
      </w:r>
      <w:r w:rsidRPr="00EF3710">
        <w:rPr>
          <w:rFonts w:ascii="Calibri" w:hAnsi="Calibri"/>
          <w:noProof/>
          <w:sz w:val="20"/>
          <w:szCs w:val="20"/>
        </w:rPr>
        <w:t xml:space="preserve">, </w:t>
      </w:r>
      <w:r w:rsidRPr="00EF3710">
        <w:rPr>
          <w:rFonts w:ascii="Calibri" w:hAnsi="Calibri"/>
          <w:i/>
          <w:iCs/>
          <w:noProof/>
          <w:sz w:val="20"/>
          <w:szCs w:val="20"/>
        </w:rPr>
        <w:t>199</w:t>
      </w:r>
      <w:r w:rsidRPr="00EF3710">
        <w:rPr>
          <w:rFonts w:ascii="Calibri" w:hAnsi="Calibri"/>
          <w:noProof/>
          <w:sz w:val="20"/>
          <w:szCs w:val="20"/>
        </w:rPr>
        <w:t>(2), 213–227. Retrieved from http://www.springerlink.com/index/H5163540255151QR.pdf</w:t>
      </w:r>
    </w:p>
    <w:p w14:paraId="4275C638"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Westoby, M., Falster, D. S., Moles, A. T., Vesk, P. a., &amp; Wright, I. J. (2002). PLANT ECOLOGICAL STRATEGIES: Some Leading Dimensions of Variation Between Species. </w:t>
      </w:r>
      <w:r w:rsidRPr="00EF3710">
        <w:rPr>
          <w:rFonts w:ascii="Calibri" w:hAnsi="Calibri"/>
          <w:i/>
          <w:iCs/>
          <w:noProof/>
          <w:sz w:val="20"/>
          <w:szCs w:val="20"/>
        </w:rPr>
        <w:t>Annual Review of Ecology and Systematics</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(1), 125–159. doi:10.1146/annurev.ecolsys.33.010802.150452</w:t>
      </w:r>
    </w:p>
    <w:p w14:paraId="3B422870"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Westoby, M., &amp; Wright, I. J. (2006). Land-plant ecology on the basis of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(5), 261–8. doi:10.1016/j.tree.2006.02.004</w:t>
      </w:r>
    </w:p>
    <w:p w14:paraId="74161F36"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lastRenderedPageBreak/>
        <w:t xml:space="preserve">Woolfrey, A. R., &amp; Ladd, P. . (2001). Habitat preference and reproductive traits of a major Australian riparian tree species (Casuarina cunninghamiana).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49</w:t>
      </w:r>
      <w:r w:rsidRPr="00EF3710">
        <w:rPr>
          <w:rFonts w:ascii="Calibri" w:hAnsi="Calibri"/>
          <w:noProof/>
          <w:sz w:val="20"/>
          <w:szCs w:val="20"/>
        </w:rPr>
        <w:t>(6), 705–715.</w:t>
      </w:r>
    </w:p>
    <w:p w14:paraId="0FB8423F"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Wright, S. J., Kitajima, K., Kraft, N. J. B., Reich, P. B., Wright, I. J., Bunker, D. E., … Zanne, A. E. (2010). Functional traits and the growth-mortality trade-off in tropical trees.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91</w:t>
      </w:r>
      <w:r w:rsidRPr="00EF3710">
        <w:rPr>
          <w:rFonts w:ascii="Calibri" w:hAnsi="Calibri"/>
          <w:noProof/>
          <w:sz w:val="20"/>
          <w:szCs w:val="20"/>
        </w:rPr>
        <w:t>(12), 3664–74. Retrieved from http://www.ncbi.nlm.nih.gov/pubmed/21302837</w:t>
      </w:r>
    </w:p>
    <w:p w14:paraId="2AD22675" w14:textId="77777777" w:rsidR="00ED02F3" w:rsidRPr="00EF3710" w:rsidRDefault="00ED02F3">
      <w:pPr>
        <w:pStyle w:val="NormalWeb"/>
        <w:ind w:left="480" w:hanging="480"/>
        <w:divId w:val="1853950378"/>
        <w:rPr>
          <w:rFonts w:ascii="Calibri" w:hAnsi="Calibri"/>
          <w:noProof/>
          <w:sz w:val="20"/>
          <w:szCs w:val="20"/>
        </w:rPr>
      </w:pPr>
      <w:r w:rsidRPr="00EF3710">
        <w:rPr>
          <w:rFonts w:ascii="Calibri" w:hAnsi="Calibri"/>
          <w:noProof/>
          <w:sz w:val="20"/>
          <w:szCs w:val="20"/>
        </w:rPr>
        <w:t xml:space="preserve">Zieminska, K., Butler, D. W., Gleason, S. M., Wright, I. J., &amp; Westoby, M. (2013). Fibre wall and lumen fractions drive wood density variation across 24 Australian angiosperms. </w:t>
      </w:r>
      <w:r w:rsidRPr="00EF3710">
        <w:rPr>
          <w:rFonts w:ascii="Calibri" w:hAnsi="Calibri"/>
          <w:i/>
          <w:iCs/>
          <w:noProof/>
          <w:sz w:val="20"/>
          <w:szCs w:val="20"/>
        </w:rPr>
        <w:t>AoB PLANTS</w:t>
      </w:r>
      <w:r w:rsidRPr="00EF3710">
        <w:rPr>
          <w:rFonts w:ascii="Calibri" w:hAnsi="Calibri"/>
          <w:noProof/>
          <w:sz w:val="20"/>
          <w:szCs w:val="20"/>
        </w:rPr>
        <w:t xml:space="preserve">, </w:t>
      </w:r>
      <w:r w:rsidRPr="00EF3710">
        <w:rPr>
          <w:rFonts w:ascii="Calibri" w:hAnsi="Calibri"/>
          <w:i/>
          <w:iCs/>
          <w:noProof/>
          <w:sz w:val="20"/>
          <w:szCs w:val="20"/>
        </w:rPr>
        <w:t>5</w:t>
      </w:r>
      <w:r w:rsidRPr="00EF3710">
        <w:rPr>
          <w:rFonts w:ascii="Calibri" w:hAnsi="Calibri"/>
          <w:noProof/>
          <w:sz w:val="20"/>
          <w:szCs w:val="20"/>
        </w:rPr>
        <w:t>, plt046–plt046. doi:10.1093/aobpla/plt046</w:t>
      </w:r>
    </w:p>
    <w:p w14:paraId="4E656F6A" w14:textId="103B9D5E" w:rsidR="007137EA" w:rsidRPr="00EA700F" w:rsidRDefault="007137EA" w:rsidP="00B55332">
      <w:pPr>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4E6"/>
    <w:rsid w:val="001049B7"/>
    <w:rsid w:val="001133BD"/>
    <w:rsid w:val="00180A63"/>
    <w:rsid w:val="001D57C9"/>
    <w:rsid w:val="00290091"/>
    <w:rsid w:val="00311F05"/>
    <w:rsid w:val="00335320"/>
    <w:rsid w:val="003721C9"/>
    <w:rsid w:val="003F4885"/>
    <w:rsid w:val="005779AB"/>
    <w:rsid w:val="005E166E"/>
    <w:rsid w:val="00617ABD"/>
    <w:rsid w:val="00621641"/>
    <w:rsid w:val="00625ED2"/>
    <w:rsid w:val="00630B93"/>
    <w:rsid w:val="00650D8B"/>
    <w:rsid w:val="0069430E"/>
    <w:rsid w:val="006A025A"/>
    <w:rsid w:val="006B1A67"/>
    <w:rsid w:val="006E5D88"/>
    <w:rsid w:val="006F4B8F"/>
    <w:rsid w:val="007018A5"/>
    <w:rsid w:val="007137EA"/>
    <w:rsid w:val="007166A1"/>
    <w:rsid w:val="007760E7"/>
    <w:rsid w:val="007845D8"/>
    <w:rsid w:val="00842036"/>
    <w:rsid w:val="0085737E"/>
    <w:rsid w:val="00873269"/>
    <w:rsid w:val="00947919"/>
    <w:rsid w:val="009546E2"/>
    <w:rsid w:val="00980EC2"/>
    <w:rsid w:val="009D2CA8"/>
    <w:rsid w:val="00A87877"/>
    <w:rsid w:val="00AF1FDB"/>
    <w:rsid w:val="00B064E3"/>
    <w:rsid w:val="00B55332"/>
    <w:rsid w:val="00B634E6"/>
    <w:rsid w:val="00C175AC"/>
    <w:rsid w:val="00C83CE4"/>
    <w:rsid w:val="00CC24F8"/>
    <w:rsid w:val="00CD354D"/>
    <w:rsid w:val="00D0402B"/>
    <w:rsid w:val="00DB30C6"/>
    <w:rsid w:val="00DE7C76"/>
    <w:rsid w:val="00E665A9"/>
    <w:rsid w:val="00EA700F"/>
    <w:rsid w:val="00ED02F3"/>
    <w:rsid w:val="00EF3710"/>
    <w:rsid w:val="00F42B80"/>
    <w:rsid w:val="00FA2416"/>
    <w:rsid w:val="00FC0DFA"/>
    <w:rsid w:val="00FD17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chartTrackingRefBased/>
  <w15:docId w15:val="{8C2D5DC2-23B6-4210-87FC-D0C9740A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data.water.vic.gov.au/monitoring.ht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realtimedata.water.nsw.gov.au/water.st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36EBD-B0C2-454B-9017-37A008BC6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23</Pages>
  <Words>26016</Words>
  <Characters>148296</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James Lawson</cp:lastModifiedBy>
  <cp:revision>38</cp:revision>
  <dcterms:created xsi:type="dcterms:W3CDTF">2014-03-06T05:57:00Z</dcterms:created>
  <dcterms:modified xsi:type="dcterms:W3CDTF">2014-03-07T04:51:00Z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