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Pr="005E166E" w:rsidRDefault="00B55332" w:rsidP="00B55332">
      <w:pPr>
        <w:jc w:val="both"/>
        <w:rPr>
          <w:i/>
          <w:sz w:val="26"/>
          <w:szCs w:val="26"/>
        </w:rPr>
      </w:pPr>
      <w:r w:rsidRPr="005E166E">
        <w:rPr>
          <w:i/>
          <w:sz w:val="26"/>
          <w:szCs w:val="26"/>
        </w:rPr>
        <w:t>Hydrological conditions predict wood density in Australian riparian plants</w:t>
      </w:r>
    </w:p>
    <w:p w14:paraId="0DB80BF4" w14:textId="4CBD7F21" w:rsidR="005E166E" w:rsidRPr="005E166E" w:rsidRDefault="005E166E" w:rsidP="00B55332">
      <w:pPr>
        <w:jc w:val="both"/>
      </w:pPr>
      <w:r w:rsidRPr="005E166E">
        <w:t>Lawson, James R., Leishman, Michelle R.</w:t>
      </w:r>
    </w:p>
    <w:p w14:paraId="319286A9" w14:textId="77777777" w:rsidR="005E166E" w:rsidRPr="00EA700F" w:rsidRDefault="005E166E" w:rsidP="00B55332">
      <w:pPr>
        <w:jc w:val="both"/>
        <w:rPr>
          <w:b/>
        </w:rPr>
      </w:pPr>
    </w:p>
    <w:p w14:paraId="5FAB362D" w14:textId="1ED39DDF" w:rsidR="005E166E" w:rsidRDefault="005E166E" w:rsidP="00B55332">
      <w:pPr>
        <w:jc w:val="both"/>
        <w:rPr>
          <w:b/>
        </w:rPr>
      </w:pPr>
      <w:r>
        <w:rPr>
          <w:b/>
        </w:rPr>
        <w:t>Abstract</w:t>
      </w:r>
    </w:p>
    <w:p w14:paraId="4B8DED40" w14:textId="77777777" w:rsidR="005E166E" w:rsidRDefault="005E166E" w:rsidP="00B55332">
      <w:pPr>
        <w:jc w:val="both"/>
        <w:rPr>
          <w:b/>
        </w:rPr>
      </w:pPr>
      <w:bookmarkStart w:id="0" w:name="_GoBack"/>
      <w:bookmarkEnd w:id="0"/>
    </w:p>
    <w:p w14:paraId="54155B8B" w14:textId="77777777" w:rsidR="005E166E" w:rsidRDefault="005E166E" w:rsidP="00B55332">
      <w:pPr>
        <w:jc w:val="both"/>
        <w:rPr>
          <w:b/>
        </w:rPr>
      </w:pPr>
    </w:p>
    <w:p w14:paraId="3544881A" w14:textId="77777777" w:rsidR="005E166E" w:rsidRDefault="005E166E" w:rsidP="00B55332">
      <w:pPr>
        <w:jc w:val="both"/>
        <w:rPr>
          <w:b/>
        </w:rPr>
      </w:pPr>
    </w:p>
    <w:p w14:paraId="634263F4" w14:textId="77777777" w:rsidR="005E166E" w:rsidRDefault="005E166E" w:rsidP="00B55332">
      <w:pPr>
        <w:jc w:val="both"/>
        <w:rPr>
          <w:b/>
        </w:rPr>
      </w:pPr>
    </w:p>
    <w:p w14:paraId="629E0A98" w14:textId="77777777" w:rsidR="005E166E" w:rsidRDefault="005E166E" w:rsidP="00B55332">
      <w:pPr>
        <w:jc w:val="both"/>
        <w:rPr>
          <w:b/>
        </w:rPr>
      </w:pPr>
    </w:p>
    <w:p w14:paraId="22304C8B" w14:textId="77777777" w:rsidR="005E166E" w:rsidRDefault="005E166E" w:rsidP="00B55332">
      <w:pPr>
        <w:jc w:val="both"/>
        <w:rPr>
          <w:b/>
        </w:rPr>
      </w:pPr>
    </w:p>
    <w:p w14:paraId="0BD27220" w14:textId="77777777" w:rsidR="005E166E" w:rsidRDefault="005E166E" w:rsidP="00B55332">
      <w:pPr>
        <w:jc w:val="both"/>
        <w:rPr>
          <w:b/>
        </w:rPr>
      </w:pPr>
    </w:p>
    <w:p w14:paraId="42BED1DA" w14:textId="77777777" w:rsidR="005E166E" w:rsidRDefault="005E166E" w:rsidP="00B55332">
      <w:pPr>
        <w:jc w:val="both"/>
        <w:rPr>
          <w:b/>
        </w:rPr>
      </w:pPr>
    </w:p>
    <w:p w14:paraId="1F6408EA" w14:textId="77777777" w:rsidR="005E166E" w:rsidRDefault="005E166E" w:rsidP="00B55332">
      <w:pPr>
        <w:jc w:val="both"/>
        <w:rPr>
          <w:b/>
        </w:rPr>
      </w:pPr>
    </w:p>
    <w:p w14:paraId="38B776A4" w14:textId="77777777" w:rsidR="005E166E" w:rsidRDefault="005E166E" w:rsidP="00B55332">
      <w:pPr>
        <w:jc w:val="both"/>
        <w:rPr>
          <w:b/>
        </w:rPr>
      </w:pPr>
    </w:p>
    <w:p w14:paraId="50A19582" w14:textId="77777777" w:rsidR="005E166E" w:rsidRDefault="005E166E" w:rsidP="00B55332">
      <w:pPr>
        <w:jc w:val="both"/>
        <w:rPr>
          <w:b/>
        </w:rPr>
      </w:pPr>
    </w:p>
    <w:p w14:paraId="6EC69B7A" w14:textId="77777777" w:rsidR="005E166E" w:rsidRDefault="005E166E" w:rsidP="00B55332">
      <w:pPr>
        <w:jc w:val="both"/>
        <w:rPr>
          <w:b/>
        </w:rPr>
      </w:pPr>
    </w:p>
    <w:p w14:paraId="7C2FBD7D" w14:textId="77777777" w:rsidR="005E166E" w:rsidRDefault="005E166E" w:rsidP="00B55332">
      <w:pPr>
        <w:jc w:val="both"/>
        <w:rPr>
          <w:b/>
        </w:rPr>
      </w:pPr>
    </w:p>
    <w:p w14:paraId="5EC452CA" w14:textId="77777777" w:rsidR="005E166E" w:rsidRDefault="005E166E" w:rsidP="00B55332">
      <w:pPr>
        <w:jc w:val="both"/>
        <w:rPr>
          <w:b/>
        </w:rPr>
      </w:pPr>
    </w:p>
    <w:p w14:paraId="5AE28328" w14:textId="77777777" w:rsidR="005E166E" w:rsidRDefault="005E166E" w:rsidP="00B55332">
      <w:pPr>
        <w:jc w:val="both"/>
        <w:rPr>
          <w:b/>
        </w:rPr>
      </w:pPr>
    </w:p>
    <w:p w14:paraId="5B26DE15" w14:textId="77777777" w:rsidR="005E166E" w:rsidRDefault="005E166E" w:rsidP="00B55332">
      <w:pPr>
        <w:jc w:val="both"/>
        <w:rPr>
          <w:b/>
        </w:rPr>
      </w:pPr>
    </w:p>
    <w:p w14:paraId="25230E21" w14:textId="77777777" w:rsidR="005E166E" w:rsidRDefault="005E166E" w:rsidP="00B55332">
      <w:pPr>
        <w:jc w:val="both"/>
        <w:rPr>
          <w:b/>
        </w:rPr>
      </w:pPr>
    </w:p>
    <w:p w14:paraId="37FFD02A" w14:textId="77777777" w:rsidR="005E166E" w:rsidRDefault="005E166E" w:rsidP="00B55332">
      <w:pPr>
        <w:jc w:val="both"/>
        <w:rPr>
          <w:b/>
        </w:rPr>
      </w:pPr>
    </w:p>
    <w:p w14:paraId="63518292" w14:textId="77777777" w:rsidR="005E166E" w:rsidRDefault="005E166E" w:rsidP="00B55332">
      <w:pPr>
        <w:jc w:val="both"/>
        <w:rPr>
          <w:b/>
        </w:rPr>
      </w:pPr>
    </w:p>
    <w:p w14:paraId="6206B273" w14:textId="77777777" w:rsidR="005E166E" w:rsidRDefault="005E166E" w:rsidP="00B55332">
      <w:pPr>
        <w:jc w:val="both"/>
        <w:rPr>
          <w:b/>
        </w:rPr>
      </w:pPr>
    </w:p>
    <w:p w14:paraId="1E9DB600" w14:textId="77777777" w:rsidR="005E166E" w:rsidRDefault="005E166E" w:rsidP="00B55332">
      <w:pPr>
        <w:jc w:val="both"/>
        <w:rPr>
          <w:b/>
        </w:rPr>
      </w:pPr>
    </w:p>
    <w:p w14:paraId="0AF4A54D" w14:textId="77777777" w:rsidR="005E166E" w:rsidRDefault="005E166E" w:rsidP="00B55332">
      <w:pPr>
        <w:jc w:val="both"/>
        <w:rPr>
          <w:b/>
        </w:rPr>
      </w:pPr>
    </w:p>
    <w:p w14:paraId="77C65A78" w14:textId="77777777" w:rsidR="005E166E" w:rsidRDefault="005E166E" w:rsidP="00B55332">
      <w:pPr>
        <w:jc w:val="both"/>
        <w:rPr>
          <w:b/>
        </w:rPr>
      </w:pPr>
    </w:p>
    <w:p w14:paraId="166EC2E8" w14:textId="77777777" w:rsidR="005E166E" w:rsidRDefault="005E166E" w:rsidP="00B55332">
      <w:pPr>
        <w:jc w:val="both"/>
        <w:rPr>
          <w:b/>
        </w:rPr>
      </w:pPr>
    </w:p>
    <w:p w14:paraId="698D2181" w14:textId="77777777" w:rsidR="005E166E" w:rsidRDefault="005E166E" w:rsidP="00B55332">
      <w:pPr>
        <w:jc w:val="both"/>
        <w:rPr>
          <w:b/>
        </w:rPr>
      </w:pPr>
    </w:p>
    <w:p w14:paraId="4912D57F" w14:textId="77777777" w:rsidR="005E166E" w:rsidRDefault="005E166E" w:rsidP="00B55332">
      <w:pPr>
        <w:jc w:val="both"/>
        <w:rPr>
          <w:b/>
        </w:rPr>
      </w:pPr>
    </w:p>
    <w:p w14:paraId="39B78FE6" w14:textId="77777777" w:rsidR="005E166E" w:rsidRPr="00EA700F" w:rsidRDefault="005E166E" w:rsidP="00B55332">
      <w:pPr>
        <w:jc w:val="both"/>
        <w:rPr>
          <w:b/>
        </w:rPr>
      </w:pPr>
    </w:p>
    <w:p w14:paraId="1E23D72B" w14:textId="77777777" w:rsidR="00B634E6" w:rsidRPr="00EA700F" w:rsidRDefault="00B634E6" w:rsidP="00B55332">
      <w:pPr>
        <w:jc w:val="both"/>
        <w:rPr>
          <w:b/>
        </w:rPr>
      </w:pPr>
      <w:r w:rsidRPr="00EA700F">
        <w:rPr>
          <w:b/>
        </w:rPr>
        <w:lastRenderedPageBreak/>
        <w:t>Introduction</w:t>
      </w:r>
    </w:p>
    <w:p w14:paraId="600251EE" w14:textId="655351FA" w:rsidR="00B634E6" w:rsidRPr="00EA700F" w:rsidRDefault="00B634E6" w:rsidP="00B55332">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381DAE01" w:rsidR="00B634E6" w:rsidRPr="00EA700F" w:rsidRDefault="00B634E6" w:rsidP="00B55332">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ecohydrological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ecohydrology </w:t>
      </w:r>
      <w:r w:rsidR="00EA700F" w:rsidRPr="00EA700F">
        <w:t>remain</w:t>
      </w:r>
      <w:r w:rsidRPr="00EA700F">
        <w:t xml:space="preserve"> novel.  </w:t>
      </w:r>
    </w:p>
    <w:p w14:paraId="3608C77B" w14:textId="3EB27941" w:rsidR="00B634E6" w:rsidRPr="00EA700F" w:rsidRDefault="00B634E6" w:rsidP="00B55332">
      <w:pPr>
        <w:spacing w:line="360" w:lineRule="auto"/>
        <w:jc w:val="both"/>
      </w:pPr>
      <w:r w:rsidRPr="00EA700F">
        <w:t xml:space="preserve">Woody plants determine the coarse physical structure of many riparian plant communities and are integral to the interplay of biological and physical elements that drive fluvial biogeomorphic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Consequently, an understanding of the mechanisms of riparian woody plant community assembly will provide important insights into 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3517A012" w:rsidR="00EA700F" w:rsidRDefault="00B634E6" w:rsidP="00B55332">
      <w:pPr>
        <w:spacing w:line="360" w:lineRule="auto"/>
        <w:jc w:val="both"/>
      </w:pPr>
      <w:r w:rsidRPr="00EA700F">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w:t>
      </w:r>
      <w:r w:rsidRPr="00EA700F">
        <w:lastRenderedPageBreak/>
        <w:t>studies</w:t>
      </w:r>
      <w:r w:rsidR="00EA700F">
        <w:t>,</w:t>
      </w:r>
      <w:r w:rsidRPr="00EA700F">
        <w:t xml:space="preserve"> </w:t>
      </w:r>
      <w:r w:rsidR="00EA700F">
        <w:t>and</w:t>
      </w:r>
      <w:r w:rsidRPr="00EA700F">
        <w:t xml:space="preserve"> can provide some insight into the importance of variation in wood density in riparian communities. Dense wood confers mechanical stiffness </w:t>
      </w:r>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herbivory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39DB0A3" w:rsidR="00B634E6" w:rsidRPr="00EA700F" w:rsidRDefault="00B634E6" w:rsidP="00B55332">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wood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resprout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Thus it seems likely that these observed relationships between wood density and recovery from disturbance at the individual level, as well as post-disturbance succession at the community level, </w:t>
      </w:r>
      <w:r w:rsidR="00CD354D">
        <w:t>should also</w:t>
      </w:r>
      <w:r w:rsidRPr="00EA700F">
        <w:t xml:space="preserve"> be true for riparian systems. </w:t>
      </w:r>
    </w:p>
    <w:p w14:paraId="06673F74" w14:textId="6DB2FE58" w:rsidR="00B634E6" w:rsidRPr="00EA700F" w:rsidRDefault="00621641" w:rsidP="00B55332">
      <w:pPr>
        <w:spacing w:line="360" w:lineRule="auto"/>
        <w:jc w:val="both"/>
      </w:pPr>
      <w:r>
        <w:t>While riparian plants have the best access to water in a landscape, dramatic fluctuations in soil moisture are often characteristic of the riparian environment.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Martínez-Cabrera, Jones, Espino, &amp; Schenk, 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B55332">
      <w:pPr>
        <w:spacing w:line="360" w:lineRule="auto"/>
        <w:jc w:val="both"/>
      </w:pPr>
      <w:r>
        <w:lastRenderedPageBreak/>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hydrologically distinct classes of river exhibit differences in wood density? (2) is wood density related to the frequency and magnitude of flood disturbance? (3) is wood density related to predictability of water ava</w:t>
      </w:r>
      <w:r>
        <w:t>ilability in the riparian zone?</w:t>
      </w:r>
    </w:p>
    <w:p w14:paraId="1CE0F579" w14:textId="77777777" w:rsidR="00A87877" w:rsidRPr="00EA700F" w:rsidRDefault="00A87877" w:rsidP="00B55332">
      <w:pPr>
        <w:spacing w:line="360" w:lineRule="auto"/>
        <w:jc w:val="both"/>
      </w:pPr>
    </w:p>
    <w:p w14:paraId="1338AB1E" w14:textId="77777777" w:rsidR="00A87877" w:rsidRPr="00EA700F" w:rsidRDefault="00A87877" w:rsidP="00B55332">
      <w:pPr>
        <w:spacing w:line="360" w:lineRule="auto"/>
        <w:jc w:val="both"/>
      </w:pPr>
    </w:p>
    <w:p w14:paraId="5ACFD6B2" w14:textId="77777777" w:rsidR="00A87877" w:rsidRPr="00EA700F" w:rsidRDefault="00A87877" w:rsidP="00B55332">
      <w:pPr>
        <w:spacing w:line="360" w:lineRule="auto"/>
        <w:jc w:val="both"/>
      </w:pPr>
    </w:p>
    <w:p w14:paraId="6882176A" w14:textId="77777777" w:rsidR="00A87877" w:rsidRPr="00EA700F" w:rsidRDefault="00A87877" w:rsidP="00B55332">
      <w:pPr>
        <w:spacing w:line="360" w:lineRule="auto"/>
        <w:jc w:val="both"/>
      </w:pPr>
    </w:p>
    <w:p w14:paraId="6974AA06" w14:textId="77777777" w:rsidR="00A87877" w:rsidRPr="00EA700F" w:rsidRDefault="00A87877" w:rsidP="00B55332">
      <w:pPr>
        <w:spacing w:line="360" w:lineRule="auto"/>
        <w:jc w:val="both"/>
      </w:pPr>
    </w:p>
    <w:p w14:paraId="346B9FB9" w14:textId="77777777" w:rsidR="00A87877" w:rsidRPr="00EA700F" w:rsidRDefault="00A87877" w:rsidP="00B55332">
      <w:pPr>
        <w:spacing w:line="360" w:lineRule="auto"/>
        <w:jc w:val="both"/>
      </w:pPr>
    </w:p>
    <w:p w14:paraId="769023A6" w14:textId="77777777" w:rsidR="00A87877" w:rsidRPr="00EA700F" w:rsidRDefault="00A87877" w:rsidP="00B55332">
      <w:pPr>
        <w:spacing w:line="360" w:lineRule="auto"/>
        <w:jc w:val="both"/>
      </w:pPr>
    </w:p>
    <w:p w14:paraId="264DD19D" w14:textId="77777777" w:rsidR="00A87877" w:rsidRPr="00EA700F" w:rsidRDefault="00A87877" w:rsidP="00B55332">
      <w:pPr>
        <w:spacing w:line="360" w:lineRule="auto"/>
        <w:jc w:val="both"/>
      </w:pPr>
    </w:p>
    <w:p w14:paraId="1EC4ABD7" w14:textId="77777777" w:rsidR="00A87877" w:rsidRPr="00EA700F" w:rsidRDefault="00A87877" w:rsidP="00B55332">
      <w:pPr>
        <w:spacing w:line="360" w:lineRule="auto"/>
        <w:jc w:val="both"/>
      </w:pPr>
    </w:p>
    <w:p w14:paraId="4A42108E" w14:textId="77777777" w:rsidR="00A87877" w:rsidRPr="00EA700F" w:rsidRDefault="00A87877" w:rsidP="00B55332">
      <w:pPr>
        <w:spacing w:line="360" w:lineRule="auto"/>
        <w:jc w:val="both"/>
      </w:pPr>
    </w:p>
    <w:p w14:paraId="543DF779" w14:textId="77777777" w:rsidR="00A87877" w:rsidRPr="00EA700F" w:rsidRDefault="00A87877" w:rsidP="00B55332">
      <w:pPr>
        <w:spacing w:line="360" w:lineRule="auto"/>
        <w:jc w:val="both"/>
      </w:pPr>
    </w:p>
    <w:p w14:paraId="7204AB58" w14:textId="77777777" w:rsidR="00A87877" w:rsidRPr="00EA700F" w:rsidRDefault="00A87877" w:rsidP="00B55332">
      <w:pPr>
        <w:spacing w:line="360" w:lineRule="auto"/>
        <w:jc w:val="both"/>
      </w:pPr>
    </w:p>
    <w:p w14:paraId="56D07857" w14:textId="77777777" w:rsidR="00A87877" w:rsidRDefault="00A87877" w:rsidP="00B55332">
      <w:pPr>
        <w:spacing w:line="360" w:lineRule="auto"/>
        <w:jc w:val="both"/>
      </w:pPr>
    </w:p>
    <w:p w14:paraId="793CF3FB" w14:textId="77777777" w:rsidR="007018A5" w:rsidRDefault="007018A5" w:rsidP="00B55332">
      <w:pPr>
        <w:spacing w:line="360" w:lineRule="auto"/>
        <w:jc w:val="both"/>
      </w:pPr>
    </w:p>
    <w:p w14:paraId="5515071B" w14:textId="77777777" w:rsidR="007018A5" w:rsidRDefault="007018A5" w:rsidP="00B55332">
      <w:pPr>
        <w:spacing w:line="360" w:lineRule="auto"/>
        <w:jc w:val="both"/>
      </w:pPr>
    </w:p>
    <w:p w14:paraId="21320C2B" w14:textId="77777777" w:rsidR="007018A5" w:rsidRDefault="007018A5" w:rsidP="00B55332">
      <w:pPr>
        <w:spacing w:line="360" w:lineRule="auto"/>
        <w:jc w:val="both"/>
      </w:pPr>
    </w:p>
    <w:p w14:paraId="734BC2F1" w14:textId="77777777" w:rsidR="007018A5" w:rsidRPr="00EA700F" w:rsidRDefault="007018A5" w:rsidP="00B55332">
      <w:pPr>
        <w:spacing w:line="360" w:lineRule="auto"/>
        <w:jc w:val="both"/>
      </w:pPr>
    </w:p>
    <w:p w14:paraId="2B98D008" w14:textId="77777777" w:rsidR="00B634E6" w:rsidRPr="00EA700F" w:rsidRDefault="00B634E6" w:rsidP="00B55332">
      <w:pPr>
        <w:spacing w:line="360" w:lineRule="auto"/>
        <w:jc w:val="both"/>
        <w:rPr>
          <w:b/>
        </w:rPr>
      </w:pPr>
      <w:r w:rsidRPr="00EA700F">
        <w:rPr>
          <w:b/>
        </w:rPr>
        <w:t>Methods</w:t>
      </w:r>
    </w:p>
    <w:p w14:paraId="20719208" w14:textId="77777777" w:rsidR="00B634E6" w:rsidRPr="00EA700F" w:rsidRDefault="00B634E6" w:rsidP="00B55332">
      <w:pPr>
        <w:spacing w:line="360" w:lineRule="auto"/>
        <w:jc w:val="both"/>
        <w:rPr>
          <w:b/>
        </w:rPr>
      </w:pPr>
      <w:r w:rsidRPr="00EA700F">
        <w:rPr>
          <w:b/>
        </w:rPr>
        <w:t>Study site selection</w:t>
      </w:r>
    </w:p>
    <w:p w14:paraId="3FFC0F8D" w14:textId="649D0450" w:rsidR="00B634E6" w:rsidRPr="00EA700F" w:rsidRDefault="00B634E6" w:rsidP="00B55332">
      <w:pPr>
        <w:spacing w:line="360" w:lineRule="auto"/>
        <w:jc w:val="both"/>
      </w:pPr>
      <w:r w:rsidRPr="00EA700F">
        <w:lastRenderedPageBreak/>
        <w:t>Fifteen riparian sites were selected along gauged rivers within the South-East Coast 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baseflow’, ‘unpredictable baseflow’ and ‘unpredictable intermittent’ hydrological classes, as described by Kennard et al. (2010). These are the best represented hydrological classes in eastern NSW and VIC,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7166A1">
      <w:pPr>
        <w:keepNext/>
        <w:spacing w:line="360" w:lineRule="auto"/>
        <w:jc w:val="both"/>
      </w:pPr>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106174" cy="3700364"/>
                    </a:xfrm>
                    <a:prstGeom prst="rect">
                      <a:avLst/>
                    </a:prstGeom>
                  </pic:spPr>
                </pic:pic>
              </a:graphicData>
            </a:graphic>
          </wp:inline>
        </w:drawing>
      </w:r>
    </w:p>
    <w:p w14:paraId="1540BF97" w14:textId="265BD25E" w:rsidR="007166A1" w:rsidRPr="00EA700F" w:rsidRDefault="007166A1" w:rsidP="007166A1">
      <w:pPr>
        <w:pStyle w:val="Caption"/>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Pr="00EA700F">
        <w:rPr>
          <w:sz w:val="22"/>
          <w:szCs w:val="22"/>
        </w:rPr>
        <w:t xml:space="preserve">. </w:t>
      </w:r>
      <w:r w:rsidR="0085737E">
        <w:rPr>
          <w:sz w:val="22"/>
          <w:szCs w:val="22"/>
        </w:rPr>
        <w:t>(I WILL REPLACE THIS MAP WITH SOMETHING SIMPLER/BETTER)</w:t>
      </w:r>
    </w:p>
    <w:p w14:paraId="20EA697E" w14:textId="617AC06F" w:rsidR="007166A1" w:rsidRPr="00EA700F" w:rsidRDefault="00B634E6" w:rsidP="007166A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 xml:space="preserve">2010). To minimise signals associated with human land-use, the following further criteria were used to shortlist possible study sites: intact native riparian vegetation cover (a band of </w:t>
      </w:r>
      <w:r w:rsidRPr="00EA700F">
        <w:lastRenderedPageBreak/>
        <w:t>native riparian vegetation extending &gt;15 m from the channel edge), natural geomorphic condition (lack of significant human-induced erosional or depositional landforms), and minimal catchment 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EA700F">
        <w:rPr>
          <w:rFonts w:cs="Helvetica"/>
        </w:rPr>
        <w:t>NSW Office of Water, Department of Primary Industries)</w:t>
      </w:r>
      <w:r w:rsidRPr="00EA700F">
        <w:t>. Large rivers with catchment area &gt;1000 km</w:t>
      </w:r>
      <w:r w:rsidRPr="00EA700F">
        <w:rPr>
          <w:vertAlign w:val="superscript"/>
        </w:rPr>
        <w:t>2</w:t>
      </w:r>
      <w:r w:rsidRPr="00EA700F">
        <w:t xml:space="preserve"> were </w:t>
      </w:r>
      <w:r w:rsidR="0085737E">
        <w:t>also</w:t>
      </w:r>
      <w:r w:rsidRPr="00EA700F">
        <w:t xml:space="preserve"> removed</w:t>
      </w:r>
      <w:r w:rsidR="0085737E">
        <w:t xml:space="preserve"> from consideration</w:t>
      </w:r>
      <w:r w:rsidRPr="00EA700F">
        <w:t xml:space="preserve">. 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7166A1">
      <w:pPr>
        <w:autoSpaceDE w:val="0"/>
        <w:autoSpaceDN w:val="0"/>
        <w:adjustRightInd w:val="0"/>
        <w:spacing w:after="0" w:line="360" w:lineRule="auto"/>
        <w:jc w:val="both"/>
      </w:pPr>
    </w:p>
    <w:p w14:paraId="7EADD1DD" w14:textId="77777777" w:rsidR="00B634E6" w:rsidRPr="00EA700F" w:rsidRDefault="00B634E6" w:rsidP="00B55332">
      <w:pPr>
        <w:spacing w:line="360" w:lineRule="auto"/>
        <w:jc w:val="both"/>
        <w:rPr>
          <w:b/>
        </w:rPr>
      </w:pPr>
      <w:r w:rsidRPr="00EA700F">
        <w:rPr>
          <w:b/>
        </w:rPr>
        <w:t>Species abundance and trait data collection</w:t>
      </w:r>
    </w:p>
    <w:p w14:paraId="6D58F635" w14:textId="3A7944A6"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Data collection was undertaken between December 2012 and May 2013. At each site, a 10 m by 50 m plot was marked out, with the longest </w:t>
      </w:r>
      <w:r w:rsidR="0085737E">
        <w:rPr>
          <w:rFonts w:eastAsia="Times New Roman" w:cs="Arial"/>
          <w:color w:val="222222"/>
          <w:lang w:eastAsia="en-AU"/>
        </w:rPr>
        <w:t>edge</w:t>
      </w:r>
      <w:r w:rsidRPr="00EA700F">
        <w:rPr>
          <w:rFonts w:eastAsia="Times New Roman" w:cs="Arial"/>
          <w:color w:val="222222"/>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EA700F" w:rsidRDefault="00B634E6" w:rsidP="00B55332">
      <w:pPr>
        <w:shd w:val="clear" w:color="auto" w:fill="FFFFFF"/>
        <w:spacing w:after="0" w:line="360" w:lineRule="auto"/>
        <w:jc w:val="both"/>
        <w:rPr>
          <w:rFonts w:eastAsia="Times New Roman" w:cs="Arial"/>
          <w:color w:val="222222"/>
          <w:lang w:eastAsia="en-AU"/>
        </w:rPr>
      </w:pPr>
    </w:p>
    <w:p w14:paraId="1B624205" w14:textId="594B5E43"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Proportional cover of woody vegetation was assessed at three levels: shrub (1-4 m), subcanopy (4-8 m) and canopy (&gt;8 m). Species were identified using appropriate field guides, and were verified against herbarium specimens at the Macquarie University Herbarium. Hard to identify specimens were identified by staff at the Royal Botanic Gardens, Sydney. </w:t>
      </w:r>
    </w:p>
    <w:p w14:paraId="0E60DE90" w14:textId="3F66B051" w:rsidR="00E665A9" w:rsidRPr="00EA700F" w:rsidRDefault="00B634E6" w:rsidP="00B55332">
      <w:pPr>
        <w:pStyle w:val="Heading1"/>
        <w:shd w:val="clear" w:color="auto" w:fill="FFFFFF"/>
        <w:spacing w:before="240" w:beforeAutospacing="0" w:after="240" w:afterAutospacing="0" w:line="360" w:lineRule="auto"/>
        <w:jc w:val="both"/>
        <w:rPr>
          <w:rFonts w:asciiTheme="minorHAnsi" w:hAnsiTheme="minorHAnsi"/>
          <w:sz w:val="22"/>
          <w:szCs w:val="22"/>
        </w:rPr>
      </w:pPr>
      <w:r w:rsidRPr="00EA700F">
        <w:rPr>
          <w:rFonts w:asciiTheme="minorHAnsi" w:hAnsiTheme="minorHAnsi" w:cs="Arial"/>
          <w:b w:val="0"/>
          <w:bCs w:val="0"/>
          <w:color w:val="222222"/>
          <w:sz w:val="22"/>
          <w:szCs w:val="22"/>
        </w:rPr>
        <w:t xml:space="preserve">Wood samples were collected from dominant woody species present within the plot at &gt;5% cover in shrub, sub canopy or canopy strata, and which had trunks robust enough to core. </w:t>
      </w:r>
      <w:r w:rsidR="0085737E" w:rsidRPr="00EA700F">
        <w:rPr>
          <w:rFonts w:asciiTheme="minorHAnsi" w:hAnsiTheme="minorHAnsi" w:cs="Arial"/>
          <w:b w:val="0"/>
          <w:bCs w:val="0"/>
          <w:color w:val="222222"/>
          <w:sz w:val="22"/>
          <w:szCs w:val="22"/>
        </w:rPr>
        <w:t>100 mm wood sample</w:t>
      </w:r>
      <w:r w:rsidR="0085737E">
        <w:rPr>
          <w:rFonts w:asciiTheme="minorHAnsi" w:hAnsiTheme="minorHAnsi" w:cs="Arial"/>
          <w:b w:val="0"/>
          <w:bCs w:val="0"/>
          <w:color w:val="222222"/>
          <w:sz w:val="22"/>
          <w:szCs w:val="22"/>
        </w:rPr>
        <w:t>s</w:t>
      </w:r>
      <w:r w:rsidR="0085737E" w:rsidRPr="00EA700F">
        <w:rPr>
          <w:rFonts w:asciiTheme="minorHAnsi" w:hAnsiTheme="minorHAnsi" w:cs="Arial"/>
          <w:b w:val="0"/>
          <w:bCs w:val="0"/>
          <w:color w:val="222222"/>
          <w:sz w:val="22"/>
          <w:szCs w:val="22"/>
        </w:rPr>
        <w:t xml:space="preserve"> from each of two individuals per species </w:t>
      </w:r>
      <w:r w:rsidR="0085737E">
        <w:rPr>
          <w:rFonts w:asciiTheme="minorHAnsi" w:hAnsiTheme="minorHAnsi" w:cs="Arial"/>
          <w:b w:val="0"/>
          <w:bCs w:val="0"/>
          <w:color w:val="222222"/>
          <w:sz w:val="22"/>
          <w:szCs w:val="22"/>
        </w:rPr>
        <w:t>were extracted using a</w:t>
      </w:r>
      <w:r w:rsidRPr="00EA700F">
        <w:rPr>
          <w:rFonts w:asciiTheme="minorHAnsi" w:hAnsiTheme="minorHAnsi" w:cs="Arial"/>
          <w:b w:val="0"/>
          <w:bCs w:val="0"/>
          <w:color w:val="222222"/>
          <w:sz w:val="22"/>
          <w:szCs w:val="22"/>
        </w:rPr>
        <w:t xml:space="preserve"> 5.15 mm diameter, triple threaded increment borer (Hagl</w:t>
      </w:r>
      <w:r w:rsidRPr="00EA700F">
        <w:rPr>
          <w:rFonts w:asciiTheme="minorHAnsi" w:hAnsiTheme="minorHAnsi"/>
          <w:b w:val="0"/>
          <w:color w:val="2A343A"/>
          <w:sz w:val="22"/>
          <w:szCs w:val="22"/>
        </w:rPr>
        <w:t>ö</w:t>
      </w:r>
      <w:r w:rsidRPr="00EA700F">
        <w:rPr>
          <w:rFonts w:asciiTheme="minorHAnsi" w:hAnsiTheme="minorHAnsi" w:cs="Arial"/>
          <w:b w:val="0"/>
          <w:bCs w:val="0"/>
          <w:color w:val="222222"/>
          <w:sz w:val="22"/>
          <w:szCs w:val="22"/>
        </w:rPr>
        <w:t>f Sweden)</w:t>
      </w:r>
      <w:r w:rsidR="0085737E">
        <w:rPr>
          <w:rFonts w:asciiTheme="minorHAnsi" w:hAnsiTheme="minorHAnsi" w:cs="Arial"/>
          <w:b w:val="0"/>
          <w:bCs w:val="0"/>
          <w:color w:val="222222"/>
          <w:sz w:val="22"/>
          <w:szCs w:val="22"/>
        </w:rPr>
        <w:t>.</w:t>
      </w:r>
      <w:r w:rsidRPr="00EA700F">
        <w:rPr>
          <w:rFonts w:asciiTheme="minorHAnsi" w:hAnsiTheme="minorHAnsi" w:cs="Arial"/>
          <w:b w:val="0"/>
          <w:bCs w:val="0"/>
          <w:color w:val="222222"/>
          <w:sz w:val="22"/>
          <w:szCs w:val="22"/>
        </w:rPr>
        <w:t xml:space="preserve"> Samples were extracted from the base of the main trunk, 10 cm above the leaf litter level, and air-dried at 20-45°C. On return to the laboratory, samples were rehydrated in deionised water and </w:t>
      </w:r>
      <w:r w:rsidR="0085737E">
        <w:rPr>
          <w:rFonts w:asciiTheme="minorHAnsi" w:hAnsiTheme="minorHAnsi" w:cs="Arial"/>
          <w:b w:val="0"/>
          <w:bCs w:val="0"/>
          <w:color w:val="222222"/>
          <w:sz w:val="22"/>
          <w:szCs w:val="22"/>
        </w:rPr>
        <w:t>10 mm sections of mature w</w:t>
      </w:r>
      <w:r w:rsidR="00290091">
        <w:rPr>
          <w:rFonts w:asciiTheme="minorHAnsi" w:hAnsiTheme="minorHAnsi" w:cs="Arial"/>
          <w:b w:val="0"/>
          <w:bCs w:val="0"/>
          <w:color w:val="222222"/>
          <w:sz w:val="22"/>
          <w:szCs w:val="22"/>
        </w:rPr>
        <w:t>ood were cut with a razor</w:t>
      </w:r>
      <w:r w:rsidRPr="00EA700F">
        <w:rPr>
          <w:rFonts w:asciiTheme="minorHAnsi" w:hAnsiTheme="minorHAnsi" w:cs="Arial"/>
          <w:b w:val="0"/>
          <w:bCs w:val="0"/>
          <w:color w:val="222222"/>
          <w:sz w:val="22"/>
          <w:szCs w:val="22"/>
        </w:rPr>
        <w:t xml:space="preserve">, using visual inspection of vessel occlusion as an indicator of </w:t>
      </w:r>
      <w:r w:rsidR="00290091">
        <w:rPr>
          <w:rFonts w:asciiTheme="minorHAnsi" w:hAnsiTheme="minorHAnsi" w:cs="Arial"/>
          <w:b w:val="0"/>
          <w:bCs w:val="0"/>
          <w:color w:val="222222"/>
          <w:sz w:val="22"/>
          <w:szCs w:val="22"/>
        </w:rPr>
        <w:t>maturity</w:t>
      </w:r>
      <w:r w:rsidRPr="00EA700F">
        <w:rPr>
          <w:rFonts w:asciiTheme="minorHAnsi" w:hAnsiTheme="minorHAnsi" w:cs="Arial"/>
          <w:b w:val="0"/>
          <w:bCs w:val="0"/>
          <w:color w:val="222222"/>
          <w:sz w:val="22"/>
          <w:szCs w:val="22"/>
        </w:rPr>
        <w:t xml:space="preserve">. Sections were measured (x, y and z dimensions) with calipers (Mitzuni) to calculate wet volume, then oven-dried at 80°C for 48 hours and weighed using a microbalance (Mettler Toledo). </w:t>
      </w:r>
      <w:r w:rsidRPr="00EA700F">
        <w:rPr>
          <w:rFonts w:asciiTheme="minorHAnsi" w:hAnsiTheme="minorHAnsi"/>
          <w:b w:val="0"/>
          <w:sz w:val="22"/>
          <w:szCs w:val="22"/>
        </w:rPr>
        <w:t>Wood density was then calculated as the ratio of oven dry mass to wet volume (g/cm</w:t>
      </w:r>
      <w:r w:rsidRPr="00EA700F">
        <w:rPr>
          <w:rFonts w:asciiTheme="minorHAnsi" w:hAnsiTheme="minorHAnsi"/>
          <w:b w:val="0"/>
          <w:sz w:val="22"/>
          <w:szCs w:val="22"/>
          <w:vertAlign w:val="superscript"/>
        </w:rPr>
        <w:t>3</w:t>
      </w:r>
      <w:r w:rsidRPr="00EA700F">
        <w:rPr>
          <w:rFonts w:asciiTheme="minorHAnsi" w:hAnsiTheme="minorHAnsi"/>
          <w:b w:val="0"/>
          <w:sz w:val="22"/>
          <w:szCs w:val="22"/>
        </w:rPr>
        <w:t>).</w:t>
      </w:r>
    </w:p>
    <w:p w14:paraId="3546F488" w14:textId="66B728B8" w:rsidR="00B634E6" w:rsidRPr="00EA700F" w:rsidRDefault="00B634E6" w:rsidP="00B55332">
      <w:pPr>
        <w:spacing w:line="360" w:lineRule="auto"/>
        <w:jc w:val="both"/>
        <w:rPr>
          <w:b/>
        </w:rPr>
      </w:pPr>
      <w:r w:rsidRPr="00EA700F">
        <w:rPr>
          <w:b/>
        </w:rPr>
        <w:t>Hydrological analysis</w:t>
      </w:r>
    </w:p>
    <w:p w14:paraId="7E1FE469" w14:textId="157C603C" w:rsidR="00B634E6" w:rsidRPr="00EA700F" w:rsidRDefault="00B634E6" w:rsidP="00B55332">
      <w:pPr>
        <w:spacing w:line="360" w:lineRule="auto"/>
        <w:jc w:val="both"/>
      </w:pPr>
      <w:r w:rsidRPr="00EA700F">
        <w:lastRenderedPageBreak/>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6" w:history="1">
        <w:r w:rsidRPr="00EA700F">
          <w:rPr>
            <w:rStyle w:val="Hyperlink"/>
          </w:rPr>
          <w:t>http://realtimedata.water.nsw.gov.au/water.stm</w:t>
        </w:r>
      </w:hyperlink>
      <w:r w:rsidRPr="00EA700F">
        <w:t>) (for NSW sites), and the Victoria State Government’s Water Measurement Information System website (</w:t>
      </w:r>
      <w:hyperlink r:id="rId7"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timestamped average daily flow datapoints in units of megalitres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Wallagaraugh River, multiple linear regression was chosen as the most appropriate method. Linear interpolation was used for Jilliby Creek data.</w:t>
      </w:r>
    </w:p>
    <w:p w14:paraId="288A9CA3" w14:textId="77777777" w:rsidR="00B634E6" w:rsidRPr="00EA700F" w:rsidRDefault="00B634E6" w:rsidP="00B55332">
      <w:pPr>
        <w:spacing w:line="360" w:lineRule="auto"/>
        <w:jc w:val="both"/>
      </w:pPr>
      <w:r w:rsidRPr="00EA700F">
        <w:t>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B55332">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7166A1">
            <w:pPr>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625ED2">
            <w:pPr>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B55332">
            <w:pPr>
              <w:jc w:val="both"/>
              <w:rPr>
                <w:rFonts w:eastAsia="Times New Roman" w:cs="Times New Roman"/>
                <w:color w:val="000000"/>
                <w:lang w:eastAsia="en-AU"/>
              </w:rPr>
            </w:pPr>
            <w:r w:rsidRPr="00EA700F">
              <w:t>HSPeaknorm</w:t>
            </w:r>
          </w:p>
        </w:tc>
        <w:tc>
          <w:tcPr>
            <w:tcW w:w="2410" w:type="dxa"/>
            <w:gridSpan w:val="2"/>
          </w:tcPr>
          <w:p w14:paraId="74392C4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B55332">
            <w:pPr>
              <w:jc w:val="both"/>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w:t>
            </w:r>
            <w:r w:rsidRPr="00EA700F">
              <w:lastRenderedPageBreak/>
              <w:t>floods are extreme flow events that have the potential to resculpt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625ED2">
            <w:pPr>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B55332">
            <w:pPr>
              <w:jc w:val="both"/>
              <w:rPr>
                <w:rFonts w:eastAsia="Times New Roman" w:cs="Times New Roman"/>
                <w:color w:val="000000"/>
                <w:lang w:eastAsia="en-AU"/>
              </w:rPr>
            </w:pPr>
            <w:r w:rsidRPr="00EA700F">
              <w:t>CVAnnHSPeak</w:t>
            </w:r>
          </w:p>
        </w:tc>
        <w:tc>
          <w:tcPr>
            <w:tcW w:w="2410" w:type="dxa"/>
            <w:gridSpan w:val="2"/>
          </w:tcPr>
          <w:p w14:paraId="44CDA8B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B55332">
            <w:pPr>
              <w:jc w:val="both"/>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625ED2">
            <w:pPr>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B55332">
            <w:pPr>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B55332">
            <w:pPr>
              <w:jc w:val="both"/>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625ED2">
            <w:pPr>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B55332">
            <w:pPr>
              <w:jc w:val="both"/>
              <w:rPr>
                <w:rFonts w:eastAsia="Times New Roman" w:cs="Times New Roman"/>
                <w:color w:val="000000"/>
                <w:lang w:eastAsia="en-AU"/>
              </w:rPr>
            </w:pPr>
            <w:r w:rsidRPr="00EA700F">
              <w:t>MDFAnnHSNum</w:t>
            </w:r>
          </w:p>
        </w:tc>
        <w:tc>
          <w:tcPr>
            <w:tcW w:w="2410" w:type="dxa"/>
            <w:gridSpan w:val="2"/>
          </w:tcPr>
          <w:p w14:paraId="6E75D8C4"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B55332">
            <w:pPr>
              <w:jc w:val="both"/>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625ED2">
            <w:pPr>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B55332">
            <w:pPr>
              <w:jc w:val="both"/>
              <w:rPr>
                <w:rFonts w:eastAsia="Times New Roman" w:cs="Times New Roman"/>
                <w:color w:val="000000"/>
                <w:lang w:eastAsia="en-AU"/>
              </w:rPr>
            </w:pPr>
            <w:r w:rsidRPr="00EA700F">
              <w:t>CVAnnHSNum</w:t>
            </w:r>
          </w:p>
        </w:tc>
        <w:tc>
          <w:tcPr>
            <w:tcW w:w="2410" w:type="dxa"/>
            <w:gridSpan w:val="2"/>
          </w:tcPr>
          <w:p w14:paraId="72A1924F"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B55332">
            <w:pPr>
              <w:jc w:val="both"/>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625ED2">
            <w:pPr>
              <w:tabs>
                <w:tab w:val="left" w:pos="3160"/>
              </w:tabs>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B55332">
            <w:pPr>
              <w:jc w:val="both"/>
            </w:pPr>
            <w:r w:rsidRPr="00EA700F">
              <w:t>MRateRisenorm</w:t>
            </w:r>
          </w:p>
        </w:tc>
        <w:tc>
          <w:tcPr>
            <w:tcW w:w="2410" w:type="dxa"/>
            <w:gridSpan w:val="2"/>
          </w:tcPr>
          <w:p w14:paraId="4FBCFD73"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B55332">
            <w:pPr>
              <w:jc w:val="both"/>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B55332">
            <w:pPr>
              <w:jc w:val="both"/>
            </w:pPr>
            <w:r w:rsidRPr="00EA700F">
              <w:t>MRateFallnorm</w:t>
            </w:r>
          </w:p>
        </w:tc>
        <w:tc>
          <w:tcPr>
            <w:tcW w:w="2410" w:type="dxa"/>
            <w:gridSpan w:val="2"/>
          </w:tcPr>
          <w:p w14:paraId="1FE486D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B55332">
            <w:pPr>
              <w:jc w:val="both"/>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B55332">
            <w:pPr>
              <w:jc w:val="both"/>
            </w:pPr>
            <w:r w:rsidRPr="00EA700F">
              <w:t>CVAnnMRateRise</w:t>
            </w:r>
          </w:p>
        </w:tc>
        <w:tc>
          <w:tcPr>
            <w:tcW w:w="2410" w:type="dxa"/>
            <w:gridSpan w:val="2"/>
          </w:tcPr>
          <w:p w14:paraId="61A4663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B55332">
            <w:pPr>
              <w:jc w:val="both"/>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B55332">
            <w:pPr>
              <w:jc w:val="both"/>
            </w:pPr>
            <w:r w:rsidRPr="00EA700F">
              <w:t>CVAnnMRateFall</w:t>
            </w:r>
          </w:p>
        </w:tc>
        <w:tc>
          <w:tcPr>
            <w:tcW w:w="2410" w:type="dxa"/>
            <w:gridSpan w:val="2"/>
          </w:tcPr>
          <w:p w14:paraId="4287C4C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B55332">
            <w:pPr>
              <w:jc w:val="both"/>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625ED2">
            <w:pPr>
              <w:rPr>
                <w:rFonts w:eastAsia="Times New Roman" w:cs="Times New Roman"/>
                <w:i/>
                <w:color w:val="000000"/>
                <w:lang w:eastAsia="en-AU"/>
              </w:rPr>
            </w:pPr>
            <w:r w:rsidRPr="00EA700F">
              <w:rPr>
                <w:rFonts w:eastAsia="Times New Roman" w:cs="Times New Roman"/>
                <w:i/>
                <w:color w:val="000000"/>
                <w:lang w:eastAsia="en-AU"/>
              </w:rPr>
              <w:t>Baseflow index</w:t>
            </w:r>
          </w:p>
        </w:tc>
      </w:tr>
      <w:tr w:rsidR="00B634E6" w:rsidRPr="00EA700F" w14:paraId="5F1B9E42" w14:textId="77777777" w:rsidTr="00630B93">
        <w:tc>
          <w:tcPr>
            <w:tcW w:w="2204" w:type="dxa"/>
          </w:tcPr>
          <w:p w14:paraId="3A68D25B"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Baseflow index</w:t>
            </w:r>
          </w:p>
        </w:tc>
        <w:tc>
          <w:tcPr>
            <w:tcW w:w="1902" w:type="dxa"/>
          </w:tcPr>
          <w:p w14:paraId="625ABB22" w14:textId="77777777" w:rsidR="00B634E6" w:rsidRPr="00EA700F" w:rsidRDefault="00B634E6" w:rsidP="00B55332">
            <w:pPr>
              <w:jc w:val="both"/>
            </w:pPr>
            <w:r w:rsidRPr="00EA700F">
              <w:t>BFI</w:t>
            </w:r>
          </w:p>
        </w:tc>
        <w:tc>
          <w:tcPr>
            <w:tcW w:w="2410" w:type="dxa"/>
            <w:gridSpan w:val="2"/>
          </w:tcPr>
          <w:p w14:paraId="4DC9EB8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B55332">
            <w:pPr>
              <w:jc w:val="both"/>
              <w:rPr>
                <w:rFonts w:eastAsia="Times New Roman" w:cs="Times New Roman"/>
                <w:color w:val="000000"/>
                <w:lang w:eastAsia="en-AU"/>
              </w:rPr>
            </w:pPr>
            <w:r w:rsidRPr="00EA700F">
              <w:t xml:space="preserve">Baseflow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baseflow index measures </w:t>
            </w:r>
            <w:r w:rsidRPr="00EA700F">
              <w:lastRenderedPageBreak/>
              <w:t>how predictable baseflow index is between years.</w:t>
            </w:r>
          </w:p>
        </w:tc>
      </w:tr>
      <w:tr w:rsidR="00B634E6" w:rsidRPr="00EA700F" w14:paraId="6FF0FCD0" w14:textId="77777777" w:rsidTr="00630B93">
        <w:tc>
          <w:tcPr>
            <w:tcW w:w="2204" w:type="dxa"/>
          </w:tcPr>
          <w:p w14:paraId="4193258A" w14:textId="77777777" w:rsidR="00B634E6" w:rsidRPr="00EA700F" w:rsidRDefault="00B634E6" w:rsidP="00625ED2">
            <w:pPr>
              <w:rPr>
                <w:rFonts w:eastAsia="Times New Roman" w:cs="Times New Roman"/>
                <w:color w:val="000000"/>
                <w:lang w:eastAsia="en-AU"/>
              </w:rPr>
            </w:pPr>
            <w:r w:rsidRPr="00EA700F">
              <w:rPr>
                <w:color w:val="000000"/>
              </w:rPr>
              <w:t>CV of all years Baseflow Index</w:t>
            </w:r>
          </w:p>
        </w:tc>
        <w:tc>
          <w:tcPr>
            <w:tcW w:w="1902" w:type="dxa"/>
          </w:tcPr>
          <w:p w14:paraId="4513F7A0" w14:textId="77777777" w:rsidR="00B634E6" w:rsidRPr="00EA700F" w:rsidRDefault="00B634E6" w:rsidP="00B55332">
            <w:pPr>
              <w:jc w:val="both"/>
            </w:pPr>
            <w:r w:rsidRPr="00EA700F">
              <w:t>CVAnnBFI</w:t>
            </w:r>
          </w:p>
        </w:tc>
        <w:tc>
          <w:tcPr>
            <w:tcW w:w="2410" w:type="dxa"/>
            <w:gridSpan w:val="2"/>
          </w:tcPr>
          <w:p w14:paraId="2A0F7C7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B55332">
            <w:pPr>
              <w:jc w:val="both"/>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625ED2">
            <w:pP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625ED2">
            <w:pPr>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B55332">
            <w:pPr>
              <w:jc w:val="both"/>
            </w:pPr>
            <w:r w:rsidRPr="00EA700F">
              <w:t>LSPeaknorm</w:t>
            </w:r>
          </w:p>
        </w:tc>
        <w:tc>
          <w:tcPr>
            <w:tcW w:w="2410" w:type="dxa"/>
            <w:gridSpan w:val="2"/>
          </w:tcPr>
          <w:p w14:paraId="3C0198DD"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B55332">
            <w:pPr>
              <w:jc w:val="both"/>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interannual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B55332">
            <w:pPr>
              <w:jc w:val="both"/>
            </w:pPr>
            <w:r w:rsidRPr="00EA700F">
              <w:t>CVAnnLSPeak</w:t>
            </w:r>
          </w:p>
        </w:tc>
        <w:tc>
          <w:tcPr>
            <w:tcW w:w="2410" w:type="dxa"/>
            <w:gridSpan w:val="2"/>
          </w:tcPr>
          <w:p w14:paraId="22420AB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B55332">
            <w:pPr>
              <w:jc w:val="both"/>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B55332">
            <w:pPr>
              <w:jc w:val="both"/>
            </w:pPr>
            <w:r w:rsidRPr="00EA700F">
              <w:t>MDFAnnLSNum</w:t>
            </w:r>
          </w:p>
        </w:tc>
        <w:tc>
          <w:tcPr>
            <w:tcW w:w="2410" w:type="dxa"/>
            <w:gridSpan w:val="2"/>
          </w:tcPr>
          <w:p w14:paraId="4C61CB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B55332">
            <w:pPr>
              <w:jc w:val="both"/>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625ED2">
            <w:pPr>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B55332">
            <w:pPr>
              <w:jc w:val="both"/>
            </w:pPr>
            <w:r w:rsidRPr="00EA700F">
              <w:t>CVAnnLSNum</w:t>
            </w:r>
          </w:p>
        </w:tc>
        <w:tc>
          <w:tcPr>
            <w:tcW w:w="2410" w:type="dxa"/>
            <w:gridSpan w:val="2"/>
          </w:tcPr>
          <w:p w14:paraId="39A86EE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B55332">
            <w:pPr>
              <w:jc w:val="both"/>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B55332">
            <w:pPr>
              <w:jc w:val="both"/>
            </w:pPr>
            <w:r w:rsidRPr="00EA700F">
              <w:t>LSMeanDur</w:t>
            </w:r>
          </w:p>
        </w:tc>
        <w:tc>
          <w:tcPr>
            <w:tcW w:w="2410" w:type="dxa"/>
            <w:gridSpan w:val="2"/>
          </w:tcPr>
          <w:p w14:paraId="48B9C82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B55332">
            <w:pPr>
              <w:jc w:val="both"/>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B55332">
            <w:pPr>
              <w:jc w:val="both"/>
            </w:pPr>
            <w:r w:rsidRPr="00EA700F">
              <w:t>CVAnnLSMeanDur</w:t>
            </w:r>
          </w:p>
        </w:tc>
        <w:tc>
          <w:tcPr>
            <w:tcW w:w="2410" w:type="dxa"/>
            <w:gridSpan w:val="2"/>
          </w:tcPr>
          <w:p w14:paraId="61C7B34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B55332">
            <w:pPr>
              <w:jc w:val="both"/>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B55332">
            <w:pPr>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B55332">
            <w:pPr>
              <w:jc w:val="both"/>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B55332">
            <w:pPr>
              <w:jc w:val="both"/>
            </w:pPr>
            <w:r w:rsidRPr="00EA700F">
              <w:t>MDFAnnUnder0.1</w:t>
            </w:r>
          </w:p>
        </w:tc>
        <w:tc>
          <w:tcPr>
            <w:tcW w:w="2410" w:type="dxa"/>
            <w:gridSpan w:val="2"/>
          </w:tcPr>
          <w:p w14:paraId="02E97B4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B55332">
            <w:pPr>
              <w:jc w:val="both"/>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625ED2">
            <w:pPr>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B55332">
            <w:pPr>
              <w:jc w:val="both"/>
            </w:pPr>
            <w:r w:rsidRPr="00EA700F">
              <w:t>CVAnnMDFAnnUnder0.1</w:t>
            </w:r>
          </w:p>
        </w:tc>
        <w:tc>
          <w:tcPr>
            <w:tcW w:w="2410" w:type="dxa"/>
            <w:gridSpan w:val="2"/>
          </w:tcPr>
          <w:p w14:paraId="05E6882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B55332">
            <w:pPr>
              <w:jc w:val="both"/>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625ED2">
            <w:pP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625ED2">
            <w:pPr>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B55332">
            <w:pPr>
              <w:jc w:val="both"/>
            </w:pPr>
            <w:r w:rsidRPr="00EA700F">
              <w:t>C_MDFM</w:t>
            </w:r>
          </w:p>
        </w:tc>
        <w:tc>
          <w:tcPr>
            <w:tcW w:w="2410" w:type="dxa"/>
            <w:gridSpan w:val="2"/>
          </w:tcPr>
          <w:p w14:paraId="128A97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B55332">
            <w:pPr>
              <w:jc w:val="both"/>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measure of interannual uniformity in seasonal flow patterns, and is maximized when seasonal patterns of flow are consistent between years.  We generated Colwells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625ED2">
            <w:pPr>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B55332">
            <w:pPr>
              <w:jc w:val="both"/>
            </w:pPr>
            <w:r w:rsidRPr="00EA700F">
              <w:t>M_MDFM</w:t>
            </w:r>
          </w:p>
        </w:tc>
        <w:tc>
          <w:tcPr>
            <w:tcW w:w="2410" w:type="dxa"/>
            <w:gridSpan w:val="2"/>
          </w:tcPr>
          <w:p w14:paraId="00DDB2A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B55332">
            <w:pPr>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625ED2">
            <w:pPr>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B55332">
            <w:pPr>
              <w:jc w:val="both"/>
            </w:pPr>
            <w:r w:rsidRPr="00EA700F">
              <w:t>C_MinM</w:t>
            </w:r>
          </w:p>
        </w:tc>
        <w:tc>
          <w:tcPr>
            <w:tcW w:w="2410" w:type="dxa"/>
            <w:gridSpan w:val="2"/>
          </w:tcPr>
          <w:p w14:paraId="25AB01F6"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B55332">
            <w:pPr>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625ED2">
            <w:pPr>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B55332">
            <w:pPr>
              <w:jc w:val="both"/>
            </w:pPr>
            <w:r w:rsidRPr="00EA700F">
              <w:t>M_MinM</w:t>
            </w:r>
          </w:p>
        </w:tc>
        <w:tc>
          <w:tcPr>
            <w:tcW w:w="2410" w:type="dxa"/>
            <w:gridSpan w:val="2"/>
          </w:tcPr>
          <w:p w14:paraId="073DCE8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B55332">
            <w:pPr>
              <w:jc w:val="both"/>
              <w:rPr>
                <w:rFonts w:eastAsia="Times New Roman" w:cs="Times New Roman"/>
                <w:color w:val="000000"/>
                <w:lang w:eastAsia="en-AU"/>
              </w:rPr>
            </w:pPr>
          </w:p>
        </w:tc>
      </w:tr>
    </w:tbl>
    <w:p w14:paraId="7E747D08" w14:textId="03B3C4A8" w:rsidR="00B634E6" w:rsidRPr="00EA700F" w:rsidRDefault="00B634E6" w:rsidP="00B55332">
      <w:pPr>
        <w:pStyle w:val="Caption"/>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76049404" w:rsidR="00B634E6" w:rsidRDefault="00B634E6" w:rsidP="00B55332">
      <w:pPr>
        <w:spacing w:line="360" w:lineRule="auto"/>
        <w:jc w:val="both"/>
      </w:pPr>
      <w:r w:rsidRPr="00EA700F">
        <w:t>Finally, we performed permutational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r w:rsidR="00947919">
        <w:t xml:space="preserve">, </w:t>
      </w:r>
      <w:r w:rsidRPr="00EA700F">
        <w:t xml:space="preserve">across these chosen metrics to confirm that our field sites </w:t>
      </w:r>
      <w:r w:rsidR="00947919">
        <w:t>whether our field sites</w:t>
      </w:r>
      <w:r w:rsidRPr="00EA700F">
        <w:t xml:space="preserve"> comprise three significantly different hydrological categories.</w:t>
      </w:r>
    </w:p>
    <w:p w14:paraId="613F2F5B" w14:textId="1FF95DC3" w:rsidR="00F42B80" w:rsidRDefault="00F42B80" w:rsidP="00B55332">
      <w:pPr>
        <w:spacing w:line="360" w:lineRule="auto"/>
        <w:jc w:val="both"/>
        <w:rPr>
          <w:b/>
        </w:rPr>
      </w:pPr>
      <w:r w:rsidRPr="00F42B80">
        <w:rPr>
          <w:b/>
        </w:rPr>
        <w:t>Data analysis</w:t>
      </w:r>
    </w:p>
    <w:p w14:paraId="31652934" w14:textId="2D2FB03C" w:rsidR="00F42B80" w:rsidRPr="00F42B80" w:rsidRDefault="00F42B80" w:rsidP="00B55332">
      <w:pPr>
        <w:spacing w:line="360" w:lineRule="auto"/>
        <w:jc w:val="both"/>
        <w:rPr>
          <w:b/>
        </w:rPr>
      </w:pPr>
      <w:r>
        <w:t xml:space="preserve">All statistical analyses in this study 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w:t>
      </w:r>
      <w:r>
        <w:t xml:space="preserve"> Statistical significance was thresholded at alpha = 0.05.</w:t>
      </w:r>
    </w:p>
    <w:p w14:paraId="173753BF" w14:textId="77777777" w:rsidR="00B634E6" w:rsidRPr="00F42B80" w:rsidRDefault="00B634E6" w:rsidP="00B55332">
      <w:pPr>
        <w:spacing w:line="360" w:lineRule="auto"/>
        <w:jc w:val="both"/>
        <w:rPr>
          <w:i/>
        </w:rPr>
      </w:pPr>
      <w:r w:rsidRPr="00F42B80">
        <w:rPr>
          <w:i/>
        </w:rPr>
        <w:t>Abundance weighted site means of wood density</w:t>
      </w:r>
    </w:p>
    <w:p w14:paraId="40948BC5" w14:textId="77777777" w:rsidR="00B634E6" w:rsidRPr="00EA700F" w:rsidRDefault="00B634E6" w:rsidP="00B55332">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subcanopy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B55332">
      <w:pPr>
        <w:spacing w:line="360" w:lineRule="auto"/>
        <w:jc w:val="both"/>
        <w:rPr>
          <w:i/>
        </w:rPr>
      </w:pPr>
      <w:r w:rsidRPr="00F42B80">
        <w:rPr>
          <w:i/>
        </w:rPr>
        <w:t>Comparing wood density between hydrological classes</w:t>
      </w:r>
    </w:p>
    <w:p w14:paraId="59004043" w14:textId="0904D031" w:rsidR="00B634E6" w:rsidRPr="00EA700F" w:rsidRDefault="00B634E6" w:rsidP="00B55332">
      <w:pPr>
        <w:spacing w:line="360" w:lineRule="auto"/>
        <w:jc w:val="both"/>
      </w:pPr>
      <w:r w:rsidRPr="00EA700F">
        <w:t>Raw species trait values were lumped according to the hydrological class membership</w:t>
      </w:r>
      <w:r w:rsidR="006F4B8F">
        <w:t>,</w:t>
      </w:r>
      <w:r w:rsidRPr="00EA700F">
        <w:t xml:space="preserve"> and differences between classes tested for using a post-hoc Tukey’s HSD test. This test was repeated using class-lumped abundance weighted site means. </w:t>
      </w:r>
    </w:p>
    <w:p w14:paraId="79AE2560" w14:textId="77777777" w:rsidR="00B634E6" w:rsidRPr="00F42B80" w:rsidRDefault="00B634E6" w:rsidP="00B55332">
      <w:pPr>
        <w:spacing w:line="360" w:lineRule="auto"/>
        <w:jc w:val="both"/>
        <w:rPr>
          <w:i/>
        </w:rPr>
      </w:pPr>
      <w:r w:rsidRPr="00F42B80">
        <w:rPr>
          <w:i/>
        </w:rPr>
        <w:t>Testing relationships between mean wood density and hydrological conditions</w:t>
      </w:r>
    </w:p>
    <w:p w14:paraId="1968B0C2" w14:textId="3E57EF39" w:rsidR="00335320" w:rsidRDefault="00B634E6" w:rsidP="006F4B8F">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resulting p values using the Benjamini and Hochberg (BH) 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w:t>
      </w:r>
      <w:r w:rsidRPr="00EA700F">
        <w:lastRenderedPageBreak/>
        <w:t xml:space="preserve">highly autocorrelated. The BH procedure has been shown to control the false discovery rate for positively dependent test statistics (Benjamini and Yekutieli,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Pr="00EA700F">
        <w:t xml:space="preserve">over hydrological metrics </w:t>
      </w:r>
      <w:r w:rsidR="00842036" w:rsidRPr="00EA700F">
        <w:t>showing</w:t>
      </w:r>
      <w:r w:rsidRPr="00EA700F">
        <w:t xml:space="preserve"> significant relationships with site mean wood density values.</w:t>
      </w:r>
    </w:p>
    <w:p w14:paraId="2F2B744C" w14:textId="77777777" w:rsidR="00F42B80" w:rsidRDefault="00F42B80" w:rsidP="006F4B8F">
      <w:pPr>
        <w:spacing w:line="360" w:lineRule="auto"/>
        <w:jc w:val="both"/>
      </w:pPr>
    </w:p>
    <w:p w14:paraId="3DD0D713" w14:textId="77777777" w:rsidR="00F42B80" w:rsidRDefault="00F42B80" w:rsidP="006F4B8F">
      <w:pPr>
        <w:spacing w:line="360" w:lineRule="auto"/>
        <w:jc w:val="both"/>
      </w:pPr>
    </w:p>
    <w:p w14:paraId="7D91237C" w14:textId="77777777" w:rsidR="00F42B80" w:rsidRDefault="00F42B80" w:rsidP="006F4B8F">
      <w:pPr>
        <w:spacing w:line="360" w:lineRule="auto"/>
        <w:jc w:val="both"/>
      </w:pPr>
    </w:p>
    <w:p w14:paraId="2A5DC810" w14:textId="77777777" w:rsidR="00F42B80" w:rsidRDefault="00F42B80" w:rsidP="006F4B8F">
      <w:pPr>
        <w:spacing w:line="360" w:lineRule="auto"/>
        <w:jc w:val="both"/>
      </w:pPr>
    </w:p>
    <w:p w14:paraId="48E49197" w14:textId="77777777" w:rsidR="00F42B80" w:rsidRDefault="00F42B80" w:rsidP="006F4B8F">
      <w:pPr>
        <w:spacing w:line="360" w:lineRule="auto"/>
        <w:jc w:val="both"/>
      </w:pPr>
    </w:p>
    <w:p w14:paraId="0F28A6A2" w14:textId="77777777" w:rsidR="00F42B80" w:rsidRDefault="00F42B80" w:rsidP="006F4B8F">
      <w:pPr>
        <w:spacing w:line="360" w:lineRule="auto"/>
        <w:jc w:val="both"/>
      </w:pPr>
    </w:p>
    <w:p w14:paraId="37130498" w14:textId="77777777" w:rsidR="00F42B80" w:rsidRDefault="00F42B80" w:rsidP="006F4B8F">
      <w:pPr>
        <w:spacing w:line="360" w:lineRule="auto"/>
        <w:jc w:val="both"/>
      </w:pPr>
    </w:p>
    <w:p w14:paraId="093B5F5E" w14:textId="77777777" w:rsidR="00F42B80" w:rsidRDefault="00F42B80" w:rsidP="006F4B8F">
      <w:pPr>
        <w:spacing w:line="360" w:lineRule="auto"/>
        <w:jc w:val="both"/>
      </w:pPr>
    </w:p>
    <w:p w14:paraId="517D3FEF" w14:textId="77777777" w:rsidR="00F42B80" w:rsidRDefault="00F42B80" w:rsidP="006F4B8F">
      <w:pPr>
        <w:spacing w:line="360" w:lineRule="auto"/>
        <w:jc w:val="both"/>
      </w:pPr>
    </w:p>
    <w:p w14:paraId="53712929" w14:textId="77777777" w:rsidR="00F42B80" w:rsidRDefault="00F42B80" w:rsidP="006F4B8F">
      <w:pPr>
        <w:spacing w:line="360" w:lineRule="auto"/>
        <w:jc w:val="both"/>
      </w:pPr>
    </w:p>
    <w:p w14:paraId="5AA8C956" w14:textId="77777777" w:rsidR="00F42B80" w:rsidRDefault="00F42B80" w:rsidP="006F4B8F">
      <w:pPr>
        <w:spacing w:line="360" w:lineRule="auto"/>
        <w:jc w:val="both"/>
      </w:pPr>
    </w:p>
    <w:p w14:paraId="446F5506" w14:textId="77777777" w:rsidR="00F42B80" w:rsidRDefault="00F42B80" w:rsidP="006F4B8F">
      <w:pPr>
        <w:spacing w:line="360" w:lineRule="auto"/>
        <w:jc w:val="both"/>
      </w:pPr>
    </w:p>
    <w:p w14:paraId="0A606C33" w14:textId="77777777" w:rsidR="00F42B80" w:rsidRDefault="00F42B80" w:rsidP="006F4B8F">
      <w:pPr>
        <w:spacing w:line="360" w:lineRule="auto"/>
        <w:jc w:val="both"/>
      </w:pPr>
    </w:p>
    <w:p w14:paraId="5303ADE3" w14:textId="77777777" w:rsidR="00F42B80" w:rsidRDefault="00F42B80" w:rsidP="006F4B8F">
      <w:pPr>
        <w:spacing w:line="360" w:lineRule="auto"/>
        <w:jc w:val="both"/>
      </w:pPr>
    </w:p>
    <w:p w14:paraId="41C976ED" w14:textId="77777777" w:rsidR="00F42B80" w:rsidRDefault="00F42B80" w:rsidP="006F4B8F">
      <w:pPr>
        <w:spacing w:line="360" w:lineRule="auto"/>
        <w:jc w:val="both"/>
      </w:pPr>
    </w:p>
    <w:p w14:paraId="70D7440B" w14:textId="77777777" w:rsidR="00F42B80" w:rsidRDefault="00F42B80" w:rsidP="006F4B8F">
      <w:pPr>
        <w:spacing w:line="360" w:lineRule="auto"/>
        <w:jc w:val="both"/>
      </w:pPr>
    </w:p>
    <w:p w14:paraId="4C44F69C" w14:textId="77777777" w:rsidR="00F42B80" w:rsidRDefault="00F42B80" w:rsidP="006F4B8F">
      <w:pPr>
        <w:spacing w:line="360" w:lineRule="auto"/>
        <w:jc w:val="both"/>
      </w:pPr>
    </w:p>
    <w:p w14:paraId="45072F6D" w14:textId="77777777" w:rsidR="00F42B80" w:rsidRDefault="00F42B80" w:rsidP="006F4B8F">
      <w:pPr>
        <w:spacing w:line="360" w:lineRule="auto"/>
        <w:jc w:val="both"/>
      </w:pPr>
    </w:p>
    <w:p w14:paraId="44A584BB" w14:textId="77777777" w:rsidR="00F42B80" w:rsidRDefault="00F42B80" w:rsidP="006F4B8F">
      <w:pPr>
        <w:spacing w:line="360" w:lineRule="auto"/>
        <w:jc w:val="both"/>
      </w:pPr>
    </w:p>
    <w:p w14:paraId="397E2905" w14:textId="77777777" w:rsidR="00F42B80" w:rsidRDefault="00F42B80" w:rsidP="00B55332">
      <w:pPr>
        <w:jc w:val="both"/>
      </w:pPr>
    </w:p>
    <w:p w14:paraId="718CA37B" w14:textId="5644D9FE" w:rsidR="00B634E6" w:rsidRPr="00EA700F" w:rsidRDefault="00335320" w:rsidP="00B55332">
      <w:pPr>
        <w:jc w:val="both"/>
        <w:rPr>
          <w:b/>
        </w:rPr>
      </w:pPr>
      <w:r w:rsidRPr="00EA700F">
        <w:rPr>
          <w:b/>
        </w:rPr>
        <w:t>Results</w:t>
      </w:r>
    </w:p>
    <w:p w14:paraId="3B68A3F0" w14:textId="77777777" w:rsidR="00B634E6" w:rsidRPr="00EA700F" w:rsidRDefault="00B634E6" w:rsidP="00B55332">
      <w:pPr>
        <w:jc w:val="both"/>
      </w:pPr>
      <w:r w:rsidRPr="00EA700F">
        <w:rPr>
          <w:i/>
        </w:rPr>
        <w:lastRenderedPageBreak/>
        <w:t>Confirmation of hydrological classes</w:t>
      </w:r>
    </w:p>
    <w:p w14:paraId="38660A93" w14:textId="27F04AF4" w:rsidR="00B634E6" w:rsidRPr="00EA700F" w:rsidRDefault="00B634E6" w:rsidP="00B55332">
      <w:pPr>
        <w:jc w:val="both"/>
      </w:pPr>
      <w:r w:rsidRPr="00EA700F">
        <w:t>The three classes of river in this study were significantly different across the chosen hydrological metrics</w:t>
      </w:r>
      <w:r w:rsidR="00F42B80">
        <w:t>. Stable baseflow rivers</w:t>
      </w:r>
      <w:r w:rsidRPr="00EA700F">
        <w:t xml:space="preserve"> were most different from unpredictable intermittent rivers, R</w:t>
      </w:r>
      <w:r w:rsidRPr="00EA700F">
        <w:rPr>
          <w:vertAlign w:val="superscript"/>
        </w:rPr>
        <w:t>2</w:t>
      </w:r>
      <w:r w:rsidRPr="00EA700F">
        <w:t xml:space="preserve"> = 0.644, and slightly less so from unpredictable baseflow rivers</w:t>
      </w:r>
      <w:r w:rsidR="00F42B80">
        <w:t>,</w:t>
      </w:r>
      <w:r w:rsidRPr="00EA700F">
        <w:t xml:space="preserve"> R</w:t>
      </w:r>
      <w:r w:rsidRPr="00EA700F">
        <w:rPr>
          <w:vertAlign w:val="superscript"/>
        </w:rPr>
        <w:t>2</w:t>
      </w:r>
      <w:r w:rsidRPr="00EA700F">
        <w:t xml:space="preserve"> = 0.617. Unpredictable intermittent and unpredictable baseflow rivers exhibited greater similarity, R</w:t>
      </w:r>
      <w:r w:rsidRPr="00EA700F">
        <w:rPr>
          <w:vertAlign w:val="superscript"/>
        </w:rPr>
        <w:t>2</w:t>
      </w:r>
      <w:r w:rsidRPr="00EA700F">
        <w:t xml:space="preserve"> = 0.379.</w:t>
      </w:r>
    </w:p>
    <w:p w14:paraId="3DB081D1" w14:textId="77777777" w:rsidR="00B634E6" w:rsidRPr="00EA700F" w:rsidRDefault="00B634E6" w:rsidP="00B55332">
      <w:pPr>
        <w:jc w:val="both"/>
      </w:pPr>
      <w:r w:rsidRPr="00EA700F">
        <w:rPr>
          <w:i/>
        </w:rPr>
        <w:t>Differences in wood density between hydrological classes</w:t>
      </w:r>
    </w:p>
    <w:p w14:paraId="377115A7" w14:textId="30AD72AD" w:rsidR="00B634E6" w:rsidRPr="00EA700F" w:rsidRDefault="00B634E6" w:rsidP="00B55332">
      <w:pPr>
        <w:jc w:val="both"/>
      </w:pPr>
      <w:r w:rsidRPr="00EA700F">
        <w:t xml:space="preserve">Using abundance weighted site mean values, wood density was found to be significantly different between unpredictable baseflow rivers and stable baseflow rivers. The difference btween unpredictable intermittent rivers and stable baseflow rivers </w:t>
      </w:r>
      <w:r w:rsidR="00F42B80">
        <w:t>approached significance (p</w:t>
      </w:r>
      <w:r w:rsidRPr="00EA700F">
        <w:t xml:space="preserve"> = 0.052), indicating that differences wood density between classes of river tracks differences in hydrology. No significant difference in raw wood density values was found between hydrological classes.</w:t>
      </w:r>
      <w:r w:rsidRPr="00EA700F">
        <w:br/>
      </w:r>
    </w:p>
    <w:p w14:paraId="085882A2" w14:textId="77777777" w:rsidR="00B634E6" w:rsidRPr="00EA700F" w:rsidRDefault="00B634E6" w:rsidP="00B55332">
      <w:pPr>
        <w:keepNext/>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8">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9">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3B8B1E10" w:rsidR="00B634E6" w:rsidRPr="00EA700F" w:rsidRDefault="00B634E6" w:rsidP="00B55332">
      <w:pPr>
        <w:pStyle w:val="Caption"/>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mean.</w:t>
      </w:r>
      <w:r w:rsidR="00F42B80">
        <w:rPr>
          <w:sz w:val="22"/>
          <w:szCs w:val="22"/>
        </w:rPr>
        <w:t xml:space="preserve"> DON’T WORRY MICHELLE, I’ll MAKE A BETTER KEY, AND PROBABLY COMBINE THESE PLOTS. AND GET BETTER RESOLUTION FIGURES TOO.</w:t>
      </w:r>
    </w:p>
    <w:p w14:paraId="5B0D6A4E" w14:textId="77777777" w:rsidR="00B634E6" w:rsidRPr="00EA700F" w:rsidRDefault="00B634E6" w:rsidP="00B55332">
      <w:pPr>
        <w:jc w:val="both"/>
      </w:pPr>
      <w:r w:rsidRPr="00EA700F">
        <w:rPr>
          <w:i/>
        </w:rPr>
        <w:t>How does wood density change over hydrological gradients?</w:t>
      </w:r>
    </w:p>
    <w:p w14:paraId="2CB4062F" w14:textId="07089AA8" w:rsidR="00B634E6" w:rsidRPr="00EA700F" w:rsidRDefault="00B634E6" w:rsidP="00B55332">
      <w:pPr>
        <w:jc w:val="both"/>
      </w:pPr>
      <w:r w:rsidRPr="00EA700F">
        <w:t xml:space="preserve">Significant positive relationships were </w:t>
      </w:r>
      <w:r w:rsidR="00980EC2">
        <w:t>found</w:t>
      </w:r>
      <w:r w:rsidRPr="00EA700F">
        <w:t xml:space="preserve"> between metrics of flood magnitude</w:t>
      </w:r>
      <w:r w:rsidR="00980EC2">
        <w:t xml:space="preserve"> (Fig 3c,e)</w:t>
      </w:r>
      <w:r w:rsidRPr="00EA700F">
        <w:t xml:space="preserve"> and abundance weighted site mean wood density, but not flooding frequency. Interannual variability</w:t>
      </w:r>
      <w:r w:rsidR="00980EC2">
        <w:t xml:space="preserve"> (Fig 3d)</w:t>
      </w:r>
      <w:r w:rsidRPr="00EA700F">
        <w:t xml:space="preserve"> in flood magnitude did not show a significant relationship with wood density after Benjamini-Hochberg adjustment, although a trend is apparent. Removing the Snowy Creek site as an outlier, due to its high mean wood density (0.66 g/cm</w:t>
      </w:r>
      <w:r w:rsidRPr="00EA700F">
        <w:rPr>
          <w:vertAlign w:val="superscript"/>
        </w:rPr>
        <w:t>3</w:t>
      </w:r>
      <w:r w:rsidRPr="00EA700F">
        <w:t>) relative to other stable winter baseflow sites, produces a tight relationship (R</w:t>
      </w:r>
      <w:r w:rsidRPr="00EA700F">
        <w:rPr>
          <w:vertAlign w:val="superscript"/>
        </w:rPr>
        <w:t>2</w:t>
      </w:r>
      <w:r w:rsidRPr="00EA700F">
        <w:t xml:space="preserve"> = 75.4, p &gt; 0.001). Variability in flood rise and fall rates</w:t>
      </w:r>
      <w:r w:rsidR="00980EC2">
        <w:t xml:space="preserve"> (Fig3a,b)</w:t>
      </w:r>
      <w:r w:rsidRPr="00EA700F">
        <w:t xml:space="preserve"> were also significant positive predictors of wood density, while mean flood rise and fall rates showed no significant relationship. This </w:t>
      </w:r>
      <w:r w:rsidR="00980EC2">
        <w:t xml:space="preserve">result </w:t>
      </w:r>
      <w:r w:rsidRPr="00EA700F">
        <w:t>indicates that</w:t>
      </w:r>
      <w:r w:rsidR="00980EC2">
        <w:t xml:space="preserve"> large</w:t>
      </w:r>
      <w:r w:rsidRPr="00EA700F">
        <w:t xml:space="preserve"> flow events </w:t>
      </w:r>
      <w:r w:rsidR="00980EC2">
        <w:t xml:space="preserve">not captured by the mean are </w:t>
      </w:r>
      <w:r w:rsidRPr="00EA700F">
        <w:t xml:space="preserve">driving the observed patterns of wood density. </w:t>
      </w:r>
    </w:p>
    <w:p w14:paraId="115DF65E" w14:textId="77777777" w:rsidR="00B634E6" w:rsidRPr="00EA700F" w:rsidRDefault="00B634E6" w:rsidP="00B55332">
      <w:pPr>
        <w:jc w:val="both"/>
      </w:pPr>
    </w:p>
    <w:p w14:paraId="5CC13DF4" w14:textId="77777777" w:rsidR="00B634E6" w:rsidRPr="00EA700F" w:rsidRDefault="00B634E6" w:rsidP="00B55332">
      <w:pPr>
        <w:jc w:val="both"/>
      </w:pPr>
    </w:p>
    <w:p w14:paraId="7C729041" w14:textId="77777777" w:rsidR="00B634E6" w:rsidRPr="00EA700F" w:rsidRDefault="00B634E6" w:rsidP="00B55332">
      <w:pPr>
        <w:jc w:val="both"/>
      </w:pPr>
    </w:p>
    <w:p w14:paraId="59577023" w14:textId="77777777" w:rsidR="00B634E6" w:rsidRPr="00EA700F" w:rsidRDefault="00B634E6" w:rsidP="00B55332">
      <w:pPr>
        <w:jc w:val="both"/>
      </w:pPr>
    </w:p>
    <w:p w14:paraId="0A75E51B" w14:textId="755071D6" w:rsidR="00B634E6" w:rsidRPr="00EA700F" w:rsidRDefault="00B634E6" w:rsidP="00B55332">
      <w:pPr>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0">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1">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B55332">
      <w:pPr>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2">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3">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B55332">
      <w:pPr>
        <w:keepNext/>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4">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11A64863" w:rsidR="00B634E6" w:rsidRPr="00EA700F" w:rsidRDefault="00B634E6" w:rsidP="00B55332">
      <w:pPr>
        <w:pStyle w:val="Caption"/>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w:t>
      </w:r>
      <w:r w:rsidR="00D0402B">
        <w:rPr>
          <w:sz w:val="22"/>
          <w:szCs w:val="22"/>
        </w:rPr>
        <w:t xml:space="preserve">interannual </w:t>
      </w:r>
      <w:r w:rsidRPr="00EA700F">
        <w:rPr>
          <w:sz w:val="22"/>
          <w:szCs w:val="22"/>
        </w:rPr>
        <w:t>variability in flood fall rates</w:t>
      </w:r>
      <w:r w:rsidR="006A025A">
        <w:rPr>
          <w:sz w:val="22"/>
          <w:szCs w:val="22"/>
        </w:rPr>
        <w:t xml:space="preserve"> (CVAnnMRateRise)</w:t>
      </w:r>
      <w:r w:rsidRPr="00EA700F">
        <w:rPr>
          <w:sz w:val="22"/>
          <w:szCs w:val="22"/>
        </w:rPr>
        <w:t xml:space="preserve">, b.) </w:t>
      </w:r>
      <w:r w:rsidR="00D0402B">
        <w:rPr>
          <w:sz w:val="22"/>
          <w:szCs w:val="22"/>
        </w:rPr>
        <w:t xml:space="preserve">interannual </w:t>
      </w:r>
      <w:r w:rsidRPr="00EA700F">
        <w:rPr>
          <w:sz w:val="22"/>
          <w:szCs w:val="22"/>
        </w:rPr>
        <w:t>variability in flood rise rate</w:t>
      </w:r>
      <w:r w:rsidR="006A025A">
        <w:rPr>
          <w:sz w:val="22"/>
          <w:szCs w:val="22"/>
        </w:rPr>
        <w:t>s (CVAnnMRateFall)</w:t>
      </w:r>
      <w:r w:rsidRPr="00EA700F">
        <w:rPr>
          <w:sz w:val="22"/>
          <w:szCs w:val="22"/>
        </w:rPr>
        <w:t>, c.) mean high flow magnitude</w:t>
      </w:r>
      <w:r w:rsidR="006A025A">
        <w:rPr>
          <w:sz w:val="22"/>
          <w:szCs w:val="22"/>
        </w:rPr>
        <w:t xml:space="preserve"> (HSPeaknorm)</w:t>
      </w:r>
      <w:r w:rsidRPr="00EA700F">
        <w:rPr>
          <w:sz w:val="22"/>
          <w:szCs w:val="22"/>
        </w:rPr>
        <w:t xml:space="preserve">, d.) </w:t>
      </w:r>
      <w:r w:rsidR="00625ED2">
        <w:rPr>
          <w:sz w:val="22"/>
          <w:szCs w:val="22"/>
        </w:rPr>
        <w:t xml:space="preserve">interannual </w:t>
      </w:r>
      <w:r w:rsidRPr="00EA700F">
        <w:rPr>
          <w:sz w:val="22"/>
          <w:szCs w:val="22"/>
        </w:rPr>
        <w:t>variability in high flow magnitude</w:t>
      </w:r>
      <w:r w:rsidR="006A025A">
        <w:rPr>
          <w:sz w:val="22"/>
          <w:szCs w:val="22"/>
        </w:rPr>
        <w:t xml:space="preserve"> (CVAnnHSPeak)</w:t>
      </w:r>
      <w:r w:rsidRPr="00EA700F">
        <w:rPr>
          <w:sz w:val="22"/>
          <w:szCs w:val="22"/>
        </w:rPr>
        <w:t>, e.) magnitude of the 20 year average return interval flood</w:t>
      </w:r>
      <w:r w:rsidR="006A025A">
        <w:rPr>
          <w:sz w:val="22"/>
          <w:szCs w:val="22"/>
        </w:rPr>
        <w:t xml:space="preserve"> (AS20YrARInorm)</w:t>
      </w:r>
      <w:r w:rsidRPr="00EA700F">
        <w:rPr>
          <w:sz w:val="22"/>
          <w:szCs w:val="22"/>
        </w:rPr>
        <w:t xml:space="preserve">. Fit lines depict ordinary least squares regression 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
    <w:p w14:paraId="144EB438" w14:textId="77777777" w:rsidR="00B634E6" w:rsidRPr="00EA700F" w:rsidRDefault="00B634E6" w:rsidP="00B55332">
      <w:pPr>
        <w:jc w:val="both"/>
      </w:pPr>
      <w:r w:rsidRPr="00EA700F">
        <w:lastRenderedPageBreak/>
        <w:t xml:space="preserve">We found denser woody tissues were increasingly favoured as water availability became less consistent over daily (as measured by decreasing baseflow index), as well as over seasonal and annual timescales. Wood density increased as patterns of average flow conditions became a.) less uniformly distributed across seasons – (interseasonal uniformity - constancy, C), and b.) less uniformly distributed year to year (inter-annual uniformity, contingency, M). Thus plot mean wood density is maximised when average flows patterns are highly seasonal, but the season with which they are associated is not consistent throughout the record. Wood density was negatively predicted by interannual uniformity (contingency), but not constancy of minimum flows. That is to say, it was not important how strongly minimum flows were associated with particular seasons, but whether the seasonal pattern of flows was the same across years of the record.  </w:t>
      </w:r>
    </w:p>
    <w:p w14:paraId="2A647BD2" w14:textId="77777777" w:rsidR="00B634E6" w:rsidRPr="00EA700F" w:rsidRDefault="00B634E6" w:rsidP="00B55332">
      <w:pPr>
        <w:jc w:val="both"/>
      </w:pPr>
      <w:r w:rsidRPr="00EA700F">
        <w:t xml:space="preserve">A similar relationship was observed for inter-annual but not inter-seasonal uniformity of minimum flows. Mean wood density also increased with increasing interannual variability in baseflow index, pointing to a strong effect from years in which baseflow deviated from the mean. </w:t>
      </w:r>
    </w:p>
    <w:p w14:paraId="6BEEF8F5" w14:textId="77777777" w:rsidR="00B634E6" w:rsidRPr="00EA700F" w:rsidRDefault="00B634E6" w:rsidP="00B55332">
      <w:pPr>
        <w:jc w:val="both"/>
      </w:pPr>
      <w:r w:rsidRPr="00EA700F">
        <w:t xml:space="preserve">Wood density also decreased with mean low spell flow, and with removal of Snowy Creek as an outlier, the mean 7 day minimum flow (for both of which a higher values indicate wetter minimum flow conditions).  Metrics of low flow duration did not significantly predict wood density. </w:t>
      </w:r>
    </w:p>
    <w:p w14:paraId="49D1CEC2" w14:textId="77777777" w:rsidR="00B634E6" w:rsidRPr="00EA700F" w:rsidRDefault="00B634E6" w:rsidP="00B55332">
      <w:pPr>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5">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6">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7">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8">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B55332">
      <w:pPr>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19">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0">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335320">
      <w:pPr>
        <w:keepNext/>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1">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33F837E4" w:rsidR="00B634E6" w:rsidRPr="00EA700F" w:rsidRDefault="00335320" w:rsidP="00335320">
      <w:pPr>
        <w:pStyle w:val="Caption"/>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baseflow index (BFI)</w:t>
      </w:r>
      <w:r w:rsidR="00980EC2" w:rsidRPr="007760E7">
        <w:rPr>
          <w:sz w:val="22"/>
          <w:szCs w:val="22"/>
        </w:rPr>
        <w:t xml:space="preserve">, b.) </w:t>
      </w:r>
      <w:r w:rsidR="00625ED2" w:rsidRPr="007760E7">
        <w:rPr>
          <w:sz w:val="22"/>
          <w:szCs w:val="22"/>
        </w:rPr>
        <w:t>interannual variability in baseflow index (CVAnnBFI)</w:t>
      </w:r>
      <w:r w:rsidR="00980EC2" w:rsidRPr="007760E7">
        <w:rPr>
          <w:sz w:val="22"/>
          <w:szCs w:val="22"/>
        </w:rPr>
        <w:t xml:space="preserve">, c.) </w:t>
      </w:r>
      <w:r w:rsidR="00625ED2" w:rsidRPr="007760E7">
        <w:rPr>
          <w:sz w:val="22"/>
          <w:szCs w:val="22"/>
        </w:rPr>
        <w:t>contingency of monthly mean daily flow (</w:t>
      </w:r>
      <w:r w:rsidR="00980EC2" w:rsidRPr="007760E7">
        <w:rPr>
          <w:sz w:val="22"/>
          <w:szCs w:val="22"/>
        </w:rPr>
        <w:t>M_MDFM</w:t>
      </w:r>
      <w:r w:rsidR="00625ED2" w:rsidRPr="007760E7">
        <w:rPr>
          <w:sz w:val="22"/>
          <w:szCs w:val="22"/>
        </w:rPr>
        <w:t>)</w:t>
      </w:r>
      <w:r w:rsidR="00980EC2" w:rsidRPr="007760E7">
        <w:rPr>
          <w:sz w:val="22"/>
          <w:szCs w:val="22"/>
        </w:rPr>
        <w:t xml:space="preserve">, d.) </w:t>
      </w:r>
      <w:r w:rsidR="00625ED2" w:rsidRPr="007760E7">
        <w:rPr>
          <w:sz w:val="22"/>
          <w:szCs w:val="22"/>
        </w:rPr>
        <w:t xml:space="preserve">contingency of monthly mean daily flow </w:t>
      </w:r>
      <w:r w:rsidR="00625ED2" w:rsidRPr="007760E7">
        <w:rPr>
          <w:sz w:val="22"/>
          <w:szCs w:val="22"/>
        </w:rPr>
        <w:t>(</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r w:rsidR="007760E7" w:rsidRPr="007760E7">
        <w:rPr>
          <w:sz w:val="22"/>
          <w:szCs w:val="22"/>
        </w:rPr>
        <w:t xml:space="preserve">contingency of monthly </w:t>
      </w:r>
      <w:r w:rsidR="007760E7">
        <w:rPr>
          <w:sz w:val="22"/>
          <w:szCs w:val="22"/>
        </w:rPr>
        <w:t>minimum</w:t>
      </w:r>
      <w:r w:rsidR="007760E7" w:rsidRPr="007760E7">
        <w:rPr>
          <w:sz w:val="22"/>
          <w:szCs w:val="22"/>
        </w:rPr>
        <w:t xml:space="preserve"> daily flow (</w:t>
      </w:r>
      <w:r w:rsidR="007760E7">
        <w:rPr>
          <w:sz w:val="22"/>
          <w:szCs w:val="22"/>
        </w:rPr>
        <w:t>M_MinM</w:t>
      </w:r>
      <w:r w:rsidR="007760E7" w:rsidRPr="007760E7">
        <w:rPr>
          <w:sz w:val="22"/>
          <w:szCs w:val="22"/>
        </w:rPr>
        <w:t>)</w:t>
      </w:r>
      <w:r w:rsidR="00980EC2" w:rsidRPr="007760E7">
        <w:rPr>
          <w:sz w:val="22"/>
          <w:szCs w:val="22"/>
        </w:rPr>
        <w:t xml:space="preserve">, f.) </w:t>
      </w:r>
      <w:r w:rsidR="007760E7">
        <w:rPr>
          <w:sz w:val="22"/>
          <w:szCs w:val="22"/>
        </w:rPr>
        <w:t>mean low flow magnitude (</w:t>
      </w:r>
      <w:r w:rsidR="00980EC2" w:rsidRPr="007760E7">
        <w:rPr>
          <w:sz w:val="22"/>
          <w:szCs w:val="22"/>
        </w:rPr>
        <w:t>LSPeaknorm</w:t>
      </w:r>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p.adj</w:t>
            </w:r>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B55332">
            <w:pPr>
              <w:spacing w:after="0" w:line="240"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M_MinM</w:t>
            </w:r>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CVAnnBFI</w:t>
            </w:r>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CVAnnMRateRise</w:t>
            </w:r>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CVAnnMRateFall</w:t>
            </w:r>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LSPeaknorm</w:t>
            </w:r>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HSPeaknorm</w:t>
            </w:r>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CVAnnHSPeak</w:t>
            </w:r>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MRateRisenorm</w:t>
            </w:r>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CVAnnHSNum</w:t>
            </w:r>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MDFAnnLSNum</w:t>
            </w:r>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MRateFallnorm</w:t>
            </w:r>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CVAnnLSPeak</w:t>
            </w:r>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LSMeanDur</w:t>
            </w:r>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CVAnnLSNum</w:t>
            </w:r>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C_MinM</w:t>
            </w:r>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MDFAnnZer</w:t>
            </w:r>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MDFAnnHSNum</w:t>
            </w:r>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CVAnnLSMeanDur</w:t>
            </w:r>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B55332">
            <w:pPr>
              <w:spacing w:after="0" w:line="240"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B55332">
      <w:pPr>
        <w:pStyle w:val="Caption"/>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CVAnnHSPeak was non-significant initially but a significant relationship became apparent following outlier removal. </w:t>
      </w:r>
    </w:p>
    <w:p w14:paraId="56159FFE" w14:textId="7C319226" w:rsidR="00B634E6" w:rsidRPr="00EA700F" w:rsidRDefault="00B634E6" w:rsidP="00B55332">
      <w:pPr>
        <w:jc w:val="both"/>
      </w:pPr>
      <w:r w:rsidRPr="00EA700F">
        <w:t xml:space="preserve">In summary, we found evidence that mean riparian wood density is positively related to flood magnitude and extremes in flow rise and fall rates, as well as to inconsistency in flow conditions over daily, seasonal and annual timescales. 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w:t>
      </w:r>
      <w:r w:rsidR="009546E2">
        <w:t>cleared by logging within the last 20-30 years</w:t>
      </w:r>
      <w:r w:rsidRPr="00EA700F">
        <w:t xml:space="preserve">. Compared with upstream reaches within National Parks land, seral scrubs of dense stemmed </w:t>
      </w:r>
      <w:r w:rsidRPr="00EA700F">
        <w:rPr>
          <w:i/>
        </w:rPr>
        <w:t>Leptospermum spp.</w:t>
      </w:r>
      <w:r w:rsidRPr="00EA700F">
        <w:t xml:space="preserve"> were considerably more abundant, which ma</w:t>
      </w:r>
      <w:r w:rsidR="00C83CE4">
        <w:t>y account for this discrepancy.</w:t>
      </w:r>
    </w:p>
    <w:p w14:paraId="16A7BCDA" w14:textId="06A3463F" w:rsidR="00B634E6" w:rsidRPr="00EA700F" w:rsidRDefault="00B634E6" w:rsidP="00B55332">
      <w:pPr>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612E3BF4" w:rsidR="00B634E6" w:rsidRPr="00EA700F" w:rsidRDefault="00B634E6" w:rsidP="00B55332">
      <w:pPr>
        <w:jc w:val="both"/>
      </w:pPr>
      <w:r w:rsidRPr="00EA700F">
        <w:t>Hydrological metrics that significantly explain</w:t>
      </w:r>
      <w:r w:rsidR="00CC24F8" w:rsidRPr="00EA700F">
        <w:t>ed</w:t>
      </w:r>
      <w:r w:rsidRPr="00EA700F">
        <w:t xml:space="preserve"> site mean wood density were highly autocorrelated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630B93">
            <w:pPr>
              <w:spacing w:after="0" w:line="240"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630B93">
            <w:pPr>
              <w:spacing w:after="0" w:line="240"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630B93">
            <w:pPr>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630B93">
            <w:pPr>
              <w:keepNext/>
              <w:spacing w:after="0" w:line="240"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630B93">
      <w:pPr>
        <w:pStyle w:val="Caption"/>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highlighted.</w:t>
      </w:r>
    </w:p>
    <w:p w14:paraId="3B77840D" w14:textId="77777777" w:rsidR="00B634E6" w:rsidRPr="00EA700F" w:rsidRDefault="00B634E6" w:rsidP="00B55332">
      <w:pPr>
        <w:keepNext/>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B55332">
      <w:pPr>
        <w:pStyle w:val="Caption"/>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Biplot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6AA81672" w:rsidR="00B634E6" w:rsidRPr="00EA700F" w:rsidRDefault="001049B7" w:rsidP="00B55332">
      <w:pPr>
        <w:jc w:val="both"/>
      </w:pPr>
      <w:r w:rsidRPr="00EA700F">
        <w:t xml:space="preserve">PC1 represents a gradient of environmental harshness that integrates baseflow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sit at the positive end of the PC1 axis, while metrics that are maximised under conditions of </w:t>
      </w:r>
      <w:r>
        <w:t xml:space="preserve">interannual </w:t>
      </w:r>
      <w:r w:rsidR="00B634E6" w:rsidRPr="00EA700F">
        <w:t>high baseflow variability and high intensity flooding sit at the negative end. Stable baseflow rivers exhibit lower site mean wood density, and are clustered at the ‘mild’ positive end of the PC1 gradient. Unpredictable baseflow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B55332">
      <w:pPr>
        <w:tabs>
          <w:tab w:val="left" w:pos="3456"/>
        </w:tabs>
        <w:jc w:val="both"/>
      </w:pPr>
    </w:p>
    <w:p w14:paraId="4E95C12D" w14:textId="77777777" w:rsidR="00650D8B" w:rsidRPr="00EA700F" w:rsidRDefault="00650D8B" w:rsidP="00B55332">
      <w:pPr>
        <w:tabs>
          <w:tab w:val="left" w:pos="3456"/>
        </w:tabs>
        <w:jc w:val="both"/>
      </w:pPr>
    </w:p>
    <w:p w14:paraId="14E2F9E4" w14:textId="77777777" w:rsidR="00650D8B" w:rsidRPr="00EA700F" w:rsidRDefault="00650D8B" w:rsidP="00B55332">
      <w:pPr>
        <w:tabs>
          <w:tab w:val="left" w:pos="3456"/>
        </w:tabs>
        <w:jc w:val="both"/>
      </w:pPr>
    </w:p>
    <w:p w14:paraId="6D8C8956" w14:textId="77777777" w:rsidR="00650D8B" w:rsidRPr="00EA700F" w:rsidRDefault="00650D8B" w:rsidP="00B55332">
      <w:pPr>
        <w:tabs>
          <w:tab w:val="left" w:pos="3456"/>
        </w:tabs>
        <w:jc w:val="both"/>
      </w:pPr>
    </w:p>
    <w:p w14:paraId="2FC25891" w14:textId="77777777" w:rsidR="00650D8B" w:rsidRPr="00EA700F" w:rsidRDefault="00650D8B" w:rsidP="00B55332">
      <w:pPr>
        <w:tabs>
          <w:tab w:val="left" w:pos="3456"/>
        </w:tabs>
        <w:jc w:val="both"/>
      </w:pPr>
    </w:p>
    <w:p w14:paraId="10D03204" w14:textId="77777777" w:rsidR="00650D8B" w:rsidRPr="00EA700F" w:rsidRDefault="00650D8B" w:rsidP="00B55332">
      <w:pPr>
        <w:tabs>
          <w:tab w:val="left" w:pos="3456"/>
        </w:tabs>
        <w:jc w:val="both"/>
      </w:pPr>
    </w:p>
    <w:p w14:paraId="01AEC971" w14:textId="77777777" w:rsidR="00650D8B" w:rsidRPr="00EA700F" w:rsidRDefault="00650D8B" w:rsidP="00B55332">
      <w:pPr>
        <w:tabs>
          <w:tab w:val="left" w:pos="3456"/>
        </w:tabs>
        <w:jc w:val="both"/>
      </w:pPr>
    </w:p>
    <w:p w14:paraId="0E34A698" w14:textId="77777777" w:rsidR="00650D8B" w:rsidRPr="00EA700F" w:rsidRDefault="00650D8B" w:rsidP="00B55332">
      <w:pPr>
        <w:tabs>
          <w:tab w:val="left" w:pos="3456"/>
        </w:tabs>
        <w:jc w:val="both"/>
      </w:pPr>
    </w:p>
    <w:p w14:paraId="1DB8C7C6" w14:textId="77777777" w:rsidR="00650D8B" w:rsidRPr="00EA700F" w:rsidRDefault="00650D8B" w:rsidP="00B55332">
      <w:pPr>
        <w:tabs>
          <w:tab w:val="left" w:pos="3456"/>
        </w:tabs>
        <w:jc w:val="both"/>
      </w:pPr>
    </w:p>
    <w:p w14:paraId="45AF2719" w14:textId="77777777" w:rsidR="00650D8B" w:rsidRPr="00EA700F" w:rsidRDefault="00650D8B" w:rsidP="00B55332">
      <w:pPr>
        <w:tabs>
          <w:tab w:val="left" w:pos="3456"/>
        </w:tabs>
        <w:jc w:val="both"/>
      </w:pPr>
    </w:p>
    <w:p w14:paraId="3A711B0F" w14:textId="637B260F" w:rsidR="00B634E6" w:rsidRPr="00EA700F" w:rsidRDefault="00650D8B" w:rsidP="00B55332">
      <w:pPr>
        <w:jc w:val="both"/>
        <w:rPr>
          <w:b/>
        </w:rPr>
      </w:pPr>
      <w:r w:rsidRPr="00EA700F">
        <w:rPr>
          <w:b/>
        </w:rPr>
        <w:lastRenderedPageBreak/>
        <w:t>Discussion</w:t>
      </w:r>
    </w:p>
    <w:p w14:paraId="2027DE66" w14:textId="12D5FDAC" w:rsidR="00B634E6" w:rsidRPr="00EA700F" w:rsidRDefault="006B1A67" w:rsidP="00B55332">
      <w:pPr>
        <w:jc w:val="both"/>
      </w:pPr>
      <w:r>
        <w:t>T</w:t>
      </w:r>
      <w:r w:rsidR="00B634E6" w:rsidRPr="00EA700F">
        <w:t xml:space="preserve">hese results lend credibility to broad-scale ecohydrological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Pr="00EA700F" w:rsidRDefault="00B634E6" w:rsidP="00B55332">
      <w:pPr>
        <w:jc w:val="both"/>
      </w:pPr>
      <w:r w:rsidRPr="00EA700F">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Mangel 1999, Telewski 1995). </w:t>
      </w:r>
    </w:p>
    <w:p w14:paraId="708FF768" w14:textId="77777777" w:rsidR="00B634E6" w:rsidRPr="00EA700F" w:rsidRDefault="00B634E6" w:rsidP="00B55332">
      <w:pPr>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1B23B770" w:rsidR="00B634E6" w:rsidRPr="00EA700F" w:rsidRDefault="00B634E6" w:rsidP="00B55332">
      <w:pPr>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and/or aboveground biomass production traits, both of which are tangentially related to wood density.</w:t>
      </w:r>
    </w:p>
    <w:p w14:paraId="22AFAC68" w14:textId="3D3B35EC" w:rsidR="00B634E6" w:rsidRPr="00EA700F" w:rsidRDefault="00B634E6" w:rsidP="00B55332">
      <w:pPr>
        <w:jc w:val="both"/>
      </w:pPr>
      <w:r w:rsidRPr="00EA700F">
        <w:t>A more compelling rationale for our findings is that riparian woody plants are again overcompensating for the possibility of rare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(Valladares et al. 2007). Traits associated with conservative resource use and better recovery following periods of extreme stress actually confer as much or greater fitness than traits associated with tolerating the event itself, such as thermotolerance</w:t>
      </w:r>
      <w:r w:rsidR="00B064E3">
        <w:t xml:space="preserve"> </w:t>
      </w:r>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r w:rsidRPr="00EA700F">
        <w:t xml:space="preserve">. </w:t>
      </w:r>
    </w:p>
    <w:p w14:paraId="4875D9DD" w14:textId="684A79DE" w:rsidR="00B634E6" w:rsidRPr="00EA700F" w:rsidRDefault="00B634E6" w:rsidP="00B55332">
      <w:pPr>
        <w:jc w:val="both"/>
      </w:pPr>
      <w:r w:rsidRPr="00EA700F">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w:t>
      </w:r>
      <w:r w:rsidRPr="00EA700F">
        <w:lastRenderedPageBreak/>
        <w:t>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This observation offers a potential explanation for the goodness of fit of quadratic models which begin to dip after reaching an apex at three quarters of their maximum value, rather than simply app</w:t>
      </w:r>
      <w:r w:rsidR="00FC0DFA">
        <w:t>roaching an asymptote (e.g. Fig 3a,d, Fig 4a,b,d</w:t>
      </w:r>
      <w:r w:rsidRPr="00EA700F">
        <w:t xml:space="preserve">). </w:t>
      </w:r>
    </w:p>
    <w:p w14:paraId="6C33C315" w14:textId="57496E15" w:rsidR="00B634E6" w:rsidRPr="00EA700F" w:rsidRDefault="00B634E6" w:rsidP="00B55332">
      <w:pPr>
        <w:jc w:val="both"/>
      </w:pPr>
      <w:r w:rsidRPr="00EA700F">
        <w:t xml:space="preserve">Another further for coping with harsh conditions is possible. Some species also have the ability to radically change their wood density throughout their life history. </w:t>
      </w:r>
      <w:r w:rsidRPr="00EA700F">
        <w:rPr>
          <w:i/>
        </w:rPr>
        <w:t>Casuarina cunnhinghamiana</w:t>
      </w:r>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4EB0203D" w:rsidR="00B634E6" w:rsidRPr="00EA700F" w:rsidRDefault="00B634E6" w:rsidP="00B55332">
      <w:pPr>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 xml:space="preserve">nalysis integrates predictability of water availability, seasonality and flood intensity into a single axis of hydrological variation. It is not possible to tease out individual drivers of variation in wood density,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perenniality of flow provide a basis for predicting wood density. </w:t>
      </w:r>
    </w:p>
    <w:p w14:paraId="42DF420E" w14:textId="61EE5D58" w:rsidR="00B634E6" w:rsidRPr="00EA700F" w:rsidRDefault="00B634E6" w:rsidP="00B55332">
      <w:pPr>
        <w:jc w:val="both"/>
      </w:pPr>
      <w:r w:rsidRPr="00EA700F">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i</w:t>
      </w:r>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droughts.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hydroclimatology</w:t>
      </w:r>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ecohydrology can give insight into the changing ecology of riparian plant communities.  </w:t>
      </w:r>
    </w:p>
    <w:p w14:paraId="39552D30" w14:textId="02D3C8FF" w:rsidR="00B634E6" w:rsidRPr="00EA700F" w:rsidRDefault="00B634E6" w:rsidP="00B55332">
      <w:pPr>
        <w:jc w:val="both"/>
      </w:pPr>
      <w:r w:rsidRPr="00EA700F">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5EED4427" w14:textId="77777777" w:rsidR="007137EA" w:rsidRPr="00EA700F" w:rsidRDefault="007137EA" w:rsidP="00B55332">
      <w:pPr>
        <w:jc w:val="both"/>
      </w:pPr>
    </w:p>
    <w:p w14:paraId="56AC6DCA" w14:textId="77777777" w:rsidR="007137EA" w:rsidRPr="00EA700F" w:rsidRDefault="007137EA" w:rsidP="00B55332">
      <w:pPr>
        <w:jc w:val="both"/>
      </w:pPr>
    </w:p>
    <w:p w14:paraId="404EE54B" w14:textId="77777777" w:rsidR="007137EA" w:rsidRPr="00EA700F" w:rsidRDefault="007137EA" w:rsidP="00B55332">
      <w:pPr>
        <w:jc w:val="both"/>
      </w:pPr>
    </w:p>
    <w:p w14:paraId="7A8AE9BC" w14:textId="4B4B20E6" w:rsidR="007137EA" w:rsidRPr="00EA700F" w:rsidRDefault="007137EA" w:rsidP="00B55332">
      <w:pPr>
        <w:jc w:val="both"/>
        <w:rPr>
          <w:b/>
        </w:rPr>
      </w:pPr>
      <w:r w:rsidRPr="00EA700F">
        <w:rPr>
          <w:b/>
        </w:rPr>
        <w:lastRenderedPageBreak/>
        <w:t>References</w:t>
      </w:r>
    </w:p>
    <w:p w14:paraId="11A99488" w14:textId="3BB85F46" w:rsidR="00ED02F3" w:rsidRPr="00ED02F3" w:rsidRDefault="007137EA">
      <w:pPr>
        <w:pStyle w:val="NormalWeb"/>
        <w:ind w:left="480" w:hanging="480"/>
        <w:divId w:val="1853950378"/>
        <w:rPr>
          <w:rFonts w:ascii="Calibri" w:hAnsi="Calibri"/>
          <w:noProof/>
          <w:sz w:val="22"/>
        </w:rPr>
      </w:pPr>
      <w:r w:rsidRPr="00EA700F">
        <w:rPr>
          <w:rFonts w:asciiTheme="minorHAnsi" w:hAnsiTheme="minorHAnsi"/>
          <w:b/>
          <w:sz w:val="22"/>
          <w:szCs w:val="22"/>
        </w:rPr>
        <w:fldChar w:fldCharType="begin" w:fldLock="1"/>
      </w:r>
      <w:r w:rsidRPr="00EA700F">
        <w:rPr>
          <w:rFonts w:asciiTheme="minorHAnsi" w:hAnsiTheme="minorHAnsi"/>
          <w:b/>
          <w:sz w:val="22"/>
          <w:szCs w:val="22"/>
        </w:rPr>
        <w:instrText xml:space="preserve">ADDIN Mendeley Bibliography CSL_BIBLIOGRAPHY </w:instrText>
      </w:r>
      <w:r w:rsidRPr="00EA700F">
        <w:rPr>
          <w:rFonts w:asciiTheme="minorHAnsi" w:hAnsiTheme="minorHAnsi"/>
          <w:b/>
          <w:sz w:val="22"/>
          <w:szCs w:val="22"/>
        </w:rPr>
        <w:fldChar w:fldCharType="separate"/>
      </w:r>
      <w:r w:rsidR="00ED02F3" w:rsidRPr="00ED02F3">
        <w:rPr>
          <w:rFonts w:ascii="Calibri" w:hAnsi="Calibri"/>
          <w:noProof/>
          <w:sz w:val="22"/>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Augspurger, C. K., &amp; Kelly, C. K. (1984). Pathogen mortality of tropical tree seedlings: experimental studies of the effects of dispersal distance, seedling density, and light conditions. </w:t>
      </w:r>
      <w:r w:rsidRPr="00ED02F3">
        <w:rPr>
          <w:rFonts w:ascii="Calibri" w:hAnsi="Calibri"/>
          <w:i/>
          <w:iCs/>
          <w:noProof/>
          <w:sz w:val="22"/>
        </w:rPr>
        <w:t>Oecologia</w:t>
      </w:r>
      <w:r w:rsidRPr="00ED02F3">
        <w:rPr>
          <w:rFonts w:ascii="Calibri" w:hAnsi="Calibri"/>
          <w:noProof/>
          <w:sz w:val="22"/>
        </w:rPr>
        <w:t xml:space="preserve">, </w:t>
      </w:r>
      <w:r w:rsidRPr="00ED02F3">
        <w:rPr>
          <w:rFonts w:ascii="Calibri" w:hAnsi="Calibri"/>
          <w:i/>
          <w:iCs/>
          <w:noProof/>
          <w:sz w:val="22"/>
        </w:rPr>
        <w:t>61</w:t>
      </w:r>
      <w:r w:rsidRPr="00ED02F3">
        <w:rPr>
          <w:rFonts w:ascii="Calibri" w:hAnsi="Calibri"/>
          <w:noProof/>
          <w:sz w:val="22"/>
        </w:rPr>
        <w:t>(2), 211–217. doi:10.1007/BF00396763</w:t>
      </w:r>
    </w:p>
    <w:p w14:paraId="5D013759"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Australian State of the Environment Committee. (2011). Australian State of the Environment Report - Inland Waters.</w:t>
      </w:r>
    </w:p>
    <w:p w14:paraId="12B53870"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Catford, J. a., Naiman, R. J., Chambers, L. E., Roberts, J., Douglas, M., &amp; Davies, P. (2012). Predicting Novel Riparian Ecosystems in a Changing Climate. </w:t>
      </w:r>
      <w:r w:rsidRPr="00ED02F3">
        <w:rPr>
          <w:rFonts w:ascii="Calibri" w:hAnsi="Calibri"/>
          <w:i/>
          <w:iCs/>
          <w:noProof/>
          <w:sz w:val="22"/>
        </w:rPr>
        <w:t>Ecosystems</w:t>
      </w:r>
      <w:r w:rsidRPr="00ED02F3">
        <w:rPr>
          <w:rFonts w:ascii="Calibri" w:hAnsi="Calibri"/>
          <w:noProof/>
          <w:sz w:val="22"/>
        </w:rPr>
        <w:t xml:space="preserve">, </w:t>
      </w:r>
      <w:r w:rsidRPr="00ED02F3">
        <w:rPr>
          <w:rFonts w:ascii="Calibri" w:hAnsi="Calibri"/>
          <w:i/>
          <w:iCs/>
          <w:noProof/>
          <w:sz w:val="22"/>
        </w:rPr>
        <w:t>June</w:t>
      </w:r>
      <w:r w:rsidRPr="00ED02F3">
        <w:rPr>
          <w:rFonts w:ascii="Calibri" w:hAnsi="Calibri"/>
          <w:noProof/>
          <w:sz w:val="22"/>
        </w:rPr>
        <w:t>, 1–19. doi:10.1007/s10021-012-9566-7</w:t>
      </w:r>
    </w:p>
    <w:p w14:paraId="4D42D1C4"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Chave, J., Coomes, D., Jansen, S., Lewis, S. L., Swenson, N. G., &amp; Amy, E. (2009). Towards a worldwide wood economics spectrum. </w:t>
      </w:r>
      <w:r w:rsidRPr="00ED02F3">
        <w:rPr>
          <w:rFonts w:ascii="Calibri" w:hAnsi="Calibri"/>
          <w:i/>
          <w:iCs/>
          <w:noProof/>
          <w:sz w:val="22"/>
        </w:rPr>
        <w:t>Ecology Letters</w:t>
      </w:r>
      <w:r w:rsidRPr="00ED02F3">
        <w:rPr>
          <w:rFonts w:ascii="Calibri" w:hAnsi="Calibri"/>
          <w:noProof/>
          <w:sz w:val="22"/>
        </w:rPr>
        <w:t xml:space="preserve">, </w:t>
      </w:r>
      <w:r w:rsidRPr="00ED02F3">
        <w:rPr>
          <w:rFonts w:ascii="Calibri" w:hAnsi="Calibri"/>
          <w:i/>
          <w:iCs/>
          <w:noProof/>
          <w:sz w:val="22"/>
        </w:rPr>
        <w:t>12</w:t>
      </w:r>
      <w:r w:rsidRPr="00ED02F3">
        <w:rPr>
          <w:rFonts w:ascii="Calibri" w:hAnsi="Calibri"/>
          <w:noProof/>
          <w:sz w:val="22"/>
        </w:rPr>
        <w:t>(4), 351–366. doi:10.1111/j.1461-0248.2009.01285.x</w:t>
      </w:r>
    </w:p>
    <w:p w14:paraId="17762512"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Coley, P. (1983). Herbivory and defensive characteristics of tree species in a lowland tropical forest. </w:t>
      </w:r>
      <w:r w:rsidRPr="00ED02F3">
        <w:rPr>
          <w:rFonts w:ascii="Calibri" w:hAnsi="Calibri"/>
          <w:i/>
          <w:iCs/>
          <w:noProof/>
          <w:sz w:val="22"/>
        </w:rPr>
        <w:t>Ecological Monographs</w:t>
      </w:r>
      <w:r w:rsidRPr="00ED02F3">
        <w:rPr>
          <w:rFonts w:ascii="Calibri" w:hAnsi="Calibri"/>
          <w:noProof/>
          <w:sz w:val="22"/>
        </w:rPr>
        <w:t xml:space="preserve">, </w:t>
      </w:r>
      <w:r w:rsidRPr="00ED02F3">
        <w:rPr>
          <w:rFonts w:ascii="Calibri" w:hAnsi="Calibri"/>
          <w:i/>
          <w:iCs/>
          <w:noProof/>
          <w:sz w:val="22"/>
        </w:rPr>
        <w:t>53</w:t>
      </w:r>
      <w:r w:rsidRPr="00ED02F3">
        <w:rPr>
          <w:rFonts w:ascii="Calibri" w:hAnsi="Calibri"/>
          <w:noProof/>
          <w:sz w:val="22"/>
        </w:rPr>
        <w:t>(2). Retrieved from http://www.esajournals.org/doi/abs/10.2307/1942495</w:t>
      </w:r>
    </w:p>
    <w:p w14:paraId="2A78E75A"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Corenblit, D., Steiger, J., Gurnell, A. M., Tabacchi, E., &amp; Roques, L. (2009). Control of sediment dynamics by vegetation as a key function driving biogeomorphic succession within fluvial corridors. </w:t>
      </w:r>
      <w:r w:rsidRPr="00ED02F3">
        <w:rPr>
          <w:rFonts w:ascii="Calibri" w:hAnsi="Calibri"/>
          <w:i/>
          <w:iCs/>
          <w:noProof/>
          <w:sz w:val="22"/>
        </w:rPr>
        <w:t>Earth Surface Processes and Landforms</w:t>
      </w:r>
      <w:r w:rsidRPr="00ED02F3">
        <w:rPr>
          <w:rFonts w:ascii="Calibri" w:hAnsi="Calibri"/>
          <w:noProof/>
          <w:sz w:val="22"/>
        </w:rPr>
        <w:t xml:space="preserve">, </w:t>
      </w:r>
      <w:r w:rsidRPr="00ED02F3">
        <w:rPr>
          <w:rFonts w:ascii="Calibri" w:hAnsi="Calibri"/>
          <w:i/>
          <w:iCs/>
          <w:noProof/>
          <w:sz w:val="22"/>
        </w:rPr>
        <w:t>1810</w:t>
      </w:r>
      <w:r w:rsidRPr="00ED02F3">
        <w:rPr>
          <w:rFonts w:ascii="Calibri" w:hAnsi="Calibri"/>
          <w:noProof/>
          <w:sz w:val="22"/>
        </w:rPr>
        <w:t>, 1790–1810. doi:10.1002/esp</w:t>
      </w:r>
    </w:p>
    <w:p w14:paraId="7B5029EE"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Cornelissen, J. H. C. A., Lavorel, S. B., Garnier, E. B., Díaz, S. C., Buchmann, N. D., Gurvich, D. E. C., … Poorter, H. I. (2003). A handbook of protocols for standardised and easy measurement of plant functional traits worldwide. </w:t>
      </w:r>
      <w:r w:rsidRPr="00ED02F3">
        <w:rPr>
          <w:rFonts w:ascii="Calibri" w:hAnsi="Calibri"/>
          <w:i/>
          <w:iCs/>
          <w:noProof/>
          <w:sz w:val="22"/>
        </w:rPr>
        <w:t>Australian Journal of Botany</w:t>
      </w:r>
      <w:r w:rsidRPr="00ED02F3">
        <w:rPr>
          <w:rFonts w:ascii="Calibri" w:hAnsi="Calibri"/>
          <w:noProof/>
          <w:sz w:val="22"/>
        </w:rPr>
        <w:t xml:space="preserve">, </w:t>
      </w:r>
      <w:r w:rsidRPr="00ED02F3">
        <w:rPr>
          <w:rFonts w:ascii="Calibri" w:hAnsi="Calibri"/>
          <w:i/>
          <w:iCs/>
          <w:noProof/>
          <w:sz w:val="22"/>
        </w:rPr>
        <w:t>51</w:t>
      </w:r>
      <w:r w:rsidRPr="00ED02F3">
        <w:rPr>
          <w:rFonts w:ascii="Calibri" w:hAnsi="Calibri"/>
          <w:noProof/>
          <w:sz w:val="22"/>
        </w:rPr>
        <w:t>(4), 335–380.</w:t>
      </w:r>
    </w:p>
    <w:p w14:paraId="4D657F2E"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Curran, T. J., Gersbach, L. N., Edwards, W., &amp; Krockenberger, A. K. (2008). Wood density predicts plant damage and vegetative recovery rates caused by cyclone disturbance in tropical rainforest tree species of North Queensland, Australia. </w:t>
      </w:r>
      <w:r w:rsidRPr="00ED02F3">
        <w:rPr>
          <w:rFonts w:ascii="Calibri" w:hAnsi="Calibri"/>
          <w:i/>
          <w:iCs/>
          <w:noProof/>
          <w:sz w:val="22"/>
        </w:rPr>
        <w:t>Austral Ecology</w:t>
      </w:r>
      <w:r w:rsidRPr="00ED02F3">
        <w:rPr>
          <w:rFonts w:ascii="Calibri" w:hAnsi="Calibri"/>
          <w:noProof/>
          <w:sz w:val="22"/>
        </w:rPr>
        <w:t xml:space="preserve">, </w:t>
      </w:r>
      <w:r w:rsidRPr="00ED02F3">
        <w:rPr>
          <w:rFonts w:ascii="Calibri" w:hAnsi="Calibri"/>
          <w:i/>
          <w:iCs/>
          <w:noProof/>
          <w:sz w:val="22"/>
        </w:rPr>
        <w:t>33</w:t>
      </w:r>
      <w:r w:rsidRPr="00ED02F3">
        <w:rPr>
          <w:rFonts w:ascii="Calibri" w:hAnsi="Calibri"/>
          <w:noProof/>
          <w:sz w:val="22"/>
        </w:rPr>
        <w:t>(4), 442–450. doi:10.1111/j.1442-9993.2008.01899.x</w:t>
      </w:r>
    </w:p>
    <w:p w14:paraId="49CCDAF5"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Falster, D. S. (2006). Sapling strength and safety: the importance of wood density in tropical forests. </w:t>
      </w:r>
      <w:r w:rsidRPr="00ED02F3">
        <w:rPr>
          <w:rFonts w:ascii="Calibri" w:hAnsi="Calibri"/>
          <w:i/>
          <w:iCs/>
          <w:noProof/>
          <w:sz w:val="22"/>
        </w:rPr>
        <w:t>The New Phytologist</w:t>
      </w:r>
      <w:r w:rsidRPr="00ED02F3">
        <w:rPr>
          <w:rFonts w:ascii="Calibri" w:hAnsi="Calibri"/>
          <w:noProof/>
          <w:sz w:val="22"/>
        </w:rPr>
        <w:t xml:space="preserve">, </w:t>
      </w:r>
      <w:r w:rsidRPr="00ED02F3">
        <w:rPr>
          <w:rFonts w:ascii="Calibri" w:hAnsi="Calibri"/>
          <w:i/>
          <w:iCs/>
          <w:noProof/>
          <w:sz w:val="22"/>
        </w:rPr>
        <w:t>171</w:t>
      </w:r>
      <w:r w:rsidRPr="00ED02F3">
        <w:rPr>
          <w:rFonts w:ascii="Calibri" w:hAnsi="Calibri"/>
          <w:noProof/>
          <w:sz w:val="22"/>
        </w:rPr>
        <w:t>(2), 237–9. doi:10.1111/j.1469-8137.2006.01809.x</w:t>
      </w:r>
    </w:p>
    <w:p w14:paraId="52F8BB46"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Falster, D., &amp; Westoby, M. (2005). Alternative height strategies among 45 dicot rain forest species from tropical Queensland, Australia. </w:t>
      </w:r>
      <w:r w:rsidRPr="00ED02F3">
        <w:rPr>
          <w:rFonts w:ascii="Calibri" w:hAnsi="Calibri"/>
          <w:i/>
          <w:iCs/>
          <w:noProof/>
          <w:sz w:val="22"/>
        </w:rPr>
        <w:t>Journal of Ecology</w:t>
      </w:r>
      <w:r w:rsidRPr="00ED02F3">
        <w:rPr>
          <w:rFonts w:ascii="Calibri" w:hAnsi="Calibri"/>
          <w:noProof/>
          <w:sz w:val="22"/>
        </w:rPr>
        <w:t xml:space="preserve">, </w:t>
      </w:r>
      <w:r w:rsidRPr="00ED02F3">
        <w:rPr>
          <w:rFonts w:ascii="Calibri" w:hAnsi="Calibri"/>
          <w:i/>
          <w:iCs/>
          <w:noProof/>
          <w:sz w:val="22"/>
        </w:rPr>
        <w:t>93</w:t>
      </w:r>
      <w:r w:rsidRPr="00ED02F3">
        <w:rPr>
          <w:rFonts w:ascii="Calibri" w:hAnsi="Calibri"/>
          <w:noProof/>
          <w:sz w:val="22"/>
        </w:rPr>
        <w:t>, 521–535. doi:10.1111/j.1365-2745.2005.00992.x</w:t>
      </w:r>
    </w:p>
    <w:p w14:paraId="2B355734"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Gutschick, V. P., &amp; BassiriRad, H. (2003). Extreme events as shaping physiology, ecology, and evolution of plants: toward a unified definition and evaluation of their consequences. </w:t>
      </w:r>
      <w:r w:rsidRPr="00ED02F3">
        <w:rPr>
          <w:rFonts w:ascii="Calibri" w:hAnsi="Calibri"/>
          <w:i/>
          <w:iCs/>
          <w:noProof/>
          <w:sz w:val="22"/>
        </w:rPr>
        <w:t>New Phytologist</w:t>
      </w:r>
      <w:r w:rsidRPr="00ED02F3">
        <w:rPr>
          <w:rFonts w:ascii="Calibri" w:hAnsi="Calibri"/>
          <w:noProof/>
          <w:sz w:val="22"/>
        </w:rPr>
        <w:t xml:space="preserve">, </w:t>
      </w:r>
      <w:r w:rsidRPr="00ED02F3">
        <w:rPr>
          <w:rFonts w:ascii="Calibri" w:hAnsi="Calibri"/>
          <w:i/>
          <w:iCs/>
          <w:noProof/>
          <w:sz w:val="22"/>
        </w:rPr>
        <w:t>160</w:t>
      </w:r>
      <w:r w:rsidRPr="00ED02F3">
        <w:rPr>
          <w:rFonts w:ascii="Calibri" w:hAnsi="Calibri"/>
          <w:noProof/>
          <w:sz w:val="22"/>
        </w:rPr>
        <w:t>(1), 21–42. doi:10.1046/j.1469-8137.2003.00866.x</w:t>
      </w:r>
    </w:p>
    <w:p w14:paraId="385F3983"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lastRenderedPageBreak/>
        <w:t xml:space="preserve">Hacke, U. G., Sperry, J. S., Pockman, W. T., Davis, S. D., &amp; McCulloh, K. a. (2001). Trends in wood density and structure are linked to prevention of xylem implosion by negative pressure. </w:t>
      </w:r>
      <w:r w:rsidRPr="00ED02F3">
        <w:rPr>
          <w:rFonts w:ascii="Calibri" w:hAnsi="Calibri"/>
          <w:i/>
          <w:iCs/>
          <w:noProof/>
          <w:sz w:val="22"/>
        </w:rPr>
        <w:t>Oecologia</w:t>
      </w:r>
      <w:r w:rsidRPr="00ED02F3">
        <w:rPr>
          <w:rFonts w:ascii="Calibri" w:hAnsi="Calibri"/>
          <w:noProof/>
          <w:sz w:val="22"/>
        </w:rPr>
        <w:t xml:space="preserve">, </w:t>
      </w:r>
      <w:r w:rsidRPr="00ED02F3">
        <w:rPr>
          <w:rFonts w:ascii="Calibri" w:hAnsi="Calibri"/>
          <w:i/>
          <w:iCs/>
          <w:noProof/>
          <w:sz w:val="22"/>
        </w:rPr>
        <w:t>126</w:t>
      </w:r>
      <w:r w:rsidRPr="00ED02F3">
        <w:rPr>
          <w:rFonts w:ascii="Calibri" w:hAnsi="Calibri"/>
          <w:noProof/>
          <w:sz w:val="22"/>
        </w:rPr>
        <w:t>(4), 457–461. doi:10.1007/s004420100628</w:t>
      </w:r>
    </w:p>
    <w:p w14:paraId="382E2557"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Hennessy, K., Fawcett, R., Kirono, D., Mpelasoka, M., Jones, D., Bathols, J., … Plummer, N. (2008). </w:t>
      </w:r>
      <w:r w:rsidRPr="00ED02F3">
        <w:rPr>
          <w:rFonts w:ascii="Calibri" w:hAnsi="Calibri"/>
          <w:i/>
          <w:iCs/>
          <w:noProof/>
          <w:sz w:val="22"/>
        </w:rPr>
        <w:t>An assessment of the impact of climate change on the nature and frequency of exceptional climatic events</w:t>
      </w:r>
      <w:r w:rsidRPr="00ED02F3">
        <w:rPr>
          <w:rFonts w:ascii="Calibri" w:hAnsi="Calibri"/>
          <w:noProof/>
          <w:sz w:val="22"/>
        </w:rPr>
        <w:t>. Department of Agriculture, Fisheries and Forestry, 2008. Retrieved from http://www.oisaweb.es/documents/10148/30643/Impact+of+climate+change+on+the+nature+of+excepcional+climatic+events.pdf</w:t>
      </w:r>
    </w:p>
    <w:p w14:paraId="5D5B50C6"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Hennessy, K., Fitzharris, B., Bates, B. C., Harvey, N., SM, H., L, H., … Warrick, R. (2007). </w:t>
      </w:r>
      <w:r w:rsidRPr="00ED02F3">
        <w:rPr>
          <w:rFonts w:ascii="Calibri" w:hAnsi="Calibri"/>
          <w:i/>
          <w:iCs/>
          <w:noProof/>
          <w:sz w:val="22"/>
        </w:rPr>
        <w:t>Climate Change 2007: Impacts, Adaptation and Vulnerability. Contribution of Working Group II to the Fourth Assessment Report of the Intergovernmental Panel on Climate Change</w:t>
      </w:r>
      <w:r w:rsidRPr="00ED02F3">
        <w:rPr>
          <w:rFonts w:ascii="Calibri" w:hAnsi="Calibri"/>
          <w:noProof/>
          <w:sz w:val="22"/>
        </w:rPr>
        <w:t>. (M. . Parry, O. . Canziani, J. . Palutikof, P. . van der Linden, &amp; C. . Hanson, Eds.) (pp. 507–540). Cambridge: Cambridge University Press.</w:t>
      </w:r>
    </w:p>
    <w:p w14:paraId="1336916D"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Jacobsen, A., &amp; Ewers, F. (2005). Do xylem fibers affect vessel cavitation resistance? </w:t>
      </w:r>
      <w:r w:rsidRPr="00ED02F3">
        <w:rPr>
          <w:rFonts w:ascii="Calibri" w:hAnsi="Calibri"/>
          <w:i/>
          <w:iCs/>
          <w:noProof/>
          <w:sz w:val="22"/>
        </w:rPr>
        <w:t>Plant Physiology</w:t>
      </w:r>
      <w:r w:rsidRPr="00ED02F3">
        <w:rPr>
          <w:rFonts w:ascii="Calibri" w:hAnsi="Calibri"/>
          <w:noProof/>
          <w:sz w:val="22"/>
        </w:rPr>
        <w:t xml:space="preserve">, </w:t>
      </w:r>
      <w:r w:rsidRPr="00ED02F3">
        <w:rPr>
          <w:rFonts w:ascii="Calibri" w:hAnsi="Calibri"/>
          <w:i/>
          <w:iCs/>
          <w:noProof/>
          <w:sz w:val="22"/>
        </w:rPr>
        <w:t>139</w:t>
      </w:r>
      <w:r w:rsidRPr="00ED02F3">
        <w:rPr>
          <w:rFonts w:ascii="Calibri" w:hAnsi="Calibri"/>
          <w:noProof/>
          <w:sz w:val="22"/>
        </w:rPr>
        <w:t>(September), 546–556. doi:10.1104/pp.104.058404.result</w:t>
      </w:r>
    </w:p>
    <w:p w14:paraId="2F75BFBE"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D02F3">
        <w:rPr>
          <w:rFonts w:ascii="Calibri" w:hAnsi="Calibri"/>
          <w:i/>
          <w:iCs/>
          <w:noProof/>
          <w:sz w:val="22"/>
        </w:rPr>
        <w:t>Journal of Ecology</w:t>
      </w:r>
      <w:r w:rsidRPr="00ED02F3">
        <w:rPr>
          <w:rFonts w:ascii="Calibri" w:hAnsi="Calibri"/>
          <w:noProof/>
          <w:sz w:val="22"/>
        </w:rPr>
        <w:t xml:space="preserve">, </w:t>
      </w:r>
      <w:r w:rsidRPr="00ED02F3">
        <w:rPr>
          <w:rFonts w:ascii="Calibri" w:hAnsi="Calibri"/>
          <w:i/>
          <w:iCs/>
          <w:noProof/>
          <w:sz w:val="22"/>
        </w:rPr>
        <w:t>95</w:t>
      </w:r>
      <w:r w:rsidRPr="00ED02F3">
        <w:rPr>
          <w:rFonts w:ascii="Calibri" w:hAnsi="Calibri"/>
          <w:noProof/>
          <w:sz w:val="22"/>
        </w:rPr>
        <w:t>(1), 171–183. doi:10.1111/j.1365-2745.2006.01186.x</w:t>
      </w:r>
    </w:p>
    <w:p w14:paraId="534997E4"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Kattge, J., Díaz, S., Lavorel, S., Prentice, I. C., Leadley, P., Bönisch, G., … Wirth, C. (2011). TRY - a global database of plant traits. </w:t>
      </w:r>
      <w:r w:rsidRPr="00ED02F3">
        <w:rPr>
          <w:rFonts w:ascii="Calibri" w:hAnsi="Calibri"/>
          <w:i/>
          <w:iCs/>
          <w:noProof/>
          <w:sz w:val="22"/>
        </w:rPr>
        <w:t>Global Change Biology</w:t>
      </w:r>
      <w:r w:rsidRPr="00ED02F3">
        <w:rPr>
          <w:rFonts w:ascii="Calibri" w:hAnsi="Calibri"/>
          <w:noProof/>
          <w:sz w:val="22"/>
        </w:rPr>
        <w:t xml:space="preserve">, </w:t>
      </w:r>
      <w:r w:rsidRPr="00ED02F3">
        <w:rPr>
          <w:rFonts w:ascii="Calibri" w:hAnsi="Calibri"/>
          <w:i/>
          <w:iCs/>
          <w:noProof/>
          <w:sz w:val="22"/>
        </w:rPr>
        <w:t>17</w:t>
      </w:r>
      <w:r w:rsidRPr="00ED02F3">
        <w:rPr>
          <w:rFonts w:ascii="Calibri" w:hAnsi="Calibri"/>
          <w:noProof/>
          <w:sz w:val="22"/>
        </w:rPr>
        <w:t>(9), 2905–2935. doi:10.1111/j.1365-2486.2011.02451.x</w:t>
      </w:r>
    </w:p>
    <w:p w14:paraId="4954E4B0"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Kennard, M. J., Pusey, B. J., Olden, J. D., Mackay, S. J., Stein, J. L., &amp; Marsh, N. (2010). Classification of natural flow regimes in Australia to support environmental flow management. </w:t>
      </w:r>
      <w:r w:rsidRPr="00ED02F3">
        <w:rPr>
          <w:rFonts w:ascii="Calibri" w:hAnsi="Calibri"/>
          <w:i/>
          <w:iCs/>
          <w:noProof/>
          <w:sz w:val="22"/>
        </w:rPr>
        <w:t>Freshwater Biology</w:t>
      </w:r>
      <w:r w:rsidRPr="00ED02F3">
        <w:rPr>
          <w:rFonts w:ascii="Calibri" w:hAnsi="Calibri"/>
          <w:noProof/>
          <w:sz w:val="22"/>
        </w:rPr>
        <w:t xml:space="preserve">, </w:t>
      </w:r>
      <w:r w:rsidRPr="00ED02F3">
        <w:rPr>
          <w:rFonts w:ascii="Calibri" w:hAnsi="Calibri"/>
          <w:i/>
          <w:iCs/>
          <w:noProof/>
          <w:sz w:val="22"/>
        </w:rPr>
        <w:t>55</w:t>
      </w:r>
      <w:r w:rsidRPr="00ED02F3">
        <w:rPr>
          <w:rFonts w:ascii="Calibri" w:hAnsi="Calibri"/>
          <w:noProof/>
          <w:sz w:val="22"/>
        </w:rPr>
        <w:t>(1), 171–193. doi:10.1111/j.1365-2427.2009.02307.x</w:t>
      </w:r>
    </w:p>
    <w:p w14:paraId="58D60C20"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King, D. a., Davies, S. J., Tan, S., &amp; Noor, N. S. M. (2006). The role of wood density and stem support costs in the growth and mortality of tropical trees. </w:t>
      </w:r>
      <w:r w:rsidRPr="00ED02F3">
        <w:rPr>
          <w:rFonts w:ascii="Calibri" w:hAnsi="Calibri"/>
          <w:i/>
          <w:iCs/>
          <w:noProof/>
          <w:sz w:val="22"/>
        </w:rPr>
        <w:t>Journal of Ecology</w:t>
      </w:r>
      <w:r w:rsidRPr="00ED02F3">
        <w:rPr>
          <w:rFonts w:ascii="Calibri" w:hAnsi="Calibri"/>
          <w:noProof/>
          <w:sz w:val="22"/>
        </w:rPr>
        <w:t xml:space="preserve">, </w:t>
      </w:r>
      <w:r w:rsidRPr="00ED02F3">
        <w:rPr>
          <w:rFonts w:ascii="Calibri" w:hAnsi="Calibri"/>
          <w:i/>
          <w:iCs/>
          <w:noProof/>
          <w:sz w:val="22"/>
        </w:rPr>
        <w:t>94</w:t>
      </w:r>
      <w:r w:rsidRPr="00ED02F3">
        <w:rPr>
          <w:rFonts w:ascii="Calibri" w:hAnsi="Calibri"/>
          <w:noProof/>
          <w:sz w:val="22"/>
        </w:rPr>
        <w:t>(3), 670–680. doi:10.1111/j.1365-2745.2006.01112.x</w:t>
      </w:r>
    </w:p>
    <w:p w14:paraId="269C1FD0"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Kraft, N. J. B., Metz, M. R., Condit, R. S., &amp; Chave, J. (2010). The relationship between wood density and mortality in a global tropical forest data set. </w:t>
      </w:r>
      <w:r w:rsidRPr="00ED02F3">
        <w:rPr>
          <w:rFonts w:ascii="Calibri" w:hAnsi="Calibri"/>
          <w:i/>
          <w:iCs/>
          <w:noProof/>
          <w:sz w:val="22"/>
        </w:rPr>
        <w:t>The New Phytologist</w:t>
      </w:r>
      <w:r w:rsidRPr="00ED02F3">
        <w:rPr>
          <w:rFonts w:ascii="Calibri" w:hAnsi="Calibri"/>
          <w:noProof/>
          <w:sz w:val="22"/>
        </w:rPr>
        <w:t xml:space="preserve">, </w:t>
      </w:r>
      <w:r w:rsidRPr="00ED02F3">
        <w:rPr>
          <w:rFonts w:ascii="Calibri" w:hAnsi="Calibri"/>
          <w:i/>
          <w:iCs/>
          <w:noProof/>
          <w:sz w:val="22"/>
        </w:rPr>
        <w:t>188</w:t>
      </w:r>
      <w:r w:rsidRPr="00ED02F3">
        <w:rPr>
          <w:rFonts w:ascii="Calibri" w:hAnsi="Calibri"/>
          <w:noProof/>
          <w:sz w:val="22"/>
        </w:rPr>
        <w:t>(4), 1124–36. doi:10.1111/j.1469-8137.2010.03444.x</w:t>
      </w:r>
    </w:p>
    <w:p w14:paraId="4E7D2F86"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Lens, F., Sperry, J. S., Christman, M. a, Choat, B., Rabaey, D., &amp; Jansen, S. (2011). Testing hypotheses that link wood anatomy to cavitation resistance and hydraulic conductivity in the genus Acer. </w:t>
      </w:r>
      <w:r w:rsidRPr="00ED02F3">
        <w:rPr>
          <w:rFonts w:ascii="Calibri" w:hAnsi="Calibri"/>
          <w:i/>
          <w:iCs/>
          <w:noProof/>
          <w:sz w:val="22"/>
        </w:rPr>
        <w:t>The New Phytologist</w:t>
      </w:r>
      <w:r w:rsidRPr="00ED02F3">
        <w:rPr>
          <w:rFonts w:ascii="Calibri" w:hAnsi="Calibri"/>
          <w:noProof/>
          <w:sz w:val="22"/>
        </w:rPr>
        <w:t xml:space="preserve">, </w:t>
      </w:r>
      <w:r w:rsidRPr="00ED02F3">
        <w:rPr>
          <w:rFonts w:ascii="Calibri" w:hAnsi="Calibri"/>
          <w:i/>
          <w:iCs/>
          <w:noProof/>
          <w:sz w:val="22"/>
        </w:rPr>
        <w:t>190</w:t>
      </w:r>
      <w:r w:rsidRPr="00ED02F3">
        <w:rPr>
          <w:rFonts w:ascii="Calibri" w:hAnsi="Calibri"/>
          <w:noProof/>
          <w:sz w:val="22"/>
        </w:rPr>
        <w:t>(3), 709–23. doi:10.1111/j.1469-8137.2010.03518.x</w:t>
      </w:r>
    </w:p>
    <w:p w14:paraId="33951407"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Martínez-Cabrera, H. I., Jones, C. S., Espino, S., &amp; Schenk, H. J. (2009). Wood anatomy and wood density in shrubs: Responses to varying aridity along transcontinental transects. </w:t>
      </w:r>
      <w:r w:rsidRPr="00ED02F3">
        <w:rPr>
          <w:rFonts w:ascii="Calibri" w:hAnsi="Calibri"/>
          <w:i/>
          <w:iCs/>
          <w:noProof/>
          <w:sz w:val="22"/>
        </w:rPr>
        <w:t>American Journal of Botany</w:t>
      </w:r>
      <w:r w:rsidRPr="00ED02F3">
        <w:rPr>
          <w:rFonts w:ascii="Calibri" w:hAnsi="Calibri"/>
          <w:noProof/>
          <w:sz w:val="22"/>
        </w:rPr>
        <w:t xml:space="preserve">, </w:t>
      </w:r>
      <w:r w:rsidRPr="00ED02F3">
        <w:rPr>
          <w:rFonts w:ascii="Calibri" w:hAnsi="Calibri"/>
          <w:i/>
          <w:iCs/>
          <w:noProof/>
          <w:sz w:val="22"/>
        </w:rPr>
        <w:t>96</w:t>
      </w:r>
      <w:r w:rsidRPr="00ED02F3">
        <w:rPr>
          <w:rFonts w:ascii="Calibri" w:hAnsi="Calibri"/>
          <w:noProof/>
          <w:sz w:val="22"/>
        </w:rPr>
        <w:t>(8), 1388–98. doi:10.3732/ajb.0800237</w:t>
      </w:r>
    </w:p>
    <w:p w14:paraId="792E1D0B"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McGill, B. J., Enquist, B. J., Weiher, E., &amp; Westoby, M. (2006). Rebuilding community ecology from functional traits. </w:t>
      </w:r>
      <w:r w:rsidRPr="00ED02F3">
        <w:rPr>
          <w:rFonts w:ascii="Calibri" w:hAnsi="Calibri"/>
          <w:i/>
          <w:iCs/>
          <w:noProof/>
          <w:sz w:val="22"/>
        </w:rPr>
        <w:t>Trends in Ecology &amp; Evolution</w:t>
      </w:r>
      <w:r w:rsidRPr="00ED02F3">
        <w:rPr>
          <w:rFonts w:ascii="Calibri" w:hAnsi="Calibri"/>
          <w:noProof/>
          <w:sz w:val="22"/>
        </w:rPr>
        <w:t xml:space="preserve">, </w:t>
      </w:r>
      <w:r w:rsidRPr="00ED02F3">
        <w:rPr>
          <w:rFonts w:ascii="Calibri" w:hAnsi="Calibri"/>
          <w:i/>
          <w:iCs/>
          <w:noProof/>
          <w:sz w:val="22"/>
        </w:rPr>
        <w:t>21</w:t>
      </w:r>
      <w:r w:rsidRPr="00ED02F3">
        <w:rPr>
          <w:rFonts w:ascii="Calibri" w:hAnsi="Calibri"/>
          <w:noProof/>
          <w:sz w:val="22"/>
        </w:rPr>
        <w:t>(4), 178–85. doi:10.1016/j.tree.2006.02.002</w:t>
      </w:r>
    </w:p>
    <w:p w14:paraId="791D1A4A"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lastRenderedPageBreak/>
        <w:t xml:space="preserve">Merritt, D. M., Scott, M. L., Poff, N. L., Auble, G. T., &amp; Lytle, D. a. (2010). Theory, methods and tools for determining environmental flows for riparian vegetation: riparian vegetation-flow response guilds. </w:t>
      </w:r>
      <w:r w:rsidRPr="00ED02F3">
        <w:rPr>
          <w:rFonts w:ascii="Calibri" w:hAnsi="Calibri"/>
          <w:i/>
          <w:iCs/>
          <w:noProof/>
          <w:sz w:val="22"/>
        </w:rPr>
        <w:t>Freshwater Biology</w:t>
      </w:r>
      <w:r w:rsidRPr="00ED02F3">
        <w:rPr>
          <w:rFonts w:ascii="Calibri" w:hAnsi="Calibri"/>
          <w:noProof/>
          <w:sz w:val="22"/>
        </w:rPr>
        <w:t xml:space="preserve">, </w:t>
      </w:r>
      <w:r w:rsidRPr="00ED02F3">
        <w:rPr>
          <w:rFonts w:ascii="Calibri" w:hAnsi="Calibri"/>
          <w:i/>
          <w:iCs/>
          <w:noProof/>
          <w:sz w:val="22"/>
        </w:rPr>
        <w:t>55</w:t>
      </w:r>
      <w:r w:rsidRPr="00ED02F3">
        <w:rPr>
          <w:rFonts w:ascii="Calibri" w:hAnsi="Calibri"/>
          <w:noProof/>
          <w:sz w:val="22"/>
        </w:rPr>
        <w:t>(1), 206–225. doi:10.1111/j.1365-2427.2009.02206.x</w:t>
      </w:r>
    </w:p>
    <w:p w14:paraId="6C868D47"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Niklas, K. J., &amp; Spatz, H.-C. (2010). Worldwide correlations of mechanical properties and green wood density. </w:t>
      </w:r>
      <w:r w:rsidRPr="00ED02F3">
        <w:rPr>
          <w:rFonts w:ascii="Calibri" w:hAnsi="Calibri"/>
          <w:i/>
          <w:iCs/>
          <w:noProof/>
          <w:sz w:val="22"/>
        </w:rPr>
        <w:t>American Journal of Botany</w:t>
      </w:r>
      <w:r w:rsidRPr="00ED02F3">
        <w:rPr>
          <w:rFonts w:ascii="Calibri" w:hAnsi="Calibri"/>
          <w:noProof/>
          <w:sz w:val="22"/>
        </w:rPr>
        <w:t xml:space="preserve">, </w:t>
      </w:r>
      <w:r w:rsidRPr="00ED02F3">
        <w:rPr>
          <w:rFonts w:ascii="Calibri" w:hAnsi="Calibri"/>
          <w:i/>
          <w:iCs/>
          <w:noProof/>
          <w:sz w:val="22"/>
        </w:rPr>
        <w:t>97</w:t>
      </w:r>
      <w:r w:rsidRPr="00ED02F3">
        <w:rPr>
          <w:rFonts w:ascii="Calibri" w:hAnsi="Calibri"/>
          <w:noProof/>
          <w:sz w:val="22"/>
        </w:rPr>
        <w:t>(10), 1587–94. doi:10.3732/ajb.1000150</w:t>
      </w:r>
    </w:p>
    <w:p w14:paraId="00E6DB80"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Oksanen, J., Blanchet, F. G., Kindt, R., Legendre, P., Minchin, P. R., O’Hara, R. B., … Wagner, H. (2013). vegan: Community Ecology Package. Retrieved from http://cran.r-project.org/package=vegan</w:t>
      </w:r>
    </w:p>
    <w:p w14:paraId="337F76F9"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Olden, J. D., &amp; Poff, N. L. (2003). Redundancy and the choice of hydrologic indices for characterizing streamflow regimes. </w:t>
      </w:r>
      <w:r w:rsidRPr="00ED02F3">
        <w:rPr>
          <w:rFonts w:ascii="Calibri" w:hAnsi="Calibri"/>
          <w:i/>
          <w:iCs/>
          <w:noProof/>
          <w:sz w:val="22"/>
        </w:rPr>
        <w:t>River Research and Applications</w:t>
      </w:r>
      <w:r w:rsidRPr="00ED02F3">
        <w:rPr>
          <w:rFonts w:ascii="Calibri" w:hAnsi="Calibri"/>
          <w:noProof/>
          <w:sz w:val="22"/>
        </w:rPr>
        <w:t xml:space="preserve">, </w:t>
      </w:r>
      <w:r w:rsidRPr="00ED02F3">
        <w:rPr>
          <w:rFonts w:ascii="Calibri" w:hAnsi="Calibri"/>
          <w:i/>
          <w:iCs/>
          <w:noProof/>
          <w:sz w:val="22"/>
        </w:rPr>
        <w:t>19</w:t>
      </w:r>
      <w:r w:rsidRPr="00ED02F3">
        <w:rPr>
          <w:rFonts w:ascii="Calibri" w:hAnsi="Calibri"/>
          <w:noProof/>
          <w:sz w:val="22"/>
        </w:rPr>
        <w:t>(2), 101–121. doi:10.1002/rra.700</w:t>
      </w:r>
    </w:p>
    <w:p w14:paraId="3C03EE26"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Peel, M. C., &amp; Bloschl, G. (2011). Hydrological modelling in a changing world. </w:t>
      </w:r>
      <w:r w:rsidRPr="00ED02F3">
        <w:rPr>
          <w:rFonts w:ascii="Calibri" w:hAnsi="Calibri"/>
          <w:i/>
          <w:iCs/>
          <w:noProof/>
          <w:sz w:val="22"/>
        </w:rPr>
        <w:t>Progress in Physical Geography</w:t>
      </w:r>
      <w:r w:rsidRPr="00ED02F3">
        <w:rPr>
          <w:rFonts w:ascii="Calibri" w:hAnsi="Calibri"/>
          <w:noProof/>
          <w:sz w:val="22"/>
        </w:rPr>
        <w:t xml:space="preserve">, </w:t>
      </w:r>
      <w:r w:rsidRPr="00ED02F3">
        <w:rPr>
          <w:rFonts w:ascii="Calibri" w:hAnsi="Calibri"/>
          <w:i/>
          <w:iCs/>
          <w:noProof/>
          <w:sz w:val="22"/>
        </w:rPr>
        <w:t>35</w:t>
      </w:r>
      <w:r w:rsidRPr="00ED02F3">
        <w:rPr>
          <w:rFonts w:ascii="Calibri" w:hAnsi="Calibri"/>
          <w:noProof/>
          <w:sz w:val="22"/>
        </w:rPr>
        <w:t>(2), 249–261. doi:10.1177/0309133311402550</w:t>
      </w:r>
    </w:p>
    <w:p w14:paraId="7DD3F5EA"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Poff, N. L., Richter, B. D., Arthington, A. H., Bunn, S. E., Naiman, R. J., Kendy, E., … Warner, A. (2010). The ecological limits of hydrologic alteration (ELOHA): a new framework for developing regional environmental flow standards. </w:t>
      </w:r>
      <w:r w:rsidRPr="00ED02F3">
        <w:rPr>
          <w:rFonts w:ascii="Calibri" w:hAnsi="Calibri"/>
          <w:i/>
          <w:iCs/>
          <w:noProof/>
          <w:sz w:val="22"/>
        </w:rPr>
        <w:t>Freshwater Biology</w:t>
      </w:r>
      <w:r w:rsidRPr="00ED02F3">
        <w:rPr>
          <w:rFonts w:ascii="Calibri" w:hAnsi="Calibri"/>
          <w:noProof/>
          <w:sz w:val="22"/>
        </w:rPr>
        <w:t xml:space="preserve">, </w:t>
      </w:r>
      <w:r w:rsidRPr="00ED02F3">
        <w:rPr>
          <w:rFonts w:ascii="Calibri" w:hAnsi="Calibri"/>
          <w:i/>
          <w:iCs/>
          <w:noProof/>
          <w:sz w:val="22"/>
        </w:rPr>
        <w:t>55</w:t>
      </w:r>
      <w:r w:rsidRPr="00ED02F3">
        <w:rPr>
          <w:rFonts w:ascii="Calibri" w:hAnsi="Calibri"/>
          <w:noProof/>
          <w:sz w:val="22"/>
        </w:rPr>
        <w:t>(1), 147–170. doi:10.1111/j.1365-2427.2009.02204.x</w:t>
      </w:r>
    </w:p>
    <w:p w14:paraId="478E0CE4"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Poorter, L., McDonald, I., Alarcón, A., Fichtler, E., Licona, J.-C., Peña-Claros, M., … Sass-Klaassen, U. (2010). The importance of wood traits and hydraulic conductance for the performance and life history strategies of 42 rainforest tree species. </w:t>
      </w:r>
      <w:r w:rsidRPr="00ED02F3">
        <w:rPr>
          <w:rFonts w:ascii="Calibri" w:hAnsi="Calibri"/>
          <w:i/>
          <w:iCs/>
          <w:noProof/>
          <w:sz w:val="22"/>
        </w:rPr>
        <w:t>The New Phytologist</w:t>
      </w:r>
      <w:r w:rsidRPr="00ED02F3">
        <w:rPr>
          <w:rFonts w:ascii="Calibri" w:hAnsi="Calibri"/>
          <w:noProof/>
          <w:sz w:val="22"/>
        </w:rPr>
        <w:t xml:space="preserve">, </w:t>
      </w:r>
      <w:r w:rsidRPr="00ED02F3">
        <w:rPr>
          <w:rFonts w:ascii="Calibri" w:hAnsi="Calibri"/>
          <w:i/>
          <w:iCs/>
          <w:noProof/>
          <w:sz w:val="22"/>
        </w:rPr>
        <w:t>185</w:t>
      </w:r>
      <w:r w:rsidRPr="00ED02F3">
        <w:rPr>
          <w:rFonts w:ascii="Calibri" w:hAnsi="Calibri"/>
          <w:noProof/>
          <w:sz w:val="22"/>
        </w:rPr>
        <w:t>(2), 481–92. doi:10.1111/j.1469-8137.2009.03092.x</w:t>
      </w:r>
    </w:p>
    <w:p w14:paraId="2F915C79"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Poorter, L., Wright, S. J., Paz, H., Ackerly, D. D., Condit, R., Ibarra-Manríquez, G., … Wright, I. J. (2008). Are functional traits good predictors of demographic rates? Evidence from five neotropical forests. </w:t>
      </w:r>
      <w:r w:rsidRPr="00ED02F3">
        <w:rPr>
          <w:rFonts w:ascii="Calibri" w:hAnsi="Calibri"/>
          <w:i/>
          <w:iCs/>
          <w:noProof/>
          <w:sz w:val="22"/>
        </w:rPr>
        <w:t>Ecology</w:t>
      </w:r>
      <w:r w:rsidRPr="00ED02F3">
        <w:rPr>
          <w:rFonts w:ascii="Calibri" w:hAnsi="Calibri"/>
          <w:noProof/>
          <w:sz w:val="22"/>
        </w:rPr>
        <w:t xml:space="preserve">, </w:t>
      </w:r>
      <w:r w:rsidRPr="00ED02F3">
        <w:rPr>
          <w:rFonts w:ascii="Calibri" w:hAnsi="Calibri"/>
          <w:i/>
          <w:iCs/>
          <w:noProof/>
          <w:sz w:val="22"/>
        </w:rPr>
        <w:t>89</w:t>
      </w:r>
      <w:r w:rsidRPr="00ED02F3">
        <w:rPr>
          <w:rFonts w:ascii="Calibri" w:hAnsi="Calibri"/>
          <w:noProof/>
          <w:sz w:val="22"/>
        </w:rPr>
        <w:t>(7), 1908–20. Retrieved from http://www.ncbi.nlm.nih.gov/pubmed/18705377</w:t>
      </w:r>
    </w:p>
    <w:p w14:paraId="76955908"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Preston, K. a, Cornwell, W. K., &amp; Denoyer, J. L. (2006). Wood density and vessel traits as distinct correlates of ecological strategy in 51 California coast range angiosperms. </w:t>
      </w:r>
      <w:r w:rsidRPr="00ED02F3">
        <w:rPr>
          <w:rFonts w:ascii="Calibri" w:hAnsi="Calibri"/>
          <w:i/>
          <w:iCs/>
          <w:noProof/>
          <w:sz w:val="22"/>
        </w:rPr>
        <w:t>The New Phytologist</w:t>
      </w:r>
      <w:r w:rsidRPr="00ED02F3">
        <w:rPr>
          <w:rFonts w:ascii="Calibri" w:hAnsi="Calibri"/>
          <w:noProof/>
          <w:sz w:val="22"/>
        </w:rPr>
        <w:t xml:space="preserve">, </w:t>
      </w:r>
      <w:r w:rsidRPr="00ED02F3">
        <w:rPr>
          <w:rFonts w:ascii="Calibri" w:hAnsi="Calibri"/>
          <w:i/>
          <w:iCs/>
          <w:noProof/>
          <w:sz w:val="22"/>
        </w:rPr>
        <w:t>170</w:t>
      </w:r>
      <w:r w:rsidRPr="00ED02F3">
        <w:rPr>
          <w:rFonts w:ascii="Calibri" w:hAnsi="Calibri"/>
          <w:noProof/>
          <w:sz w:val="22"/>
        </w:rPr>
        <w:t>(4), 807–18. doi:10.1111/j.1469-8137.2006.01712.x</w:t>
      </w:r>
    </w:p>
    <w:p w14:paraId="5A858842"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R Core Team. (2013). R: A Language and Environment for Statistical Computing. Vienna, Austria. Retrieved from http://www.r-project.org/</w:t>
      </w:r>
    </w:p>
    <w:p w14:paraId="4FC92BA9"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Reich, P., &amp; Wright, I. (2003). The evolution of plant functional variation: traits, spectra, and strategies. </w:t>
      </w:r>
      <w:r w:rsidRPr="00ED02F3">
        <w:rPr>
          <w:rFonts w:ascii="Calibri" w:hAnsi="Calibri"/>
          <w:i/>
          <w:iCs/>
          <w:noProof/>
          <w:sz w:val="22"/>
        </w:rPr>
        <w:t>International Journal of Plant Sciences</w:t>
      </w:r>
      <w:r w:rsidRPr="00ED02F3">
        <w:rPr>
          <w:rFonts w:ascii="Calibri" w:hAnsi="Calibri"/>
          <w:noProof/>
          <w:sz w:val="22"/>
        </w:rPr>
        <w:t xml:space="preserve">, </w:t>
      </w:r>
      <w:r w:rsidRPr="00ED02F3">
        <w:rPr>
          <w:rFonts w:ascii="Calibri" w:hAnsi="Calibri"/>
          <w:i/>
          <w:iCs/>
          <w:noProof/>
          <w:sz w:val="22"/>
        </w:rPr>
        <w:t>164</w:t>
      </w:r>
      <w:r w:rsidRPr="00ED02F3">
        <w:rPr>
          <w:rFonts w:ascii="Calibri" w:hAnsi="Calibri"/>
          <w:noProof/>
          <w:sz w:val="22"/>
        </w:rPr>
        <w:t>(May 2003), 146–164. Retrieved from http://www.jstor.org/stable/10.1086/374368</w:t>
      </w:r>
    </w:p>
    <w:p w14:paraId="739CCA82"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Russo, S. E., Jenkins, K. L., Wiser, S. K., Uriarte, M., Duncan, R. P., &amp; Coomes, D. a. (2010). Interspecific relationships among growth, mortality and xylem traits of woody species from New Zealand. </w:t>
      </w:r>
      <w:r w:rsidRPr="00ED02F3">
        <w:rPr>
          <w:rFonts w:ascii="Calibri" w:hAnsi="Calibri"/>
          <w:i/>
          <w:iCs/>
          <w:noProof/>
          <w:sz w:val="22"/>
        </w:rPr>
        <w:t>Functional Ecology</w:t>
      </w:r>
      <w:r w:rsidRPr="00ED02F3">
        <w:rPr>
          <w:rFonts w:ascii="Calibri" w:hAnsi="Calibri"/>
          <w:noProof/>
          <w:sz w:val="22"/>
        </w:rPr>
        <w:t xml:space="preserve">, </w:t>
      </w:r>
      <w:r w:rsidRPr="00ED02F3">
        <w:rPr>
          <w:rFonts w:ascii="Calibri" w:hAnsi="Calibri"/>
          <w:i/>
          <w:iCs/>
          <w:noProof/>
          <w:sz w:val="22"/>
        </w:rPr>
        <w:t>24</w:t>
      </w:r>
      <w:r w:rsidRPr="00ED02F3">
        <w:rPr>
          <w:rFonts w:ascii="Calibri" w:hAnsi="Calibri"/>
          <w:noProof/>
          <w:sz w:val="22"/>
        </w:rPr>
        <w:t>(2), 253–262. doi:10.1111/j.1365-2435.2009.01670.x</w:t>
      </w:r>
    </w:p>
    <w:p w14:paraId="6111CE71"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Swenson, N., &amp; Enquist, B. (2007). Ecological and evolutionary determinants of a key plant functional trait: wood density and its community-wide variation across latitude and elevation. </w:t>
      </w:r>
      <w:r w:rsidRPr="00ED02F3">
        <w:rPr>
          <w:rFonts w:ascii="Calibri" w:hAnsi="Calibri"/>
          <w:i/>
          <w:iCs/>
          <w:noProof/>
          <w:sz w:val="22"/>
        </w:rPr>
        <w:t>American Journal of Botany</w:t>
      </w:r>
      <w:r w:rsidRPr="00ED02F3">
        <w:rPr>
          <w:rFonts w:ascii="Calibri" w:hAnsi="Calibri"/>
          <w:noProof/>
          <w:sz w:val="22"/>
        </w:rPr>
        <w:t xml:space="preserve">, </w:t>
      </w:r>
      <w:r w:rsidRPr="00ED02F3">
        <w:rPr>
          <w:rFonts w:ascii="Calibri" w:hAnsi="Calibri"/>
          <w:i/>
          <w:iCs/>
          <w:noProof/>
          <w:sz w:val="22"/>
        </w:rPr>
        <w:t>94</w:t>
      </w:r>
      <w:r w:rsidRPr="00ED02F3">
        <w:rPr>
          <w:rFonts w:ascii="Calibri" w:hAnsi="Calibri"/>
          <w:noProof/>
          <w:sz w:val="22"/>
        </w:rPr>
        <w:t>(3), 451–459. Retrieved from http://www.amjbot.org/content/94/3/451.short</w:t>
      </w:r>
    </w:p>
    <w:p w14:paraId="0329B094"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lastRenderedPageBreak/>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D02F3">
        <w:rPr>
          <w:rFonts w:ascii="Calibri" w:hAnsi="Calibri"/>
          <w:i/>
          <w:iCs/>
          <w:noProof/>
          <w:sz w:val="22"/>
        </w:rPr>
        <w:t>New Phytologist</w:t>
      </w:r>
      <w:r w:rsidRPr="00ED02F3">
        <w:rPr>
          <w:rFonts w:ascii="Calibri" w:hAnsi="Calibri"/>
          <w:noProof/>
          <w:sz w:val="22"/>
        </w:rPr>
        <w:t xml:space="preserve">, </w:t>
      </w:r>
      <w:r w:rsidRPr="00ED02F3">
        <w:rPr>
          <w:rFonts w:ascii="Calibri" w:hAnsi="Calibri"/>
          <w:i/>
          <w:iCs/>
          <w:noProof/>
          <w:sz w:val="22"/>
        </w:rPr>
        <w:t>156</w:t>
      </w:r>
      <w:r w:rsidRPr="00ED02F3">
        <w:rPr>
          <w:rFonts w:ascii="Calibri" w:hAnsi="Calibri"/>
          <w:noProof/>
          <w:sz w:val="22"/>
        </w:rPr>
        <w:t>(3), 457–467. doi:10.1046/j.1469-8137.2002.00525.x</w:t>
      </w:r>
    </w:p>
    <w:p w14:paraId="7167C3FA"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Valladares, F., Chico, J., &amp; Aranda, I. (2002). The greater seedling high-light tolerance of Quercus robur over Fagus sylvatica is linked to a greater physiological plasticity. </w:t>
      </w:r>
      <w:r w:rsidRPr="00ED02F3">
        <w:rPr>
          <w:rFonts w:ascii="Calibri" w:hAnsi="Calibri"/>
          <w:i/>
          <w:iCs/>
          <w:noProof/>
          <w:sz w:val="22"/>
        </w:rPr>
        <w:t>Trees</w:t>
      </w:r>
      <w:r w:rsidRPr="00ED02F3">
        <w:rPr>
          <w:rFonts w:ascii="Calibri" w:hAnsi="Calibri"/>
          <w:noProof/>
          <w:sz w:val="22"/>
        </w:rPr>
        <w:t xml:space="preserve">, </w:t>
      </w:r>
      <w:r w:rsidRPr="00ED02F3">
        <w:rPr>
          <w:rFonts w:ascii="Calibri" w:hAnsi="Calibri"/>
          <w:i/>
          <w:iCs/>
          <w:noProof/>
          <w:sz w:val="22"/>
        </w:rPr>
        <w:t>16</w:t>
      </w:r>
      <w:r w:rsidRPr="00ED02F3">
        <w:rPr>
          <w:rFonts w:ascii="Calibri" w:hAnsi="Calibri"/>
          <w:noProof/>
          <w:sz w:val="22"/>
        </w:rPr>
        <w:t>(6), 395–403. doi:10.1007/s00468-002-0184-4</w:t>
      </w:r>
    </w:p>
    <w:p w14:paraId="34D64017"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Weimann, M., &amp; Williamson, G. (2002). Geographic variation in wood specific gravity: effects of latitude, temperature and precipitation. </w:t>
      </w:r>
      <w:r w:rsidRPr="00ED02F3">
        <w:rPr>
          <w:rFonts w:ascii="Calibri" w:hAnsi="Calibri"/>
          <w:i/>
          <w:iCs/>
          <w:noProof/>
          <w:sz w:val="22"/>
        </w:rPr>
        <w:t>Wood and Fiber Science</w:t>
      </w:r>
      <w:r w:rsidRPr="00ED02F3">
        <w:rPr>
          <w:rFonts w:ascii="Calibri" w:hAnsi="Calibri"/>
          <w:noProof/>
          <w:sz w:val="22"/>
        </w:rPr>
        <w:t xml:space="preserve">, </w:t>
      </w:r>
      <w:r w:rsidRPr="00ED02F3">
        <w:rPr>
          <w:rFonts w:ascii="Calibri" w:hAnsi="Calibri"/>
          <w:i/>
          <w:iCs/>
          <w:noProof/>
          <w:sz w:val="22"/>
        </w:rPr>
        <w:t>34</w:t>
      </w:r>
      <w:r w:rsidRPr="00ED02F3">
        <w:rPr>
          <w:rFonts w:ascii="Calibri" w:hAnsi="Calibri"/>
          <w:noProof/>
          <w:sz w:val="22"/>
        </w:rPr>
        <w:t>(1), 96–107.</w:t>
      </w:r>
    </w:p>
    <w:p w14:paraId="1A657CE9"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Westoby, M. (1998). A leaf-height-seed (LHS) plant ecology strategy scheme. </w:t>
      </w:r>
      <w:r w:rsidRPr="00ED02F3">
        <w:rPr>
          <w:rFonts w:ascii="Calibri" w:hAnsi="Calibri"/>
          <w:i/>
          <w:iCs/>
          <w:noProof/>
          <w:sz w:val="22"/>
        </w:rPr>
        <w:t>Plant and Soil</w:t>
      </w:r>
      <w:r w:rsidRPr="00ED02F3">
        <w:rPr>
          <w:rFonts w:ascii="Calibri" w:hAnsi="Calibri"/>
          <w:noProof/>
          <w:sz w:val="22"/>
        </w:rPr>
        <w:t xml:space="preserve">, </w:t>
      </w:r>
      <w:r w:rsidRPr="00ED02F3">
        <w:rPr>
          <w:rFonts w:ascii="Calibri" w:hAnsi="Calibri"/>
          <w:i/>
          <w:iCs/>
          <w:noProof/>
          <w:sz w:val="22"/>
        </w:rPr>
        <w:t>199</w:t>
      </w:r>
      <w:r w:rsidRPr="00ED02F3">
        <w:rPr>
          <w:rFonts w:ascii="Calibri" w:hAnsi="Calibri"/>
          <w:noProof/>
          <w:sz w:val="22"/>
        </w:rPr>
        <w:t>(2), 213–227. Retrieved from http://www.springerlink.com/index/H5163540255151QR.pdf</w:t>
      </w:r>
    </w:p>
    <w:p w14:paraId="4275C638"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Westoby, M., Falster, D. S., Moles, A. T., Vesk, P. a., &amp; Wright, I. J. (2002). PLANT ECOLOGICAL STRATEGIES: Some Leading Dimensions of Variation Between Species. </w:t>
      </w:r>
      <w:r w:rsidRPr="00ED02F3">
        <w:rPr>
          <w:rFonts w:ascii="Calibri" w:hAnsi="Calibri"/>
          <w:i/>
          <w:iCs/>
          <w:noProof/>
          <w:sz w:val="22"/>
        </w:rPr>
        <w:t>Annual Review of Ecology and Systematics</w:t>
      </w:r>
      <w:r w:rsidRPr="00ED02F3">
        <w:rPr>
          <w:rFonts w:ascii="Calibri" w:hAnsi="Calibri"/>
          <w:noProof/>
          <w:sz w:val="22"/>
        </w:rPr>
        <w:t xml:space="preserve">, </w:t>
      </w:r>
      <w:r w:rsidRPr="00ED02F3">
        <w:rPr>
          <w:rFonts w:ascii="Calibri" w:hAnsi="Calibri"/>
          <w:i/>
          <w:iCs/>
          <w:noProof/>
          <w:sz w:val="22"/>
        </w:rPr>
        <w:t>33</w:t>
      </w:r>
      <w:r w:rsidRPr="00ED02F3">
        <w:rPr>
          <w:rFonts w:ascii="Calibri" w:hAnsi="Calibri"/>
          <w:noProof/>
          <w:sz w:val="22"/>
        </w:rPr>
        <w:t>(1), 125–159. doi:10.1146/annurev.ecolsys.33.010802.150452</w:t>
      </w:r>
    </w:p>
    <w:p w14:paraId="3B422870"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Westoby, M., &amp; Wright, I. J. (2006). Land-plant ecology on the basis of functional traits. </w:t>
      </w:r>
      <w:r w:rsidRPr="00ED02F3">
        <w:rPr>
          <w:rFonts w:ascii="Calibri" w:hAnsi="Calibri"/>
          <w:i/>
          <w:iCs/>
          <w:noProof/>
          <w:sz w:val="22"/>
        </w:rPr>
        <w:t>Trends in Ecology &amp; Evolution</w:t>
      </w:r>
      <w:r w:rsidRPr="00ED02F3">
        <w:rPr>
          <w:rFonts w:ascii="Calibri" w:hAnsi="Calibri"/>
          <w:noProof/>
          <w:sz w:val="22"/>
        </w:rPr>
        <w:t xml:space="preserve">, </w:t>
      </w:r>
      <w:r w:rsidRPr="00ED02F3">
        <w:rPr>
          <w:rFonts w:ascii="Calibri" w:hAnsi="Calibri"/>
          <w:i/>
          <w:iCs/>
          <w:noProof/>
          <w:sz w:val="22"/>
        </w:rPr>
        <w:t>21</w:t>
      </w:r>
      <w:r w:rsidRPr="00ED02F3">
        <w:rPr>
          <w:rFonts w:ascii="Calibri" w:hAnsi="Calibri"/>
          <w:noProof/>
          <w:sz w:val="22"/>
        </w:rPr>
        <w:t>(5), 261–8. doi:10.1016/j.tree.2006.02.004</w:t>
      </w:r>
    </w:p>
    <w:p w14:paraId="74161F36"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Woolfrey, A. R., &amp; Ladd, P. . (2001). Habitat preference and reproductive traits of a major Australian riparian tree species (Casuarina cunninghamiana). </w:t>
      </w:r>
      <w:r w:rsidRPr="00ED02F3">
        <w:rPr>
          <w:rFonts w:ascii="Calibri" w:hAnsi="Calibri"/>
          <w:i/>
          <w:iCs/>
          <w:noProof/>
          <w:sz w:val="22"/>
        </w:rPr>
        <w:t>Australian Journal of Botany</w:t>
      </w:r>
      <w:r w:rsidRPr="00ED02F3">
        <w:rPr>
          <w:rFonts w:ascii="Calibri" w:hAnsi="Calibri"/>
          <w:noProof/>
          <w:sz w:val="22"/>
        </w:rPr>
        <w:t xml:space="preserve">, </w:t>
      </w:r>
      <w:r w:rsidRPr="00ED02F3">
        <w:rPr>
          <w:rFonts w:ascii="Calibri" w:hAnsi="Calibri"/>
          <w:i/>
          <w:iCs/>
          <w:noProof/>
          <w:sz w:val="22"/>
        </w:rPr>
        <w:t>49</w:t>
      </w:r>
      <w:r w:rsidRPr="00ED02F3">
        <w:rPr>
          <w:rFonts w:ascii="Calibri" w:hAnsi="Calibri"/>
          <w:noProof/>
          <w:sz w:val="22"/>
        </w:rPr>
        <w:t>(6), 705–715.</w:t>
      </w:r>
    </w:p>
    <w:p w14:paraId="0FB8423F"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Wright, S. J., Kitajima, K., Kraft, N. J. B., Reich, P. B., Wright, I. J., Bunker, D. E., … Zanne, A. E. (2010). Functional traits and the growth-mortality trade-off in tropical trees. </w:t>
      </w:r>
      <w:r w:rsidRPr="00ED02F3">
        <w:rPr>
          <w:rFonts w:ascii="Calibri" w:hAnsi="Calibri"/>
          <w:i/>
          <w:iCs/>
          <w:noProof/>
          <w:sz w:val="22"/>
        </w:rPr>
        <w:t>Ecology</w:t>
      </w:r>
      <w:r w:rsidRPr="00ED02F3">
        <w:rPr>
          <w:rFonts w:ascii="Calibri" w:hAnsi="Calibri"/>
          <w:noProof/>
          <w:sz w:val="22"/>
        </w:rPr>
        <w:t xml:space="preserve">, </w:t>
      </w:r>
      <w:r w:rsidRPr="00ED02F3">
        <w:rPr>
          <w:rFonts w:ascii="Calibri" w:hAnsi="Calibri"/>
          <w:i/>
          <w:iCs/>
          <w:noProof/>
          <w:sz w:val="22"/>
        </w:rPr>
        <w:t>91</w:t>
      </w:r>
      <w:r w:rsidRPr="00ED02F3">
        <w:rPr>
          <w:rFonts w:ascii="Calibri" w:hAnsi="Calibri"/>
          <w:noProof/>
          <w:sz w:val="22"/>
        </w:rPr>
        <w:t>(12), 3664–74. Retrieved from http://www.ncbi.nlm.nih.gov/pubmed/21302837</w:t>
      </w:r>
    </w:p>
    <w:p w14:paraId="2AD22675" w14:textId="77777777" w:rsidR="00ED02F3" w:rsidRPr="00ED02F3" w:rsidRDefault="00ED02F3">
      <w:pPr>
        <w:pStyle w:val="NormalWeb"/>
        <w:ind w:left="480" w:hanging="480"/>
        <w:divId w:val="1853950378"/>
        <w:rPr>
          <w:rFonts w:ascii="Calibri" w:hAnsi="Calibri"/>
          <w:noProof/>
          <w:sz w:val="22"/>
        </w:rPr>
      </w:pPr>
      <w:r w:rsidRPr="00ED02F3">
        <w:rPr>
          <w:rFonts w:ascii="Calibri" w:hAnsi="Calibri"/>
          <w:noProof/>
          <w:sz w:val="22"/>
        </w:rPr>
        <w:t xml:space="preserve">Zieminska, K., Butler, D. W., Gleason, S. M., Wright, I. J., &amp; Westoby, M. (2013). Fibre wall and lumen fractions drive wood density variation across 24 Australian angiosperms. </w:t>
      </w:r>
      <w:r w:rsidRPr="00ED02F3">
        <w:rPr>
          <w:rFonts w:ascii="Calibri" w:hAnsi="Calibri"/>
          <w:i/>
          <w:iCs/>
          <w:noProof/>
          <w:sz w:val="22"/>
        </w:rPr>
        <w:t>AoB PLANTS</w:t>
      </w:r>
      <w:r w:rsidRPr="00ED02F3">
        <w:rPr>
          <w:rFonts w:ascii="Calibri" w:hAnsi="Calibri"/>
          <w:noProof/>
          <w:sz w:val="22"/>
        </w:rPr>
        <w:t xml:space="preserve">, </w:t>
      </w:r>
      <w:r w:rsidRPr="00ED02F3">
        <w:rPr>
          <w:rFonts w:ascii="Calibri" w:hAnsi="Calibri"/>
          <w:i/>
          <w:iCs/>
          <w:noProof/>
          <w:sz w:val="22"/>
        </w:rPr>
        <w:t>5</w:t>
      </w:r>
      <w:r w:rsidRPr="00ED02F3">
        <w:rPr>
          <w:rFonts w:ascii="Calibri" w:hAnsi="Calibri"/>
          <w:noProof/>
          <w:sz w:val="22"/>
        </w:rPr>
        <w:t>, plt046–plt046. doi:10.1093/aobpla/plt046</w:t>
      </w:r>
    </w:p>
    <w:p w14:paraId="4E656F6A" w14:textId="103B9D5E" w:rsidR="007137EA" w:rsidRPr="00EA700F" w:rsidRDefault="007137EA" w:rsidP="00B55332">
      <w:pPr>
        <w:jc w:val="both"/>
        <w:rPr>
          <w:b/>
        </w:rPr>
      </w:pPr>
      <w:r w:rsidRPr="00EA700F">
        <w:rPr>
          <w:b/>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1049B7"/>
    <w:rsid w:val="001D57C9"/>
    <w:rsid w:val="00290091"/>
    <w:rsid w:val="00311F05"/>
    <w:rsid w:val="00335320"/>
    <w:rsid w:val="005E166E"/>
    <w:rsid w:val="00621641"/>
    <w:rsid w:val="00625ED2"/>
    <w:rsid w:val="00630B93"/>
    <w:rsid w:val="00650D8B"/>
    <w:rsid w:val="0069430E"/>
    <w:rsid w:val="006A025A"/>
    <w:rsid w:val="006B1A67"/>
    <w:rsid w:val="006F4B8F"/>
    <w:rsid w:val="007018A5"/>
    <w:rsid w:val="007137EA"/>
    <w:rsid w:val="007166A1"/>
    <w:rsid w:val="007760E7"/>
    <w:rsid w:val="00842036"/>
    <w:rsid w:val="0085737E"/>
    <w:rsid w:val="00873269"/>
    <w:rsid w:val="00947919"/>
    <w:rsid w:val="009546E2"/>
    <w:rsid w:val="00980EC2"/>
    <w:rsid w:val="009D2CA8"/>
    <w:rsid w:val="00A87877"/>
    <w:rsid w:val="00B064E3"/>
    <w:rsid w:val="00B55332"/>
    <w:rsid w:val="00B634E6"/>
    <w:rsid w:val="00C175AC"/>
    <w:rsid w:val="00C83CE4"/>
    <w:rsid w:val="00CC24F8"/>
    <w:rsid w:val="00CD354D"/>
    <w:rsid w:val="00D0402B"/>
    <w:rsid w:val="00DB30C6"/>
    <w:rsid w:val="00E665A9"/>
    <w:rsid w:val="00EA700F"/>
    <w:rsid w:val="00ED02F3"/>
    <w:rsid w:val="00F42B80"/>
    <w:rsid w:val="00FC0D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ata.water.vic.gov.au/monitoring.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realtimedata.water.nsw.gov.au/water.s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4043C-3F88-4117-BB66-0E76B8D1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23</Pages>
  <Words>25775</Words>
  <Characters>146922</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27</cp:revision>
  <dcterms:created xsi:type="dcterms:W3CDTF">2014-03-06T05:57:00Z</dcterms:created>
  <dcterms:modified xsi:type="dcterms:W3CDTF">2014-03-07T03:59:00Z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