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DC98D" w14:textId="77777777" w:rsidR="00050395" w:rsidRDefault="00050395" w:rsidP="00C34CEB">
      <w:pPr>
        <w:spacing w:line="360" w:lineRule="auto"/>
        <w:rPr>
          <w:b/>
        </w:rPr>
      </w:pPr>
      <w:r w:rsidRPr="00D9176B">
        <w:rPr>
          <w:b/>
        </w:rPr>
        <w:t xml:space="preserve">Hydrological </w:t>
      </w:r>
      <w:r>
        <w:rPr>
          <w:b/>
        </w:rPr>
        <w:t>data analysis</w:t>
      </w:r>
    </w:p>
    <w:p w14:paraId="6799FE1D" w14:textId="77777777" w:rsidR="00050395" w:rsidRDefault="00050395" w:rsidP="00C34CEB">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5" w:history="1">
        <w:r>
          <w:rPr>
            <w:rStyle w:val="Hyperlink"/>
          </w:rPr>
          <w:t>http://realtimedata.water.nsw.gov.au/water.stm</w:t>
        </w:r>
      </w:hyperlink>
      <w:r>
        <w:t>) (for NSW sites), and the Victoria State Government’s Water Measurement Information System website (</w:t>
      </w:r>
      <w:hyperlink r:id="rId6" w:history="1">
        <w:r>
          <w:rPr>
            <w:rStyle w:val="Hyperlink"/>
          </w:rPr>
          <w:t>http://data.water.vic.gov.au/monitoring.htm</w:t>
        </w:r>
      </w:hyperlink>
      <w:r>
        <w:t>). Daily discharge rate data arrives as timestamped average daily flow datapoints in units of megalitres per day. Where possible 30 year time series were obtained, spanning years 1983 – 2012. Records were truncated for three sites, spanning 15, 19 and 28 years. Missing data were approximated using the Time Series Manager module in River Analysis Package (REF). Consistency of the resulting outputs were checked by visual inspection of hydrographs. For Mammy Johnson’s River, Mann River, Sportsman’s Creek and Wallagaraugh River, multiple linear regression was chosen as the most appropriate method. Linear interpolation was used for Jilliby Creek data.</w:t>
      </w:r>
    </w:p>
    <w:p w14:paraId="54CA081D" w14:textId="3CA00F8D" w:rsidR="00F24DA8" w:rsidRPr="00F24DA8" w:rsidRDefault="00C37BAA" w:rsidP="00C34CEB">
      <w:pPr>
        <w:spacing w:line="360" w:lineRule="auto"/>
      </w:pPr>
      <w:r>
        <w:t>A</w:t>
      </w:r>
      <w:r w:rsidR="00050395">
        <w:t xml:space="preserve"> minimal set of hydrological metrics was pared from the full set described by Kennard et al. (2010).  These metrics </w:t>
      </w:r>
      <w:r w:rsidR="00137CCA">
        <w:t xml:space="preserve">were chosen to be representative of </w:t>
      </w:r>
      <w:r w:rsidR="00050395">
        <w:t xml:space="preserve">variability in high flow magnitude and frequency as well as </w:t>
      </w:r>
      <w:r w:rsidR="00ED20F4">
        <w:t xml:space="preserve">predictability and consistency of </w:t>
      </w:r>
      <w:r w:rsidR="00050395">
        <w:t xml:space="preserve">water availability in the riparian environment </w:t>
      </w:r>
      <w:r w:rsidR="00050395" w:rsidRPr="00C34CEB">
        <w:t xml:space="preserve">(see Table </w:t>
      </w:r>
      <w:r w:rsidR="00C34CEB" w:rsidRPr="00C34CEB">
        <w:t>1</w:t>
      </w:r>
      <w:r w:rsidR="00AE2E82" w:rsidRPr="00C34CEB">
        <w:t xml:space="preserve"> for a description</w:t>
      </w:r>
      <w:r w:rsidR="00050395" w:rsidRPr="00C34CEB">
        <w:t>).</w:t>
      </w:r>
      <w:r w:rsidR="00050395">
        <w:t xml:space="preserve"> We used the Time Series Analysis module in River Analysis Package to generate these metrics. </w:t>
      </w:r>
      <w:r w:rsidR="004356B7">
        <w:t xml:space="preserve">Means and coefficients of variation were calculated for most metrics to indicate central tendency as well as spread within the data. </w:t>
      </w:r>
      <w:r w:rsidR="00050395">
        <w:t xml:space="preserve">Low and high spell metrics were thresholded </w:t>
      </w:r>
      <w:r w:rsidR="00A57142">
        <w:t>at</w:t>
      </w:r>
      <w:r w:rsidR="00050395">
        <w:t xml:space="preserve"> the 5</w:t>
      </w:r>
      <w:r w:rsidR="00050395" w:rsidRPr="002F7F69">
        <w:rPr>
          <w:vertAlign w:val="superscript"/>
        </w:rPr>
        <w:t>th</w:t>
      </w:r>
      <w:r w:rsidR="00050395">
        <w:t xml:space="preserve"> and 95</w:t>
      </w:r>
      <w:r w:rsidR="00050395" w:rsidRPr="002F7F69">
        <w:rPr>
          <w:vertAlign w:val="superscript"/>
        </w:rPr>
        <w:t>th</w:t>
      </w:r>
      <w:r w:rsidR="00050395">
        <w:t xml:space="preserve"> percentiles, respectively</w:t>
      </w:r>
      <w:r w:rsidR="004356B7">
        <w:t>, with a flood independence criterion of 7 days between peaks events</w:t>
      </w:r>
      <w:r w:rsidR="00050395">
        <w:t xml:space="preserve"> 20 year average return interval (ARI) flood magnitude was </w:t>
      </w:r>
      <w:r w:rsidR="004356B7">
        <w:t xml:space="preserve">also </w:t>
      </w:r>
      <w:r w:rsidR="00050395">
        <w:t>calculated with a flood independence value of 7 days between peak</w:t>
      </w:r>
      <w:r w:rsidR="004356B7">
        <w:t>s</w:t>
      </w:r>
      <w:r w:rsidR="00050395">
        <w:t xml:space="preserve">. Colwell’s Indices were calculated using mean values over monthly time periods and a class distribution of 11 flow classes. </w:t>
      </w:r>
      <w:r w:rsidR="002D5AFA">
        <w:t>M</w:t>
      </w:r>
      <w:r w:rsidR="00050395">
        <w:t>etrics of flow magnitude were normalised by mean daily flow to allow for comparison between different sizes of river.</w:t>
      </w:r>
    </w:p>
    <w:p w14:paraId="65A632A6" w14:textId="77777777" w:rsidR="00F24DA8" w:rsidRDefault="00F24DA8" w:rsidP="00AE2E82">
      <w:pPr>
        <w:spacing w:after="0" w:line="360" w:lineRule="auto"/>
        <w:rPr>
          <w:rFonts w:ascii="Helvetica" w:hAnsi="Helvetica"/>
          <w:color w:val="000000"/>
          <w:sz w:val="20"/>
          <w:szCs w:val="20"/>
        </w:rPr>
      </w:pP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C553A4" w:rsidRPr="00D1033D" w14:paraId="0FE21E55" w14:textId="77777777" w:rsidTr="004C7479">
        <w:tc>
          <w:tcPr>
            <w:tcW w:w="2204" w:type="dxa"/>
          </w:tcPr>
          <w:p w14:paraId="4009B4DF" w14:textId="5163BCDE"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Parameter</w:t>
            </w:r>
          </w:p>
        </w:tc>
        <w:tc>
          <w:tcPr>
            <w:tcW w:w="2437" w:type="dxa"/>
            <w:gridSpan w:val="2"/>
          </w:tcPr>
          <w:p w14:paraId="4F6CA554" w14:textId="7A516BC2"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Abbreviation</w:t>
            </w:r>
          </w:p>
        </w:tc>
        <w:tc>
          <w:tcPr>
            <w:tcW w:w="1875" w:type="dxa"/>
          </w:tcPr>
          <w:p w14:paraId="160F6AF3" w14:textId="209FECE3"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Units</w:t>
            </w:r>
          </w:p>
        </w:tc>
        <w:tc>
          <w:tcPr>
            <w:tcW w:w="2500" w:type="dxa"/>
          </w:tcPr>
          <w:p w14:paraId="6886A12D" w14:textId="324F7A3C"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Description</w:t>
            </w:r>
          </w:p>
        </w:tc>
      </w:tr>
      <w:tr w:rsidR="00D1033D" w14:paraId="3DBBC57D" w14:textId="77777777" w:rsidTr="004C7479">
        <w:tc>
          <w:tcPr>
            <w:tcW w:w="9016" w:type="dxa"/>
            <w:gridSpan w:val="5"/>
          </w:tcPr>
          <w:p w14:paraId="65711191" w14:textId="7A8C2B8A" w:rsidR="00D1033D" w:rsidRPr="00D1033D" w:rsidRDefault="00D1033D" w:rsidP="00001FCE">
            <w:pPr>
              <w:jc w:val="center"/>
              <w:rPr>
                <w:rFonts w:ascii="Calibri" w:eastAsia="Times New Roman" w:hAnsi="Calibri" w:cs="Times New Roman"/>
                <w:i/>
                <w:color w:val="000000"/>
                <w:lang w:eastAsia="en-AU"/>
              </w:rPr>
            </w:pPr>
            <w:r w:rsidRPr="00D1033D">
              <w:rPr>
                <w:rFonts w:ascii="Calibri" w:eastAsia="Times New Roman" w:hAnsi="Calibri" w:cs="Times New Roman"/>
                <w:i/>
                <w:color w:val="000000"/>
                <w:lang w:eastAsia="en-AU"/>
              </w:rPr>
              <w:t>Flood frequency and magnitude</w:t>
            </w:r>
          </w:p>
        </w:tc>
      </w:tr>
      <w:tr w:rsidR="00DD2098" w14:paraId="1EDB1EEC" w14:textId="77777777" w:rsidTr="004C7479">
        <w:tc>
          <w:tcPr>
            <w:tcW w:w="2204" w:type="dxa"/>
          </w:tcPr>
          <w:p w14:paraId="70B25454" w14:textId="22418A28" w:rsidR="00DD2098" w:rsidRDefault="00DD2098" w:rsidP="00001FCE">
            <w:pPr>
              <w:rPr>
                <w:rFonts w:ascii="Calibri" w:eastAsia="Times New Roman" w:hAnsi="Calibri" w:cs="Times New Roman"/>
                <w:color w:val="000000"/>
                <w:lang w:eastAsia="en-AU"/>
              </w:rPr>
            </w:pPr>
            <w:r>
              <w:rPr>
                <w:rFonts w:ascii="Calibri" w:hAnsi="Calibri"/>
                <w:color w:val="000000"/>
              </w:rPr>
              <w:t>Mean magnitude of high spells</w:t>
            </w:r>
            <w:r>
              <w:rPr>
                <w:rFonts w:ascii="Calibri" w:eastAsia="Times New Roman" w:hAnsi="Calibri" w:cs="Times New Roman"/>
                <w:color w:val="000000"/>
                <w:lang w:eastAsia="en-AU"/>
              </w:rPr>
              <w:t>*</w:t>
            </w:r>
          </w:p>
        </w:tc>
        <w:tc>
          <w:tcPr>
            <w:tcW w:w="1902" w:type="dxa"/>
          </w:tcPr>
          <w:p w14:paraId="045A163A" w14:textId="7FCAFF4D" w:rsidR="00DD2098" w:rsidRDefault="00DD2098" w:rsidP="00001FCE">
            <w:pPr>
              <w:rPr>
                <w:rFonts w:ascii="Calibri" w:eastAsia="Times New Roman" w:hAnsi="Calibri" w:cs="Times New Roman"/>
                <w:color w:val="000000"/>
                <w:lang w:eastAsia="en-AU"/>
              </w:rPr>
            </w:pPr>
            <w:r>
              <w:t>HSPeaknorm</w:t>
            </w:r>
          </w:p>
        </w:tc>
        <w:tc>
          <w:tcPr>
            <w:tcW w:w="2410" w:type="dxa"/>
            <w:gridSpan w:val="2"/>
          </w:tcPr>
          <w:p w14:paraId="0F135E5A" w14:textId="12BF2D9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75176DC5" w14:textId="2B17246A" w:rsidR="00DD2098" w:rsidRDefault="00DD2098" w:rsidP="00001FCE">
            <w:pPr>
              <w:rPr>
                <w:rFonts w:ascii="Calibri" w:eastAsia="Times New Roman" w:hAnsi="Calibri" w:cs="Times New Roman"/>
                <w:color w:val="000000"/>
                <w:lang w:eastAsia="en-AU"/>
              </w:rPr>
            </w:pPr>
            <w:r>
              <w:t>High spells are periods of flow above the 95</w:t>
            </w:r>
            <w:r w:rsidRPr="00AD5614">
              <w:rPr>
                <w:vertAlign w:val="superscript"/>
              </w:rPr>
              <w:t>th</w:t>
            </w:r>
            <w:r>
              <w:t xml:space="preserve"> percentile on the flow duration curve. We were interested in how frequently these conditions occurred over the time series as well as the mean magnitude of peak flows during these </w:t>
            </w:r>
            <w:r>
              <w:lastRenderedPageBreak/>
              <w:t>periods. 20 year average return interval (ARI) floods are extreme flow events that have the potential to resculpt the fluvial landscape. Together, these metrics indicate the intensity and frequency with which mechanical stress is applied to plants in the riparian zone.</w:t>
            </w:r>
          </w:p>
        </w:tc>
      </w:tr>
      <w:tr w:rsidR="00DD2098" w14:paraId="5F2388F3" w14:textId="77777777" w:rsidTr="004C7479">
        <w:tc>
          <w:tcPr>
            <w:tcW w:w="2204" w:type="dxa"/>
          </w:tcPr>
          <w:p w14:paraId="573DFD0E" w14:textId="00803569" w:rsidR="00DD2098" w:rsidRDefault="00DD2098" w:rsidP="00001FCE">
            <w:pPr>
              <w:rPr>
                <w:rFonts w:ascii="Calibri" w:eastAsia="Times New Roman" w:hAnsi="Calibri" w:cs="Times New Roman"/>
                <w:color w:val="000000"/>
                <w:lang w:eastAsia="en-AU"/>
              </w:rPr>
            </w:pPr>
            <w:r>
              <w:rPr>
                <w:rFonts w:ascii="Calibri" w:hAnsi="Calibri"/>
                <w:color w:val="000000"/>
              </w:rPr>
              <w:t>CV of all years’ mean high spell magnitude</w:t>
            </w:r>
          </w:p>
        </w:tc>
        <w:tc>
          <w:tcPr>
            <w:tcW w:w="1902" w:type="dxa"/>
          </w:tcPr>
          <w:p w14:paraId="0021DA35" w14:textId="17CD9D6D" w:rsidR="00DD2098" w:rsidRDefault="00DD2098" w:rsidP="00001FCE">
            <w:pPr>
              <w:rPr>
                <w:rFonts w:ascii="Calibri" w:eastAsia="Times New Roman" w:hAnsi="Calibri" w:cs="Times New Roman"/>
                <w:color w:val="000000"/>
                <w:lang w:eastAsia="en-AU"/>
              </w:rPr>
            </w:pPr>
            <w:r>
              <w:t>CVAnnHSPeak</w:t>
            </w:r>
          </w:p>
        </w:tc>
        <w:tc>
          <w:tcPr>
            <w:tcW w:w="2410" w:type="dxa"/>
            <w:gridSpan w:val="2"/>
          </w:tcPr>
          <w:p w14:paraId="2DBCC7BF" w14:textId="4E8976F5"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E47AF79" w14:textId="77777777" w:rsidR="00DD2098" w:rsidRDefault="00DD2098" w:rsidP="00001FCE">
            <w:pPr>
              <w:rPr>
                <w:rFonts w:ascii="Calibri" w:eastAsia="Times New Roman" w:hAnsi="Calibri" w:cs="Times New Roman"/>
                <w:color w:val="000000"/>
                <w:lang w:eastAsia="en-AU"/>
              </w:rPr>
            </w:pPr>
          </w:p>
        </w:tc>
      </w:tr>
      <w:tr w:rsidR="00DD2098" w14:paraId="47EAFF0D" w14:textId="77777777" w:rsidTr="004C7479">
        <w:tc>
          <w:tcPr>
            <w:tcW w:w="2204" w:type="dxa"/>
          </w:tcPr>
          <w:p w14:paraId="7149C3DE" w14:textId="7BA5BB91" w:rsidR="00DD2098" w:rsidRDefault="00DD2098" w:rsidP="00001FCE">
            <w:pPr>
              <w:rPr>
                <w:rFonts w:ascii="Calibri" w:eastAsia="Times New Roman" w:hAnsi="Calibri" w:cs="Times New Roman"/>
                <w:color w:val="000000"/>
                <w:lang w:eastAsia="en-AU"/>
              </w:rPr>
            </w:pPr>
            <w:r>
              <w:rPr>
                <w:rFonts w:ascii="Calibri" w:hAnsi="Calibri"/>
                <w:color w:val="000000"/>
              </w:rPr>
              <w:t>20 year ARI flood magnitude</w:t>
            </w:r>
            <w:r>
              <w:rPr>
                <w:rFonts w:ascii="Calibri" w:hAnsi="Calibri"/>
                <w:color w:val="000000"/>
              </w:rPr>
              <w:t>*</w:t>
            </w:r>
          </w:p>
        </w:tc>
        <w:tc>
          <w:tcPr>
            <w:tcW w:w="1902" w:type="dxa"/>
          </w:tcPr>
          <w:p w14:paraId="35EC0393" w14:textId="5D549D33" w:rsidR="00DD2098" w:rsidRDefault="00DD2098" w:rsidP="00001FCE">
            <w:pPr>
              <w:rPr>
                <w:rFonts w:ascii="Calibri" w:eastAsia="Times New Roman" w:hAnsi="Calibri" w:cs="Times New Roman"/>
                <w:color w:val="000000"/>
                <w:lang w:eastAsia="en-AU"/>
              </w:rPr>
            </w:pPr>
            <w:r>
              <w:t>AS20YrARInorm</w:t>
            </w:r>
          </w:p>
        </w:tc>
        <w:tc>
          <w:tcPr>
            <w:tcW w:w="2410" w:type="dxa"/>
            <w:gridSpan w:val="2"/>
          </w:tcPr>
          <w:p w14:paraId="3A51F5D8" w14:textId="0AA5707F"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75513855" w14:textId="77777777" w:rsidR="00DD2098" w:rsidRDefault="00DD2098" w:rsidP="00001FCE">
            <w:pPr>
              <w:rPr>
                <w:rFonts w:ascii="Calibri" w:eastAsia="Times New Roman" w:hAnsi="Calibri" w:cs="Times New Roman"/>
                <w:color w:val="000000"/>
                <w:lang w:eastAsia="en-AU"/>
              </w:rPr>
            </w:pPr>
          </w:p>
        </w:tc>
      </w:tr>
      <w:tr w:rsidR="00DD2098" w14:paraId="48FB2149" w14:textId="77777777" w:rsidTr="004C7479">
        <w:tc>
          <w:tcPr>
            <w:tcW w:w="2204" w:type="dxa"/>
          </w:tcPr>
          <w:p w14:paraId="0A6B3B43" w14:textId="4222CE39" w:rsidR="00DD2098" w:rsidRDefault="00DD2098" w:rsidP="00001FCE">
            <w:pPr>
              <w:rPr>
                <w:rFonts w:ascii="Calibri" w:eastAsia="Times New Roman" w:hAnsi="Calibri" w:cs="Times New Roman"/>
                <w:color w:val="000000"/>
                <w:lang w:eastAsia="en-AU"/>
              </w:rPr>
            </w:pPr>
            <w:r>
              <w:rPr>
                <w:rFonts w:ascii="Calibri" w:hAnsi="Calibri"/>
                <w:color w:val="000000"/>
              </w:rPr>
              <w:t>Mean of all years’ number of high spells</w:t>
            </w:r>
          </w:p>
        </w:tc>
        <w:tc>
          <w:tcPr>
            <w:tcW w:w="1902" w:type="dxa"/>
          </w:tcPr>
          <w:p w14:paraId="4ECD37C1" w14:textId="75233FBE" w:rsidR="00DD2098" w:rsidRDefault="00DD2098" w:rsidP="00001FCE">
            <w:pPr>
              <w:rPr>
                <w:rFonts w:ascii="Calibri" w:eastAsia="Times New Roman" w:hAnsi="Calibri" w:cs="Times New Roman"/>
                <w:color w:val="000000"/>
                <w:lang w:eastAsia="en-AU"/>
              </w:rPr>
            </w:pPr>
            <w:r>
              <w:t>MDFAnnHSNum</w:t>
            </w:r>
          </w:p>
        </w:tc>
        <w:tc>
          <w:tcPr>
            <w:tcW w:w="2410" w:type="dxa"/>
            <w:gridSpan w:val="2"/>
          </w:tcPr>
          <w:p w14:paraId="31E0CCB8" w14:textId="597077A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year</w:t>
            </w:r>
            <w:r w:rsidRPr="00DD2098">
              <w:rPr>
                <w:rFonts w:ascii="Calibri" w:eastAsia="Times New Roman" w:hAnsi="Calibri" w:cs="Times New Roman"/>
                <w:color w:val="000000"/>
                <w:vertAlign w:val="superscript"/>
                <w:lang w:eastAsia="en-AU"/>
              </w:rPr>
              <w:t>-1</w:t>
            </w:r>
          </w:p>
        </w:tc>
        <w:tc>
          <w:tcPr>
            <w:tcW w:w="2500" w:type="dxa"/>
            <w:vMerge/>
          </w:tcPr>
          <w:p w14:paraId="181A6E03" w14:textId="77777777" w:rsidR="00DD2098" w:rsidRDefault="00DD2098" w:rsidP="00001FCE">
            <w:pPr>
              <w:rPr>
                <w:rFonts w:ascii="Calibri" w:eastAsia="Times New Roman" w:hAnsi="Calibri" w:cs="Times New Roman"/>
                <w:color w:val="000000"/>
                <w:lang w:eastAsia="en-AU"/>
              </w:rPr>
            </w:pPr>
          </w:p>
        </w:tc>
      </w:tr>
      <w:tr w:rsidR="00DD2098" w14:paraId="2CC3BCE5" w14:textId="77777777" w:rsidTr="004C7479">
        <w:tc>
          <w:tcPr>
            <w:tcW w:w="2204" w:type="dxa"/>
          </w:tcPr>
          <w:p w14:paraId="63885A59" w14:textId="349446A7" w:rsidR="00DD2098" w:rsidRDefault="00DD2098" w:rsidP="00001FCE">
            <w:pPr>
              <w:rPr>
                <w:rFonts w:ascii="Calibri" w:eastAsia="Times New Roman" w:hAnsi="Calibri" w:cs="Times New Roman"/>
                <w:color w:val="000000"/>
                <w:lang w:eastAsia="en-AU"/>
              </w:rPr>
            </w:pPr>
            <w:r>
              <w:rPr>
                <w:rFonts w:ascii="Calibri" w:hAnsi="Calibri"/>
                <w:color w:val="000000"/>
              </w:rPr>
              <w:t>CV of all years’ number of high spells</w:t>
            </w:r>
          </w:p>
        </w:tc>
        <w:tc>
          <w:tcPr>
            <w:tcW w:w="1902" w:type="dxa"/>
          </w:tcPr>
          <w:p w14:paraId="00FEEC24" w14:textId="5792A856" w:rsidR="00DD2098" w:rsidRDefault="00DD2098" w:rsidP="00001FCE">
            <w:pPr>
              <w:rPr>
                <w:rFonts w:ascii="Calibri" w:eastAsia="Times New Roman" w:hAnsi="Calibri" w:cs="Times New Roman"/>
                <w:color w:val="000000"/>
                <w:lang w:eastAsia="en-AU"/>
              </w:rPr>
            </w:pPr>
            <w:r>
              <w:t>CVAnnHSNum</w:t>
            </w:r>
          </w:p>
        </w:tc>
        <w:tc>
          <w:tcPr>
            <w:tcW w:w="2410" w:type="dxa"/>
            <w:gridSpan w:val="2"/>
          </w:tcPr>
          <w:p w14:paraId="4EB5D275" w14:textId="39C32610"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057A0E2" w14:textId="77777777" w:rsidR="00DD2098" w:rsidRDefault="00DD2098" w:rsidP="00001FCE">
            <w:pPr>
              <w:rPr>
                <w:rFonts w:ascii="Calibri" w:eastAsia="Times New Roman" w:hAnsi="Calibri" w:cs="Times New Roman"/>
                <w:color w:val="000000"/>
                <w:lang w:eastAsia="en-AU"/>
              </w:rPr>
            </w:pPr>
          </w:p>
        </w:tc>
      </w:tr>
      <w:tr w:rsidR="00D1033D" w14:paraId="261D85BB" w14:textId="77777777" w:rsidTr="004C7479">
        <w:tc>
          <w:tcPr>
            <w:tcW w:w="9016" w:type="dxa"/>
            <w:gridSpan w:val="5"/>
          </w:tcPr>
          <w:p w14:paraId="3A31DDFA" w14:textId="5B6444D8" w:rsidR="00D1033D" w:rsidRPr="00D1033D" w:rsidRDefault="00D1033D" w:rsidP="00001FCE">
            <w:pPr>
              <w:tabs>
                <w:tab w:val="left" w:pos="3160"/>
              </w:tabs>
              <w:jc w:val="center"/>
              <w:rPr>
                <w:rFonts w:ascii="Calibri" w:eastAsia="Times New Roman" w:hAnsi="Calibri" w:cs="Times New Roman"/>
                <w:i/>
                <w:color w:val="000000"/>
                <w:lang w:eastAsia="en-AU"/>
              </w:rPr>
            </w:pPr>
            <w:r w:rsidRPr="00D1033D">
              <w:rPr>
                <w:i/>
              </w:rPr>
              <w:lastRenderedPageBreak/>
              <w:t>Rise and fall rates</w:t>
            </w:r>
          </w:p>
        </w:tc>
      </w:tr>
      <w:tr w:rsidR="00DD2098" w14:paraId="4FAAD816" w14:textId="77777777" w:rsidTr="004C7479">
        <w:tc>
          <w:tcPr>
            <w:tcW w:w="2204" w:type="dxa"/>
          </w:tcPr>
          <w:p w14:paraId="68B87BBF" w14:textId="0F1D2C01"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rise *</w:t>
            </w:r>
          </w:p>
        </w:tc>
        <w:tc>
          <w:tcPr>
            <w:tcW w:w="1902" w:type="dxa"/>
          </w:tcPr>
          <w:p w14:paraId="08704CF2" w14:textId="7823EE8A" w:rsidR="00DD2098" w:rsidRPr="00D1033D" w:rsidRDefault="00DD2098" w:rsidP="00001FCE">
            <w:r>
              <w:t>MRateRisenorm</w:t>
            </w:r>
          </w:p>
        </w:tc>
        <w:tc>
          <w:tcPr>
            <w:tcW w:w="2410" w:type="dxa"/>
            <w:gridSpan w:val="2"/>
          </w:tcPr>
          <w:p w14:paraId="57448B5F" w14:textId="4AAB0FAB"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7BA3A2D6" w14:textId="53375A1F" w:rsidR="00DD2098" w:rsidRDefault="00DD2098" w:rsidP="00001FCE">
            <w:pPr>
              <w:rPr>
                <w:rFonts w:ascii="Calibri" w:eastAsia="Times New Roman" w:hAnsi="Calibri" w:cs="Times New Roman"/>
                <w:color w:val="000000"/>
                <w:lang w:eastAsia="en-AU"/>
              </w:rPr>
            </w:pPr>
            <w:r>
              <w:t>Rise and fall rates represent flow flashiness. Fast rise rates are associated with flood waves and intense mechanical stress to plant stems. Slow fall rates keep exposed substrate moist for longer periods, which may produce favourable conditions for germination. Historical discharge records are unfortunately limited to daily resolution, so are unable to fully capture flood discharge shapes. High variability between years indicates the occurrence of extreme events which may not have been captured by the mean value.</w:t>
            </w:r>
          </w:p>
        </w:tc>
      </w:tr>
      <w:tr w:rsidR="00DD2098" w14:paraId="1DC45B74" w14:textId="77777777" w:rsidTr="004C7479">
        <w:tc>
          <w:tcPr>
            <w:tcW w:w="2204" w:type="dxa"/>
          </w:tcPr>
          <w:p w14:paraId="0FC08894" w14:textId="65C9CCD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Mean rate of </w:t>
            </w:r>
            <w:r>
              <w:rPr>
                <w:rFonts w:ascii="Calibri" w:eastAsia="Times New Roman" w:hAnsi="Calibri" w:cs="Times New Roman"/>
                <w:color w:val="000000"/>
                <w:lang w:eastAsia="en-AU"/>
              </w:rPr>
              <w:t>fall</w:t>
            </w:r>
            <w:r>
              <w:rPr>
                <w:rFonts w:ascii="Calibri" w:eastAsia="Times New Roman" w:hAnsi="Calibri" w:cs="Times New Roman"/>
                <w:color w:val="000000"/>
                <w:lang w:eastAsia="en-AU"/>
              </w:rPr>
              <w:t xml:space="preserve"> *</w:t>
            </w:r>
          </w:p>
        </w:tc>
        <w:tc>
          <w:tcPr>
            <w:tcW w:w="1902" w:type="dxa"/>
          </w:tcPr>
          <w:p w14:paraId="68444FC2" w14:textId="15832CA8" w:rsidR="00DD2098" w:rsidRPr="00D1033D" w:rsidRDefault="00DD2098" w:rsidP="00001FCE">
            <w:r>
              <w:t>MRateFallnorm</w:t>
            </w:r>
          </w:p>
        </w:tc>
        <w:tc>
          <w:tcPr>
            <w:tcW w:w="2410" w:type="dxa"/>
            <w:gridSpan w:val="2"/>
          </w:tcPr>
          <w:p w14:paraId="1FB4B5F2" w14:textId="1F84F05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72B4D10A" w14:textId="77777777" w:rsidR="00DD2098" w:rsidRDefault="00DD2098" w:rsidP="00001FCE">
            <w:pPr>
              <w:rPr>
                <w:rFonts w:ascii="Calibri" w:eastAsia="Times New Roman" w:hAnsi="Calibri" w:cs="Times New Roman"/>
                <w:color w:val="000000"/>
                <w:lang w:eastAsia="en-AU"/>
              </w:rPr>
            </w:pPr>
          </w:p>
        </w:tc>
      </w:tr>
      <w:tr w:rsidR="00DD2098" w14:paraId="6487008A" w14:textId="77777777" w:rsidTr="004C7479">
        <w:tc>
          <w:tcPr>
            <w:tcW w:w="2204" w:type="dxa"/>
          </w:tcPr>
          <w:p w14:paraId="658A1432" w14:textId="4E72686E"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1902" w:type="dxa"/>
          </w:tcPr>
          <w:p w14:paraId="7D35A837" w14:textId="6454DAB5" w:rsidR="00DD2098" w:rsidRPr="00D1033D" w:rsidRDefault="00DD2098" w:rsidP="00001FCE">
            <w:r>
              <w:t>CVAnnMRateRise</w:t>
            </w:r>
          </w:p>
        </w:tc>
        <w:tc>
          <w:tcPr>
            <w:tcW w:w="2410" w:type="dxa"/>
            <w:gridSpan w:val="2"/>
          </w:tcPr>
          <w:p w14:paraId="0E832EF5" w14:textId="4A04C53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9AD32E9" w14:textId="77777777" w:rsidR="00DD2098" w:rsidRDefault="00DD2098" w:rsidP="00001FCE">
            <w:pPr>
              <w:rPr>
                <w:rFonts w:ascii="Calibri" w:eastAsia="Times New Roman" w:hAnsi="Calibri" w:cs="Times New Roman"/>
                <w:color w:val="000000"/>
                <w:lang w:eastAsia="en-AU"/>
              </w:rPr>
            </w:pPr>
          </w:p>
        </w:tc>
      </w:tr>
      <w:tr w:rsidR="00DD2098" w14:paraId="5BD9E5CC" w14:textId="77777777" w:rsidTr="004C7479">
        <w:tc>
          <w:tcPr>
            <w:tcW w:w="2204" w:type="dxa"/>
          </w:tcPr>
          <w:p w14:paraId="41F6CA41" w14:textId="4A3541A3"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1902" w:type="dxa"/>
          </w:tcPr>
          <w:p w14:paraId="33B9F795" w14:textId="26573C01" w:rsidR="00DD2098" w:rsidRPr="00D1033D" w:rsidRDefault="00DD2098" w:rsidP="00001FCE">
            <w:r>
              <w:t>CVAnnMRateFall</w:t>
            </w:r>
          </w:p>
        </w:tc>
        <w:tc>
          <w:tcPr>
            <w:tcW w:w="2410" w:type="dxa"/>
            <w:gridSpan w:val="2"/>
          </w:tcPr>
          <w:p w14:paraId="005BCC0D" w14:textId="340ED51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CAFB5AF" w14:textId="77777777" w:rsidR="00DD2098" w:rsidRDefault="00DD2098" w:rsidP="00001FCE">
            <w:pPr>
              <w:rPr>
                <w:rFonts w:ascii="Calibri" w:eastAsia="Times New Roman" w:hAnsi="Calibri" w:cs="Times New Roman"/>
                <w:color w:val="000000"/>
                <w:lang w:eastAsia="en-AU"/>
              </w:rPr>
            </w:pPr>
          </w:p>
        </w:tc>
      </w:tr>
      <w:tr w:rsidR="00D1033D" w14:paraId="331E4452" w14:textId="77777777" w:rsidTr="004C7479">
        <w:tc>
          <w:tcPr>
            <w:tcW w:w="9016" w:type="dxa"/>
            <w:gridSpan w:val="5"/>
          </w:tcPr>
          <w:p w14:paraId="689B9133" w14:textId="3FF39709" w:rsidR="00D1033D" w:rsidRPr="00D1033D" w:rsidRDefault="00D1033D" w:rsidP="00001FCE">
            <w:pPr>
              <w:jc w:val="center"/>
              <w:rPr>
                <w:rFonts w:ascii="Calibri" w:eastAsia="Times New Roman" w:hAnsi="Calibri" w:cs="Times New Roman"/>
                <w:i/>
                <w:color w:val="000000"/>
                <w:lang w:eastAsia="en-AU"/>
              </w:rPr>
            </w:pPr>
            <w:r w:rsidRPr="00D1033D">
              <w:rPr>
                <w:rFonts w:ascii="Calibri" w:eastAsia="Times New Roman" w:hAnsi="Calibri" w:cs="Times New Roman"/>
                <w:i/>
                <w:color w:val="000000"/>
                <w:lang w:eastAsia="en-AU"/>
              </w:rPr>
              <w:t>Baseflow index</w:t>
            </w:r>
          </w:p>
        </w:tc>
      </w:tr>
      <w:tr w:rsidR="00DD2098" w14:paraId="040C4BE4" w14:textId="77777777" w:rsidTr="004C7479">
        <w:tc>
          <w:tcPr>
            <w:tcW w:w="2204" w:type="dxa"/>
          </w:tcPr>
          <w:p w14:paraId="5D0C2ADF" w14:textId="30B1E9E9"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Baseflow index</w:t>
            </w:r>
          </w:p>
        </w:tc>
        <w:tc>
          <w:tcPr>
            <w:tcW w:w="1902" w:type="dxa"/>
          </w:tcPr>
          <w:p w14:paraId="36D597DC" w14:textId="34676883" w:rsidR="00DD2098" w:rsidRPr="00D1033D" w:rsidRDefault="00DD2098" w:rsidP="00001FCE">
            <w:r>
              <w:t>BFI</w:t>
            </w:r>
          </w:p>
        </w:tc>
        <w:tc>
          <w:tcPr>
            <w:tcW w:w="2410" w:type="dxa"/>
            <w:gridSpan w:val="2"/>
          </w:tcPr>
          <w:p w14:paraId="3B2FAD83" w14:textId="3812258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2F204538" w14:textId="2CA2B4A3" w:rsidR="00DD2098" w:rsidRDefault="00DD2098" w:rsidP="00001FCE">
            <w:pPr>
              <w:rPr>
                <w:rFonts w:ascii="Calibri" w:eastAsia="Times New Roman" w:hAnsi="Calibri" w:cs="Times New Roman"/>
                <w:color w:val="000000"/>
                <w:lang w:eastAsia="en-AU"/>
              </w:rPr>
            </w:pPr>
            <w:r>
              <w:t xml:space="preserve">Baseflow index is calculated using the ratio of flow during average conditions to total flow. It is a useful metric of consistency of water availability, in that it is maximised when average flow conditions dominate, and minimised when total flow is dominated by above average flow events. </w:t>
            </w:r>
            <w:r>
              <w:lastRenderedPageBreak/>
              <w:t>Intra-annual variability in baseflow index measures how predictable baseflow index is between years.</w:t>
            </w:r>
          </w:p>
        </w:tc>
      </w:tr>
      <w:tr w:rsidR="00DD2098" w14:paraId="71D0785B" w14:textId="77777777" w:rsidTr="004C7479">
        <w:tc>
          <w:tcPr>
            <w:tcW w:w="2204" w:type="dxa"/>
          </w:tcPr>
          <w:p w14:paraId="764647B4" w14:textId="6E1285F2" w:rsidR="00DD2098" w:rsidRDefault="00DD2098" w:rsidP="00001FCE">
            <w:pPr>
              <w:rPr>
                <w:rFonts w:ascii="Calibri" w:eastAsia="Times New Roman" w:hAnsi="Calibri" w:cs="Times New Roman"/>
                <w:color w:val="000000"/>
                <w:lang w:eastAsia="en-AU"/>
              </w:rPr>
            </w:pPr>
            <w:r>
              <w:rPr>
                <w:rFonts w:ascii="Calibri" w:hAnsi="Calibri"/>
                <w:color w:val="000000"/>
              </w:rPr>
              <w:t>CV of all years Baseflow Index</w:t>
            </w:r>
          </w:p>
        </w:tc>
        <w:tc>
          <w:tcPr>
            <w:tcW w:w="1902" w:type="dxa"/>
          </w:tcPr>
          <w:p w14:paraId="0139CCEA" w14:textId="57A98036" w:rsidR="00DD2098" w:rsidRPr="00D1033D" w:rsidRDefault="00DD2098" w:rsidP="00001FCE">
            <w:r>
              <w:t>CVAnnBFI</w:t>
            </w:r>
          </w:p>
        </w:tc>
        <w:tc>
          <w:tcPr>
            <w:tcW w:w="2410" w:type="dxa"/>
            <w:gridSpan w:val="2"/>
          </w:tcPr>
          <w:p w14:paraId="2176DEB0" w14:textId="2B369924"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6849C9D2" w14:textId="77777777" w:rsidR="00DD2098" w:rsidRDefault="00DD2098" w:rsidP="00001FCE">
            <w:pPr>
              <w:rPr>
                <w:rFonts w:ascii="Calibri" w:eastAsia="Times New Roman" w:hAnsi="Calibri" w:cs="Times New Roman"/>
                <w:color w:val="000000"/>
                <w:lang w:eastAsia="en-AU"/>
              </w:rPr>
            </w:pPr>
          </w:p>
        </w:tc>
      </w:tr>
      <w:tr w:rsidR="00D1033D" w14:paraId="503C6746" w14:textId="77777777" w:rsidTr="004C7479">
        <w:tc>
          <w:tcPr>
            <w:tcW w:w="9016" w:type="dxa"/>
            <w:gridSpan w:val="5"/>
          </w:tcPr>
          <w:p w14:paraId="2F865A21" w14:textId="5C571D43" w:rsidR="00D1033D" w:rsidRPr="00A758E4" w:rsidRDefault="00D1033D" w:rsidP="00001FCE">
            <w:pPr>
              <w:jc w:val="center"/>
              <w:rPr>
                <w:i/>
              </w:rPr>
            </w:pPr>
            <w:r w:rsidRPr="00AD5614">
              <w:rPr>
                <w:i/>
              </w:rPr>
              <w:lastRenderedPageBreak/>
              <w:t xml:space="preserve">Low flow </w:t>
            </w:r>
            <w:r>
              <w:rPr>
                <w:i/>
              </w:rPr>
              <w:t xml:space="preserve">magnitude, </w:t>
            </w:r>
            <w:r w:rsidRPr="00AD5614">
              <w:rPr>
                <w:i/>
              </w:rPr>
              <w:t>frequency and duration</w:t>
            </w:r>
          </w:p>
        </w:tc>
      </w:tr>
      <w:tr w:rsidR="001114C7" w14:paraId="254BE8D5" w14:textId="77777777" w:rsidTr="004C7479">
        <w:tc>
          <w:tcPr>
            <w:tcW w:w="2204" w:type="dxa"/>
          </w:tcPr>
          <w:p w14:paraId="4B9F7795" w14:textId="60E90ABF" w:rsidR="001114C7" w:rsidRDefault="001114C7" w:rsidP="00001FCE">
            <w:pPr>
              <w:rPr>
                <w:rFonts w:ascii="Calibri" w:eastAsia="Times New Roman" w:hAnsi="Calibri" w:cs="Times New Roman"/>
                <w:color w:val="000000"/>
                <w:lang w:eastAsia="en-AU"/>
              </w:rPr>
            </w:pPr>
            <w:r>
              <w:rPr>
                <w:rFonts w:ascii="Calibri" w:hAnsi="Calibri"/>
                <w:color w:val="000000"/>
              </w:rPr>
              <w:t xml:space="preserve">CV of all years’ mean </w:t>
            </w:r>
            <w:r>
              <w:rPr>
                <w:rFonts w:ascii="Calibri" w:hAnsi="Calibri"/>
                <w:color w:val="000000"/>
              </w:rPr>
              <w:t>low</w:t>
            </w:r>
            <w:r>
              <w:rPr>
                <w:rFonts w:ascii="Calibri" w:hAnsi="Calibri"/>
                <w:color w:val="000000"/>
              </w:rPr>
              <w:t xml:space="preserve"> spell magnitude</w:t>
            </w:r>
          </w:p>
        </w:tc>
        <w:tc>
          <w:tcPr>
            <w:tcW w:w="1902" w:type="dxa"/>
          </w:tcPr>
          <w:p w14:paraId="3FBB6333" w14:textId="58E7F5F3" w:rsidR="001114C7" w:rsidRPr="00D1033D" w:rsidRDefault="001114C7" w:rsidP="00001FCE">
            <w:r>
              <w:t>LSPeaknorm</w:t>
            </w:r>
          </w:p>
        </w:tc>
        <w:tc>
          <w:tcPr>
            <w:tcW w:w="2410" w:type="dxa"/>
            <w:gridSpan w:val="2"/>
          </w:tcPr>
          <w:p w14:paraId="12D96DBA" w14:textId="689DBF89"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3A533603" w14:textId="16A44C45" w:rsidR="001114C7" w:rsidRDefault="001114C7" w:rsidP="00DD2098">
            <w:pPr>
              <w:rPr>
                <w:rFonts w:ascii="Calibri" w:eastAsia="Times New Roman" w:hAnsi="Calibri" w:cs="Times New Roman"/>
                <w:color w:val="000000"/>
                <w:lang w:eastAsia="en-AU"/>
              </w:rPr>
            </w:pPr>
            <w:r>
              <w:t>Low spells are periods of flow below the 5</w:t>
            </w:r>
            <w:r w:rsidRPr="00AD5614">
              <w:rPr>
                <w:vertAlign w:val="superscript"/>
              </w:rPr>
              <w:t>th</w:t>
            </w:r>
            <w:r>
              <w:t xml:space="preserve"> percentile on the flow duration curve. We were interested in how frequently these conditions occurred over the time series as well as the mean and</w:t>
            </w:r>
            <w:r>
              <w:t xml:space="preserve"> interannual</w:t>
            </w:r>
            <w:r>
              <w:t xml:space="preserve"> variability in magnitude and duration of low flows.</w:t>
            </w:r>
          </w:p>
        </w:tc>
      </w:tr>
      <w:tr w:rsidR="001114C7" w14:paraId="04B41BB0" w14:textId="77777777" w:rsidTr="004C7479">
        <w:tc>
          <w:tcPr>
            <w:tcW w:w="2204" w:type="dxa"/>
          </w:tcPr>
          <w:p w14:paraId="1FCE1EE2" w14:textId="60D6289E" w:rsidR="001114C7" w:rsidRDefault="001114C7" w:rsidP="00001FCE">
            <w:pPr>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CV of all years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 xml:space="preserve">ean of </w:t>
            </w:r>
            <w:r>
              <w:rPr>
                <w:rFonts w:ascii="Calibri" w:eastAsia="Times New Roman" w:hAnsi="Calibri" w:cs="Times New Roman"/>
                <w:color w:val="000000"/>
                <w:lang w:eastAsia="en-AU"/>
              </w:rPr>
              <w:t>l</w:t>
            </w:r>
            <w:r w:rsidRPr="004413D7">
              <w:rPr>
                <w:rFonts w:ascii="Calibri" w:eastAsia="Times New Roman" w:hAnsi="Calibri" w:cs="Times New Roman"/>
                <w:color w:val="000000"/>
                <w:lang w:eastAsia="en-AU"/>
              </w:rPr>
              <w:t xml:space="preserve">ow </w:t>
            </w:r>
            <w:r>
              <w:rPr>
                <w:rFonts w:ascii="Calibri" w:eastAsia="Times New Roman" w:hAnsi="Calibri" w:cs="Times New Roman"/>
                <w:color w:val="000000"/>
                <w:lang w:eastAsia="en-AU"/>
              </w:rPr>
              <w:t>s</w:t>
            </w:r>
            <w:r w:rsidRPr="004413D7">
              <w:rPr>
                <w:rFonts w:ascii="Calibri" w:eastAsia="Times New Roman" w:hAnsi="Calibri" w:cs="Times New Roman"/>
                <w:color w:val="000000"/>
                <w:lang w:eastAsia="en-AU"/>
              </w:rPr>
              <w:t xml:space="preserve">pell </w:t>
            </w:r>
            <w:r>
              <w:rPr>
                <w:rFonts w:ascii="Calibri" w:eastAsia="Times New Roman" w:hAnsi="Calibri" w:cs="Times New Roman"/>
                <w:color w:val="000000"/>
                <w:lang w:eastAsia="en-AU"/>
              </w:rPr>
              <w:t>magnitude</w:t>
            </w:r>
          </w:p>
        </w:tc>
        <w:tc>
          <w:tcPr>
            <w:tcW w:w="1902" w:type="dxa"/>
          </w:tcPr>
          <w:p w14:paraId="41838D15" w14:textId="6DCB8425" w:rsidR="001114C7" w:rsidRPr="00D1033D" w:rsidRDefault="001114C7" w:rsidP="00001FCE">
            <w:r>
              <w:t>CVAnnLSPeak</w:t>
            </w:r>
          </w:p>
        </w:tc>
        <w:tc>
          <w:tcPr>
            <w:tcW w:w="2410" w:type="dxa"/>
            <w:gridSpan w:val="2"/>
          </w:tcPr>
          <w:p w14:paraId="6EC83552" w14:textId="06C9D339"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1B26AB3" w14:textId="77777777" w:rsidR="001114C7" w:rsidRDefault="001114C7" w:rsidP="00001FCE">
            <w:pPr>
              <w:rPr>
                <w:rFonts w:ascii="Calibri" w:eastAsia="Times New Roman" w:hAnsi="Calibri" w:cs="Times New Roman"/>
                <w:color w:val="000000"/>
                <w:lang w:eastAsia="en-AU"/>
              </w:rPr>
            </w:pPr>
          </w:p>
        </w:tc>
      </w:tr>
      <w:tr w:rsidR="001114C7" w14:paraId="3C17B4F1" w14:textId="77777777" w:rsidTr="004C7479">
        <w:tc>
          <w:tcPr>
            <w:tcW w:w="2204" w:type="dxa"/>
          </w:tcPr>
          <w:p w14:paraId="5D37788D" w14:textId="47632CC3" w:rsidR="001114C7" w:rsidRDefault="001114C7" w:rsidP="00001FCE">
            <w:pPr>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Mean of all years </w:t>
            </w:r>
            <w:r>
              <w:rPr>
                <w:rFonts w:ascii="Calibri" w:eastAsia="Times New Roman" w:hAnsi="Calibri" w:cs="Times New Roman"/>
                <w:color w:val="000000"/>
                <w:lang w:eastAsia="en-AU"/>
              </w:rPr>
              <w:t>n</w:t>
            </w:r>
            <w:r w:rsidRPr="004413D7">
              <w:rPr>
                <w:rFonts w:ascii="Calibri" w:eastAsia="Times New Roman" w:hAnsi="Calibri" w:cs="Times New Roman"/>
                <w:color w:val="000000"/>
                <w:lang w:eastAsia="en-AU"/>
              </w:rPr>
              <w:t xml:space="preserve">umber of </w:t>
            </w:r>
            <w:r>
              <w:rPr>
                <w:rFonts w:ascii="Calibri" w:eastAsia="Times New Roman" w:hAnsi="Calibri" w:cs="Times New Roman"/>
                <w:color w:val="000000"/>
                <w:lang w:eastAsia="en-AU"/>
              </w:rPr>
              <w:t>low s</w:t>
            </w:r>
            <w:r w:rsidRPr="004413D7">
              <w:rPr>
                <w:rFonts w:ascii="Calibri" w:eastAsia="Times New Roman" w:hAnsi="Calibri" w:cs="Times New Roman"/>
                <w:color w:val="000000"/>
                <w:lang w:eastAsia="en-AU"/>
              </w:rPr>
              <w:t>pell</w:t>
            </w:r>
            <w:r>
              <w:rPr>
                <w:rFonts w:ascii="Calibri" w:eastAsia="Times New Roman" w:hAnsi="Calibri" w:cs="Times New Roman"/>
                <w:color w:val="000000"/>
                <w:lang w:eastAsia="en-AU"/>
              </w:rPr>
              <w:t>s</w:t>
            </w:r>
          </w:p>
        </w:tc>
        <w:tc>
          <w:tcPr>
            <w:tcW w:w="1902" w:type="dxa"/>
          </w:tcPr>
          <w:p w14:paraId="3418B455" w14:textId="06D5C331" w:rsidR="001114C7" w:rsidRPr="00D1033D" w:rsidRDefault="001114C7" w:rsidP="00001FCE">
            <w:r>
              <w:t>MDFAnnLSNum</w:t>
            </w:r>
          </w:p>
        </w:tc>
        <w:tc>
          <w:tcPr>
            <w:tcW w:w="2410" w:type="dxa"/>
            <w:gridSpan w:val="2"/>
          </w:tcPr>
          <w:p w14:paraId="32CAE511" w14:textId="796D0A2F"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year</w:t>
            </w:r>
            <w:r w:rsidRPr="00DD2098">
              <w:rPr>
                <w:rFonts w:ascii="Calibri" w:eastAsia="Times New Roman" w:hAnsi="Calibri" w:cs="Times New Roman"/>
                <w:color w:val="000000"/>
                <w:vertAlign w:val="superscript"/>
                <w:lang w:eastAsia="en-AU"/>
              </w:rPr>
              <w:t>-1</w:t>
            </w:r>
          </w:p>
        </w:tc>
        <w:tc>
          <w:tcPr>
            <w:tcW w:w="2500" w:type="dxa"/>
            <w:vMerge/>
          </w:tcPr>
          <w:p w14:paraId="2CC27BE4" w14:textId="77777777" w:rsidR="001114C7" w:rsidRDefault="001114C7" w:rsidP="00001FCE">
            <w:pPr>
              <w:rPr>
                <w:rFonts w:ascii="Calibri" w:eastAsia="Times New Roman" w:hAnsi="Calibri" w:cs="Times New Roman"/>
                <w:color w:val="000000"/>
                <w:lang w:eastAsia="en-AU"/>
              </w:rPr>
            </w:pPr>
          </w:p>
        </w:tc>
      </w:tr>
      <w:tr w:rsidR="001114C7" w14:paraId="7F05FBC3" w14:textId="77777777" w:rsidTr="004C7479">
        <w:tc>
          <w:tcPr>
            <w:tcW w:w="2204" w:type="dxa"/>
          </w:tcPr>
          <w:p w14:paraId="1BD02382" w14:textId="1EF3D2F0" w:rsidR="001114C7" w:rsidRDefault="001114C7" w:rsidP="00001FCE">
            <w:pPr>
              <w:rPr>
                <w:rFonts w:ascii="Calibri" w:eastAsia="Times New Roman" w:hAnsi="Calibri" w:cs="Times New Roman"/>
                <w:color w:val="000000"/>
                <w:lang w:eastAsia="en-AU"/>
              </w:rPr>
            </w:pPr>
            <w:r>
              <w:rPr>
                <w:rFonts w:ascii="Calibri" w:hAnsi="Calibri"/>
                <w:color w:val="000000"/>
              </w:rPr>
              <w:t>CV of all years’ number of low spells</w:t>
            </w:r>
          </w:p>
        </w:tc>
        <w:tc>
          <w:tcPr>
            <w:tcW w:w="1902" w:type="dxa"/>
          </w:tcPr>
          <w:p w14:paraId="1AEEE70E" w14:textId="4495651E" w:rsidR="001114C7" w:rsidRPr="00D1033D" w:rsidRDefault="001114C7" w:rsidP="00001FCE">
            <w:r>
              <w:t>CVAnnLSNum</w:t>
            </w:r>
          </w:p>
        </w:tc>
        <w:tc>
          <w:tcPr>
            <w:tcW w:w="2410" w:type="dxa"/>
            <w:gridSpan w:val="2"/>
          </w:tcPr>
          <w:p w14:paraId="5A22B9BC" w14:textId="46D79E98"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13C3D3D" w14:textId="77777777" w:rsidR="001114C7" w:rsidRDefault="001114C7" w:rsidP="00001FCE">
            <w:pPr>
              <w:rPr>
                <w:rFonts w:ascii="Calibri" w:eastAsia="Times New Roman" w:hAnsi="Calibri" w:cs="Times New Roman"/>
                <w:color w:val="000000"/>
                <w:lang w:eastAsia="en-AU"/>
              </w:rPr>
            </w:pPr>
          </w:p>
        </w:tc>
      </w:tr>
      <w:tr w:rsidR="001114C7" w14:paraId="26D110C0" w14:textId="77777777" w:rsidTr="004C7479">
        <w:tc>
          <w:tcPr>
            <w:tcW w:w="2204" w:type="dxa"/>
            <w:vAlign w:val="center"/>
          </w:tcPr>
          <w:p w14:paraId="4D69D26B" w14:textId="1D1D7F1A"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low spells</w:t>
            </w:r>
          </w:p>
        </w:tc>
        <w:tc>
          <w:tcPr>
            <w:tcW w:w="1902" w:type="dxa"/>
          </w:tcPr>
          <w:p w14:paraId="6FBA2451" w14:textId="062751AD" w:rsidR="001114C7" w:rsidRPr="00D1033D" w:rsidRDefault="001114C7" w:rsidP="00001FCE">
            <w:r>
              <w:t>LSMeanDur</w:t>
            </w:r>
          </w:p>
        </w:tc>
        <w:tc>
          <w:tcPr>
            <w:tcW w:w="2410" w:type="dxa"/>
            <w:gridSpan w:val="2"/>
          </w:tcPr>
          <w:p w14:paraId="53103947" w14:textId="4A50BC34"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days</w:t>
            </w:r>
          </w:p>
        </w:tc>
        <w:tc>
          <w:tcPr>
            <w:tcW w:w="2500" w:type="dxa"/>
            <w:vMerge/>
          </w:tcPr>
          <w:p w14:paraId="30722A64" w14:textId="77777777" w:rsidR="001114C7" w:rsidRDefault="001114C7" w:rsidP="00001FCE">
            <w:pPr>
              <w:rPr>
                <w:rFonts w:ascii="Calibri" w:eastAsia="Times New Roman" w:hAnsi="Calibri" w:cs="Times New Roman"/>
                <w:color w:val="000000"/>
                <w:lang w:eastAsia="en-AU"/>
              </w:rPr>
            </w:pPr>
          </w:p>
        </w:tc>
      </w:tr>
      <w:tr w:rsidR="001114C7" w14:paraId="3AA37A96" w14:textId="77777777" w:rsidTr="004C7479">
        <w:tc>
          <w:tcPr>
            <w:tcW w:w="2204" w:type="dxa"/>
          </w:tcPr>
          <w:p w14:paraId="7A963797" w14:textId="4C486C2C"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low spell mean duration</w:t>
            </w:r>
          </w:p>
        </w:tc>
        <w:tc>
          <w:tcPr>
            <w:tcW w:w="1902" w:type="dxa"/>
          </w:tcPr>
          <w:p w14:paraId="6FDFA007" w14:textId="505E8A0E" w:rsidR="001114C7" w:rsidRPr="00D1033D" w:rsidRDefault="001114C7" w:rsidP="00001FCE">
            <w:r>
              <w:t>CVAnnLSMeanDur</w:t>
            </w:r>
          </w:p>
        </w:tc>
        <w:tc>
          <w:tcPr>
            <w:tcW w:w="2410" w:type="dxa"/>
            <w:gridSpan w:val="2"/>
          </w:tcPr>
          <w:p w14:paraId="710B1644" w14:textId="1650EE1C"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16213EE" w14:textId="77777777" w:rsidR="001114C7" w:rsidRDefault="001114C7" w:rsidP="00001FCE">
            <w:pPr>
              <w:rPr>
                <w:rFonts w:ascii="Calibri" w:eastAsia="Times New Roman" w:hAnsi="Calibri" w:cs="Times New Roman"/>
                <w:color w:val="000000"/>
                <w:lang w:eastAsia="en-AU"/>
              </w:rPr>
            </w:pPr>
          </w:p>
        </w:tc>
      </w:tr>
      <w:tr w:rsidR="001114C7" w14:paraId="25D56242" w14:textId="77777777" w:rsidTr="004C7479">
        <w:tc>
          <w:tcPr>
            <w:tcW w:w="2204" w:type="dxa"/>
          </w:tcPr>
          <w:p w14:paraId="56462834" w14:textId="312ADC8B"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Mean flow during driest week* </w:t>
            </w:r>
          </w:p>
        </w:tc>
        <w:tc>
          <w:tcPr>
            <w:tcW w:w="1902" w:type="dxa"/>
          </w:tcPr>
          <w:p w14:paraId="5C813246" w14:textId="074C064D" w:rsidR="001114C7" w:rsidRPr="001114C7" w:rsidRDefault="001114C7" w:rsidP="00001FCE">
            <w:pPr>
              <w:rPr>
                <w:rFonts w:ascii="Calibri" w:hAnsi="Calibri"/>
                <w:color w:val="000000"/>
              </w:rPr>
            </w:pPr>
            <w:r>
              <w:rPr>
                <w:rFonts w:ascii="Calibri" w:hAnsi="Calibri"/>
                <w:color w:val="000000"/>
              </w:rPr>
              <w:t>MA.7daysMinMean</w:t>
            </w:r>
            <w:r>
              <w:rPr>
                <w:rFonts w:ascii="Calibri" w:hAnsi="Calibri"/>
                <w:color w:val="000000"/>
              </w:rPr>
              <w:t>norm</w:t>
            </w:r>
          </w:p>
        </w:tc>
        <w:tc>
          <w:tcPr>
            <w:tcW w:w="2410" w:type="dxa"/>
            <w:gridSpan w:val="2"/>
          </w:tcPr>
          <w:p w14:paraId="63728A09" w14:textId="545B7CF6" w:rsidR="001114C7" w:rsidRDefault="001114C7"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C26569C" w14:textId="77777777" w:rsidR="001114C7" w:rsidRDefault="001114C7" w:rsidP="00001FCE">
            <w:pPr>
              <w:rPr>
                <w:rFonts w:ascii="Calibri" w:eastAsia="Times New Roman" w:hAnsi="Calibri" w:cs="Times New Roman"/>
                <w:color w:val="000000"/>
                <w:lang w:eastAsia="en-AU"/>
              </w:rPr>
            </w:pPr>
          </w:p>
        </w:tc>
      </w:tr>
      <w:tr w:rsidR="001114C7" w14:paraId="1F1FC281" w14:textId="77777777" w:rsidTr="004C7479">
        <w:tc>
          <w:tcPr>
            <w:tcW w:w="2204" w:type="dxa"/>
          </w:tcPr>
          <w:p w14:paraId="7E79D405" w14:textId="59952B41"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Mean days per year under 0.1ML/day flow</w:t>
            </w:r>
          </w:p>
        </w:tc>
        <w:tc>
          <w:tcPr>
            <w:tcW w:w="1902" w:type="dxa"/>
          </w:tcPr>
          <w:p w14:paraId="22C7AEF7" w14:textId="4AA951CD" w:rsidR="001114C7" w:rsidRPr="00D1033D" w:rsidRDefault="001114C7" w:rsidP="001114C7">
            <w:r>
              <w:t>MDFAnn</w:t>
            </w:r>
            <w:r>
              <w:t>U</w:t>
            </w:r>
            <w:r>
              <w:t>nder0</w:t>
            </w:r>
            <w:r>
              <w:t>.1</w:t>
            </w:r>
          </w:p>
        </w:tc>
        <w:tc>
          <w:tcPr>
            <w:tcW w:w="2410" w:type="dxa"/>
            <w:gridSpan w:val="2"/>
          </w:tcPr>
          <w:p w14:paraId="619009FA" w14:textId="5CB4029B"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days/year</w:t>
            </w:r>
          </w:p>
        </w:tc>
        <w:tc>
          <w:tcPr>
            <w:tcW w:w="2500" w:type="dxa"/>
            <w:vMerge/>
          </w:tcPr>
          <w:p w14:paraId="6DDBAA43" w14:textId="77777777" w:rsidR="001114C7" w:rsidRDefault="001114C7" w:rsidP="001114C7">
            <w:pPr>
              <w:rPr>
                <w:rFonts w:ascii="Calibri" w:eastAsia="Times New Roman" w:hAnsi="Calibri" w:cs="Times New Roman"/>
                <w:color w:val="000000"/>
                <w:lang w:eastAsia="en-AU"/>
              </w:rPr>
            </w:pPr>
          </w:p>
        </w:tc>
      </w:tr>
      <w:tr w:rsidR="001114C7" w14:paraId="09FEB81B" w14:textId="77777777" w:rsidTr="004C7479">
        <w:tc>
          <w:tcPr>
            <w:tcW w:w="2204" w:type="dxa"/>
          </w:tcPr>
          <w:p w14:paraId="7CCBB6B8" w14:textId="00D4EC0C"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days per year under 0.1ML/day flow</w:t>
            </w:r>
          </w:p>
        </w:tc>
        <w:tc>
          <w:tcPr>
            <w:tcW w:w="1902" w:type="dxa"/>
          </w:tcPr>
          <w:p w14:paraId="2E2DBE29" w14:textId="037045E1" w:rsidR="001114C7" w:rsidRDefault="001114C7" w:rsidP="001114C7">
            <w:r>
              <w:t>CVAnnMDFAnnUnder0.1</w:t>
            </w:r>
          </w:p>
        </w:tc>
        <w:tc>
          <w:tcPr>
            <w:tcW w:w="2410" w:type="dxa"/>
            <w:gridSpan w:val="2"/>
          </w:tcPr>
          <w:p w14:paraId="2BE4F48D" w14:textId="05358117" w:rsidR="001114C7" w:rsidRDefault="001114C7"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9868DE8" w14:textId="77777777" w:rsidR="001114C7" w:rsidRDefault="001114C7" w:rsidP="001114C7">
            <w:pPr>
              <w:rPr>
                <w:rFonts w:ascii="Calibri" w:eastAsia="Times New Roman" w:hAnsi="Calibri" w:cs="Times New Roman"/>
                <w:color w:val="000000"/>
                <w:lang w:eastAsia="en-AU"/>
              </w:rPr>
            </w:pPr>
          </w:p>
        </w:tc>
      </w:tr>
      <w:tr w:rsidR="001114C7" w14:paraId="44F5AD70" w14:textId="77777777" w:rsidTr="004C7479">
        <w:tc>
          <w:tcPr>
            <w:tcW w:w="9016" w:type="dxa"/>
            <w:gridSpan w:val="5"/>
          </w:tcPr>
          <w:p w14:paraId="75331D3D" w14:textId="621CA64E" w:rsidR="001114C7" w:rsidRDefault="001114C7" w:rsidP="001114C7">
            <w:pPr>
              <w:jc w:val="center"/>
              <w:rPr>
                <w:rFonts w:ascii="Calibri" w:eastAsia="Times New Roman" w:hAnsi="Calibri" w:cs="Times New Roman"/>
                <w:color w:val="000000"/>
                <w:lang w:eastAsia="en-AU"/>
              </w:rPr>
            </w:pPr>
            <w:r w:rsidRPr="00A758E4">
              <w:rPr>
                <w:rFonts w:ascii="Calibri" w:eastAsia="Times New Roman" w:hAnsi="Calibri" w:cs="Times New Roman"/>
                <w:i/>
                <w:color w:val="000000"/>
                <w:lang w:eastAsia="en-AU"/>
              </w:rPr>
              <w:t>Colwell’s indices</w:t>
            </w:r>
          </w:p>
        </w:tc>
      </w:tr>
      <w:tr w:rsidR="004C7479" w14:paraId="5ABCE2E1" w14:textId="77777777" w:rsidTr="004C7479">
        <w:tc>
          <w:tcPr>
            <w:tcW w:w="2204" w:type="dxa"/>
          </w:tcPr>
          <w:p w14:paraId="200B7A54" w14:textId="7E139E67" w:rsidR="004C7479" w:rsidRDefault="004C7479" w:rsidP="001114C7">
            <w:pPr>
              <w:rPr>
                <w:rFonts w:ascii="Calibri" w:eastAsia="Times New Roman" w:hAnsi="Calibri" w:cs="Times New Roman"/>
                <w:color w:val="000000"/>
                <w:lang w:eastAsia="en-AU"/>
              </w:rPr>
            </w:pPr>
            <w:r>
              <w:rPr>
                <w:rFonts w:ascii="Calibri" w:hAnsi="Calibri"/>
                <w:color w:val="000000"/>
              </w:rPr>
              <w:t>Constancy</w:t>
            </w:r>
            <w:r>
              <w:rPr>
                <w:rFonts w:ascii="Calibri" w:hAnsi="Calibri"/>
                <w:color w:val="000000"/>
              </w:rPr>
              <w:t xml:space="preserve"> based on monthly mean daily flow </w:t>
            </w:r>
          </w:p>
        </w:tc>
        <w:tc>
          <w:tcPr>
            <w:tcW w:w="1902" w:type="dxa"/>
          </w:tcPr>
          <w:p w14:paraId="7360BDC8" w14:textId="51B0D22C" w:rsidR="004C7479" w:rsidRDefault="004C7479" w:rsidP="001114C7">
            <w:r>
              <w:t>C_MDFM</w:t>
            </w:r>
          </w:p>
        </w:tc>
        <w:tc>
          <w:tcPr>
            <w:tcW w:w="2410" w:type="dxa"/>
            <w:gridSpan w:val="2"/>
          </w:tcPr>
          <w:p w14:paraId="615D969E" w14:textId="077BCC76" w:rsidR="004C7479" w:rsidRDefault="004C7479"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5E681A11" w14:textId="335F829D" w:rsidR="004C7479" w:rsidRDefault="004C7479" w:rsidP="001114C7">
            <w:pPr>
              <w:rPr>
                <w:rFonts w:ascii="Calibri" w:eastAsia="Times New Roman" w:hAnsi="Calibri" w:cs="Times New Roman"/>
                <w:color w:val="000000"/>
                <w:lang w:eastAsia="en-AU"/>
              </w:rPr>
            </w:pPr>
            <w:r>
              <w:rPr>
                <w:rFonts w:ascii="Helvetica" w:hAnsi="Helvetica" w:cs="Helvetica"/>
                <w:color w:val="000000"/>
                <w:sz w:val="20"/>
                <w:szCs w:val="20"/>
              </w:rPr>
              <w:t xml:space="preserve">Colwell’s indices provide a measure of the seasonal predictability of </w:t>
            </w:r>
            <w:r>
              <w:rPr>
                <w:rFonts w:ascii="Helvetica" w:hAnsi="Helvetica" w:cs="Helvetica"/>
                <w:color w:val="000000"/>
                <w:sz w:val="20"/>
                <w:szCs w:val="20"/>
              </w:rPr>
              <w:t>flow</w:t>
            </w:r>
            <w:r>
              <w:rPr>
                <w:rFonts w:ascii="Helvetica" w:hAnsi="Helvetica" w:cs="Helvetica"/>
                <w:color w:val="000000"/>
                <w:sz w:val="20"/>
                <w:szCs w:val="20"/>
              </w:rPr>
              <w:t xml:space="preserve"> events</w:t>
            </w:r>
            <w:r>
              <w:rPr>
                <w:rFonts w:ascii="Helvetica" w:hAnsi="Helvetica" w:cs="Helvetica"/>
                <w:color w:val="000000"/>
                <w:sz w:val="20"/>
                <w:szCs w:val="20"/>
              </w:rPr>
              <w:t xml:space="preserve"> and therefore water availability within the riparian zone</w:t>
            </w:r>
            <w:r>
              <w:rPr>
                <w:rFonts w:ascii="Helvetica" w:hAnsi="Helvetica" w:cs="Helvetica"/>
                <w:color w:val="000000"/>
                <w:sz w:val="20"/>
                <w:szCs w:val="20"/>
              </w:rPr>
              <w:t xml:space="preserve">. </w:t>
            </w:r>
            <w:r>
              <w:rPr>
                <w:rFonts w:ascii="Helvetica" w:eastAsia="Times New Roman" w:hAnsi="Helvetica" w:cs="Times New Roman"/>
                <w:iCs/>
                <w:color w:val="000000"/>
                <w:sz w:val="20"/>
                <w:szCs w:val="20"/>
                <w:lang w:eastAsia="en-AU"/>
              </w:rPr>
              <w:t>Constancy</w:t>
            </w:r>
            <w:r w:rsidRPr="00AE2E82">
              <w:rPr>
                <w:rFonts w:ascii="Helvetica" w:eastAsia="Times New Roman" w:hAnsi="Helvetica" w:cs="Times New Roman"/>
                <w:color w:val="000000"/>
                <w:sz w:val="20"/>
                <w:szCs w:val="20"/>
                <w:lang w:eastAsia="en-AU"/>
              </w:rPr>
              <w:t xml:space="preserve"> (</w:t>
            </w:r>
            <w:r>
              <w:rPr>
                <w:rFonts w:ascii="Helvetica" w:eastAsia="Times New Roman" w:hAnsi="Helvetica" w:cs="Times New Roman"/>
                <w:color w:val="000000"/>
                <w:sz w:val="20"/>
                <w:szCs w:val="20"/>
                <w:lang w:eastAsia="en-AU"/>
              </w:rPr>
              <w:t xml:space="preserve">M) measures uniformity of flow across seasons, and is maximised when flow conditions do not differ between seasons. </w:t>
            </w:r>
            <w:r w:rsidRPr="00AE2E82">
              <w:rPr>
                <w:rFonts w:ascii="Helvetica" w:hAnsi="Helvetica"/>
                <w:iCs/>
                <w:color w:val="000000"/>
                <w:sz w:val="20"/>
                <w:szCs w:val="20"/>
              </w:rPr>
              <w:t>Contingency (M)</w:t>
            </w:r>
            <w:r>
              <w:rPr>
                <w:rFonts w:ascii="Helvetica" w:hAnsi="Helvetica"/>
                <w:color w:val="000000"/>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4C7479" w14:paraId="6576C624" w14:textId="77777777" w:rsidTr="004C7479">
        <w:tc>
          <w:tcPr>
            <w:tcW w:w="2204" w:type="dxa"/>
          </w:tcPr>
          <w:p w14:paraId="1B58B060" w14:textId="7222A044" w:rsidR="004C7479" w:rsidRDefault="004C7479" w:rsidP="001114C7">
            <w:pPr>
              <w:rPr>
                <w:rFonts w:ascii="Calibri" w:eastAsia="Times New Roman" w:hAnsi="Calibri" w:cs="Times New Roman"/>
                <w:color w:val="000000"/>
                <w:lang w:eastAsia="en-AU"/>
              </w:rPr>
            </w:pPr>
            <w:r>
              <w:rPr>
                <w:rFonts w:ascii="Calibri" w:hAnsi="Calibri"/>
                <w:color w:val="000000"/>
              </w:rPr>
              <w:t xml:space="preserve">Contingency based on monthly mean daily flow </w:t>
            </w:r>
          </w:p>
        </w:tc>
        <w:tc>
          <w:tcPr>
            <w:tcW w:w="1902" w:type="dxa"/>
          </w:tcPr>
          <w:p w14:paraId="34731629" w14:textId="356B4BBD" w:rsidR="004C7479" w:rsidRDefault="004C7479" w:rsidP="001114C7">
            <w:r>
              <w:t>M_MDFM</w:t>
            </w:r>
          </w:p>
        </w:tc>
        <w:tc>
          <w:tcPr>
            <w:tcW w:w="2410" w:type="dxa"/>
            <w:gridSpan w:val="2"/>
          </w:tcPr>
          <w:p w14:paraId="3E260114" w14:textId="70454F06" w:rsidR="004C7479" w:rsidRDefault="004C7479"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3044278" w14:textId="77777777" w:rsidR="004C7479" w:rsidRDefault="004C7479" w:rsidP="001114C7">
            <w:pPr>
              <w:rPr>
                <w:rFonts w:ascii="Calibri" w:eastAsia="Times New Roman" w:hAnsi="Calibri" w:cs="Times New Roman"/>
                <w:color w:val="000000"/>
                <w:lang w:eastAsia="en-AU"/>
              </w:rPr>
            </w:pPr>
          </w:p>
        </w:tc>
      </w:tr>
      <w:tr w:rsidR="004C7479" w14:paraId="27991A5F" w14:textId="77777777" w:rsidTr="004C7479">
        <w:tc>
          <w:tcPr>
            <w:tcW w:w="2204" w:type="dxa"/>
          </w:tcPr>
          <w:p w14:paraId="189C3709" w14:textId="2DF59051" w:rsidR="004C7479" w:rsidRDefault="004C7479" w:rsidP="001114C7">
            <w:pPr>
              <w:rPr>
                <w:rFonts w:ascii="Calibri" w:eastAsia="Times New Roman" w:hAnsi="Calibri" w:cs="Times New Roman"/>
                <w:color w:val="000000"/>
                <w:lang w:eastAsia="en-AU"/>
              </w:rPr>
            </w:pPr>
            <w:r>
              <w:rPr>
                <w:rFonts w:ascii="Calibri" w:hAnsi="Calibri"/>
                <w:color w:val="000000"/>
              </w:rPr>
              <w:t xml:space="preserve">Constancy based on monthly </w:t>
            </w:r>
            <w:r>
              <w:rPr>
                <w:rFonts w:ascii="Calibri" w:hAnsi="Calibri"/>
                <w:color w:val="000000"/>
              </w:rPr>
              <w:t>minimum</w:t>
            </w:r>
            <w:r>
              <w:rPr>
                <w:rFonts w:ascii="Calibri" w:hAnsi="Calibri"/>
                <w:color w:val="000000"/>
              </w:rPr>
              <w:t xml:space="preserve"> daily flow</w:t>
            </w:r>
          </w:p>
        </w:tc>
        <w:tc>
          <w:tcPr>
            <w:tcW w:w="1902" w:type="dxa"/>
          </w:tcPr>
          <w:p w14:paraId="3BF81396" w14:textId="40AE4612" w:rsidR="004C7479" w:rsidRDefault="004C7479" w:rsidP="001114C7">
            <w:r>
              <w:t>C_MinM</w:t>
            </w:r>
          </w:p>
        </w:tc>
        <w:tc>
          <w:tcPr>
            <w:tcW w:w="2410" w:type="dxa"/>
            <w:gridSpan w:val="2"/>
          </w:tcPr>
          <w:p w14:paraId="371427A0" w14:textId="78C307C9" w:rsidR="004C7479" w:rsidRDefault="004C7479"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B40FF91" w14:textId="77777777" w:rsidR="004C7479" w:rsidRDefault="004C7479" w:rsidP="001114C7">
            <w:pPr>
              <w:rPr>
                <w:rFonts w:ascii="Calibri" w:eastAsia="Times New Roman" w:hAnsi="Calibri" w:cs="Times New Roman"/>
                <w:color w:val="000000"/>
                <w:lang w:eastAsia="en-AU"/>
              </w:rPr>
            </w:pPr>
          </w:p>
        </w:tc>
      </w:tr>
      <w:tr w:rsidR="004C7479" w14:paraId="47507F79" w14:textId="77777777" w:rsidTr="004C7479">
        <w:tc>
          <w:tcPr>
            <w:tcW w:w="2204" w:type="dxa"/>
          </w:tcPr>
          <w:p w14:paraId="379566EF" w14:textId="6D0EB5C2" w:rsidR="004C7479" w:rsidRDefault="004C7479" w:rsidP="001114C7">
            <w:pPr>
              <w:rPr>
                <w:rFonts w:ascii="Calibri" w:eastAsia="Times New Roman" w:hAnsi="Calibri" w:cs="Times New Roman"/>
                <w:color w:val="000000"/>
                <w:lang w:eastAsia="en-AU"/>
              </w:rPr>
            </w:pPr>
            <w:r>
              <w:rPr>
                <w:rFonts w:ascii="Calibri" w:hAnsi="Calibri"/>
                <w:color w:val="000000"/>
              </w:rPr>
              <w:t xml:space="preserve">Contingency based on monthly </w:t>
            </w:r>
            <w:r>
              <w:rPr>
                <w:rFonts w:ascii="Calibri" w:hAnsi="Calibri"/>
                <w:color w:val="000000"/>
              </w:rPr>
              <w:t>minimum</w:t>
            </w:r>
            <w:r>
              <w:rPr>
                <w:rFonts w:ascii="Calibri" w:hAnsi="Calibri"/>
                <w:color w:val="000000"/>
              </w:rPr>
              <w:t xml:space="preserve"> daily flow </w:t>
            </w:r>
          </w:p>
        </w:tc>
        <w:tc>
          <w:tcPr>
            <w:tcW w:w="1902" w:type="dxa"/>
          </w:tcPr>
          <w:p w14:paraId="799AB00B" w14:textId="685FCA89" w:rsidR="004C7479" w:rsidRDefault="004C7479" w:rsidP="001114C7">
            <w:r>
              <w:t>M_MinM</w:t>
            </w:r>
          </w:p>
        </w:tc>
        <w:tc>
          <w:tcPr>
            <w:tcW w:w="2410" w:type="dxa"/>
            <w:gridSpan w:val="2"/>
          </w:tcPr>
          <w:p w14:paraId="3E60924D" w14:textId="3DE9DBBC" w:rsidR="004C7479" w:rsidRDefault="004C7479" w:rsidP="001114C7">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9D97B00" w14:textId="77777777" w:rsidR="004C7479" w:rsidRDefault="004C7479" w:rsidP="001114C7">
            <w:pPr>
              <w:rPr>
                <w:rFonts w:ascii="Calibri" w:eastAsia="Times New Roman" w:hAnsi="Calibri" w:cs="Times New Roman"/>
                <w:color w:val="000000"/>
                <w:lang w:eastAsia="en-AU"/>
              </w:rPr>
            </w:pPr>
          </w:p>
        </w:tc>
      </w:tr>
    </w:tbl>
    <w:p w14:paraId="7249A255" w14:textId="63B4B389" w:rsidR="00C553A4" w:rsidRPr="002E77FC" w:rsidRDefault="00F24DA8" w:rsidP="00F24DA8">
      <w:pPr>
        <w:pStyle w:val="Caption"/>
        <w:rPr>
          <w:rFonts w:ascii="Calibri" w:eastAsia="Times New Roman" w:hAnsi="Calibri" w:cs="Times New Roman"/>
          <w:color w:val="000000"/>
          <w:lang w:eastAsia="en-AU"/>
        </w:rPr>
      </w:pPr>
      <w:r>
        <w:t xml:space="preserve">Table </w:t>
      </w:r>
      <w:fldSimple w:instr=" SEQ Figure \* ARABIC ">
        <w:r>
          <w:rPr>
            <w:noProof/>
          </w:rPr>
          <w:t>1</w:t>
        </w:r>
      </w:fldSimple>
      <w:r>
        <w:t xml:space="preserve">. Hydrological </w:t>
      </w:r>
      <w:r w:rsidR="000C0E93">
        <w:t>parameters</w:t>
      </w:r>
      <w:r>
        <w:t xml:space="preserve"> </w:t>
      </w:r>
      <w:r w:rsidR="000C0E93">
        <w:t xml:space="preserve">used as metrics of </w:t>
      </w:r>
      <w:r w:rsidR="000C0E93">
        <w:t xml:space="preserve">variability in high flow magnitude and frequency </w:t>
      </w:r>
      <w:r w:rsidR="000C0E93">
        <w:t>and</w:t>
      </w:r>
      <w:r w:rsidR="000C0E93">
        <w:t xml:space="preserve"> predictability and consistency of water availability in the riparian environment</w:t>
      </w:r>
      <w:r w:rsidR="000C0E93">
        <w:t>. * - normalised by mean daily flow (ML/day)</w:t>
      </w:r>
    </w:p>
    <w:p w14:paraId="77F9A4FE" w14:textId="53E397B6" w:rsidR="002D5AFA" w:rsidRPr="00D9176B" w:rsidRDefault="002D5AFA" w:rsidP="00C34CEB">
      <w:pPr>
        <w:spacing w:line="360" w:lineRule="auto"/>
      </w:pPr>
      <w:r>
        <w:lastRenderedPageBreak/>
        <w:t>Finally, we performed permutational multivariate analysis of variance using distance matrices (</w:t>
      </w:r>
      <w:r w:rsidR="00655BE2">
        <w:t xml:space="preserve">using the </w:t>
      </w:r>
      <w:r>
        <w:t xml:space="preserve">vegan package in R) across these chosen metrics to confirm that our field sites did indeed </w:t>
      </w:r>
      <w:r w:rsidR="000C0E93">
        <w:t>comprise</w:t>
      </w:r>
      <w:r>
        <w:t xml:space="preserve"> three significantly different hydrological categories.</w:t>
      </w:r>
    </w:p>
    <w:p w14:paraId="0893A848" w14:textId="77777777" w:rsidR="00BF5326" w:rsidRDefault="00C37BAA" w:rsidP="00C34CEB">
      <w:pPr>
        <w:spacing w:line="360" w:lineRule="auto"/>
        <w:rPr>
          <w:b/>
        </w:rPr>
      </w:pPr>
      <w:r w:rsidRPr="00C37BAA">
        <w:rPr>
          <w:b/>
        </w:rPr>
        <w:t>Abundance weight</w:t>
      </w:r>
      <w:r>
        <w:rPr>
          <w:b/>
        </w:rPr>
        <w:t>ed</w:t>
      </w:r>
      <w:r w:rsidRPr="00C37BAA">
        <w:rPr>
          <w:b/>
        </w:rPr>
        <w:t xml:space="preserve"> </w:t>
      </w:r>
      <w:r w:rsidR="008F0C39">
        <w:rPr>
          <w:b/>
        </w:rPr>
        <w:t>site</w:t>
      </w:r>
      <w:r w:rsidRPr="00C37BAA">
        <w:rPr>
          <w:b/>
        </w:rPr>
        <w:t xml:space="preserve"> means</w:t>
      </w:r>
      <w:r>
        <w:rPr>
          <w:b/>
        </w:rPr>
        <w:t xml:space="preserve"> of wood density</w:t>
      </w:r>
    </w:p>
    <w:p w14:paraId="23AB96A5" w14:textId="6B86CF4A" w:rsidR="00C37BAA" w:rsidRDefault="00C37BAA" w:rsidP="00C34CEB">
      <w:pPr>
        <w:spacing w:line="360" w:lineRule="auto"/>
      </w:pPr>
      <w:r>
        <w:t xml:space="preserve">To investigate variation in wood density across hydrological gradients at the community level, abundance weighted means of wood density were generated for each site. </w:t>
      </w:r>
      <w:r w:rsidR="00C96204">
        <w:t xml:space="preserve">Species relative </w:t>
      </w:r>
      <w:r>
        <w:t xml:space="preserve">abundance was compiled from records of % cover at the shrub (1-4m), subcanopy (4-8m) and canopy (8+) strata.  Wood density values were then weighted according to species </w:t>
      </w:r>
      <w:r w:rsidR="00C96204">
        <w:t>relative</w:t>
      </w:r>
      <w:r>
        <w:t xml:space="preserve"> abundance and then summed to produce the abundance weighted </w:t>
      </w:r>
      <w:r w:rsidR="008F0C39">
        <w:t>site</w:t>
      </w:r>
      <w:r>
        <w:t xml:space="preserve"> mean.</w:t>
      </w:r>
      <w:r w:rsidR="00CA79FD">
        <w:t xml:space="preserve"> This method integrates particular trait values with their real world abundance as a measure of ‘performance’, while providing a useful reduction in data dimensionality. </w:t>
      </w:r>
      <w:r w:rsidR="00C74C4A">
        <w:t xml:space="preserve">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00C74C4A" w:rsidRPr="009F0827">
        <w:rPr>
          <w:i/>
        </w:rPr>
        <w:t>per se</w:t>
      </w:r>
      <w:r w:rsidR="00C74C4A">
        <w:t xml:space="preserve">. </w:t>
      </w:r>
    </w:p>
    <w:p w14:paraId="08BEEC2C" w14:textId="176B0D14" w:rsidR="00C37BAA" w:rsidRDefault="00C37BAA" w:rsidP="00C34CEB">
      <w:pPr>
        <w:spacing w:line="360" w:lineRule="auto"/>
      </w:pPr>
      <w:r w:rsidRPr="00C37BAA">
        <w:rPr>
          <w:b/>
        </w:rPr>
        <w:t>Compar</w:t>
      </w:r>
      <w:r w:rsidR="00AE7F03">
        <w:rPr>
          <w:b/>
        </w:rPr>
        <w:t xml:space="preserve">ing wood density between </w:t>
      </w:r>
      <w:r w:rsidRPr="00C37BAA">
        <w:rPr>
          <w:b/>
        </w:rPr>
        <w:t>hydrological classes</w:t>
      </w:r>
    </w:p>
    <w:p w14:paraId="57FF8EB7" w14:textId="5E5B2D9F" w:rsidR="001D1280" w:rsidRDefault="00086638" w:rsidP="00C34CEB">
      <w:pPr>
        <w:spacing w:line="360" w:lineRule="auto"/>
      </w:pPr>
      <w:r>
        <w:t>Raw s</w:t>
      </w:r>
      <w:r w:rsidR="00C37BAA">
        <w:t>pecies trait values were lumped according to the hydr</w:t>
      </w:r>
      <w:r>
        <w:t>ological class membership</w:t>
      </w:r>
      <w:r w:rsidR="00C37BAA">
        <w:t xml:space="preserve"> </w:t>
      </w:r>
      <w:r>
        <w:t>and differences between classes tested for using a</w:t>
      </w:r>
      <w:r w:rsidR="00C37BAA">
        <w:t xml:space="preserve"> post-hoc Tukey’</w:t>
      </w:r>
      <w:r>
        <w:t>s HSD test</w:t>
      </w:r>
      <w:r w:rsidR="00C37BAA">
        <w:t xml:space="preserve">. </w:t>
      </w:r>
      <w:r>
        <w:t xml:space="preserve">This test was repeated using class-lumped abundance weighted </w:t>
      </w:r>
      <w:r w:rsidR="008F0C39">
        <w:t>site</w:t>
      </w:r>
      <w:r>
        <w:t xml:space="preserve"> means. </w:t>
      </w:r>
    </w:p>
    <w:p w14:paraId="0212F7BF" w14:textId="3FAB36EC" w:rsidR="001D1280" w:rsidRPr="001D1280" w:rsidRDefault="00C96204" w:rsidP="00C34CEB">
      <w:pPr>
        <w:spacing w:line="360" w:lineRule="auto"/>
        <w:rPr>
          <w:b/>
        </w:rPr>
      </w:pPr>
      <w:r>
        <w:rPr>
          <w:b/>
        </w:rPr>
        <w:t>Testing relationships between mean wood density and hydrological conditions</w:t>
      </w:r>
    </w:p>
    <w:p w14:paraId="2F1CD0DB" w14:textId="40726871" w:rsidR="006D068E" w:rsidRDefault="001D1280" w:rsidP="00C34CEB">
      <w:pPr>
        <w:spacing w:line="360" w:lineRule="auto"/>
      </w:pPr>
      <w:r>
        <w:t xml:space="preserve">Ordinary least-squares regression models were generated for selected metrics to determine relationships between hydrological gradients and abundance weighted </w:t>
      </w:r>
      <w:r w:rsidR="008F0C39">
        <w:t>site</w:t>
      </w:r>
      <w:r>
        <w:t xml:space="preserve"> mean values. Wood density data was normally distributed and did not require transformation. </w:t>
      </w:r>
      <w:r w:rsidR="00C34CEB">
        <w:t>To reduce the occurrence of Type 1 statistical error, w</w:t>
      </w:r>
      <w:r w:rsidR="006F3A38">
        <w:t>e adjust</w:t>
      </w:r>
      <w:r w:rsidR="006F3A38">
        <w:t xml:space="preserve">ed the resulting p </w:t>
      </w:r>
      <w:r w:rsidR="006F3A38">
        <w:t xml:space="preserve">values </w:t>
      </w:r>
      <w:r w:rsidR="00C34CEB">
        <w:t>using the Benjamini and Hochberg (BH) procedure for controlling family-wise error rate (stats package in R).</w:t>
      </w:r>
      <w:r w:rsidR="006F3A38">
        <w:t xml:space="preserve"> </w:t>
      </w:r>
      <w:r w:rsidR="00C34CEB">
        <w:t>Although</w:t>
      </w:r>
      <w:r w:rsidR="006F3A38">
        <w:t xml:space="preserve"> sound ecological rationale </w:t>
      </w:r>
      <w:r w:rsidR="00C34CEB">
        <w:t>underlay</w:t>
      </w:r>
      <w:r w:rsidR="006F3A38">
        <w:t xml:space="preserve"> </w:t>
      </w:r>
      <w:r w:rsidR="00C34CEB">
        <w:t>inclusion of</w:t>
      </w:r>
      <w:r w:rsidR="006F3A38">
        <w:t xml:space="preserve"> each subgroup of hydrological metrics, these metrics were highly autocorrelated.</w:t>
      </w:r>
      <w:r w:rsidR="00C34CEB">
        <w:t xml:space="preserve"> The BH procedure has been shown to control the false discovery rate for positively dependent test statistics (Benjamini and Yekutieli, 2001). </w:t>
      </w:r>
      <w:r w:rsidR="006D068E">
        <w:t>We</w:t>
      </w:r>
      <w:r w:rsidR="00C34CEB">
        <w:t xml:space="preserve"> then</w:t>
      </w:r>
      <w:r w:rsidR="006D068E">
        <w:t xml:space="preserve"> identified the most ecologically relevant axes of variation in hydrological conditions by running a principal components analysis over hydrological metrics </w:t>
      </w:r>
      <w:r w:rsidR="0078617E">
        <w:t>showing</w:t>
      </w:r>
      <w:bookmarkStart w:id="0" w:name="_GoBack"/>
      <w:bookmarkEnd w:id="0"/>
      <w:r w:rsidR="006D068E">
        <w:t xml:space="preserve"> significant relationships with site mean wood density values.</w:t>
      </w:r>
    </w:p>
    <w:p w14:paraId="6D2E450B" w14:textId="77777777" w:rsidR="006D068E" w:rsidRDefault="006D068E" w:rsidP="006D068E"/>
    <w:sectPr w:rsidR="006D0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Bookman Old Style"/>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8AC"/>
    <w:multiLevelType w:val="hybridMultilevel"/>
    <w:tmpl w:val="92FAEC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504C04"/>
    <w:multiLevelType w:val="hybridMultilevel"/>
    <w:tmpl w:val="124419C4"/>
    <w:lvl w:ilvl="0" w:tplc="DFE4B47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5E6A76"/>
    <w:multiLevelType w:val="hybridMultilevel"/>
    <w:tmpl w:val="95463C26"/>
    <w:lvl w:ilvl="0" w:tplc="E372256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346A82"/>
    <w:multiLevelType w:val="hybridMultilevel"/>
    <w:tmpl w:val="B756FFA8"/>
    <w:lvl w:ilvl="0" w:tplc="A39C232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6C6873"/>
    <w:multiLevelType w:val="hybridMultilevel"/>
    <w:tmpl w:val="B7224AE2"/>
    <w:lvl w:ilvl="0" w:tplc="396686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827345"/>
    <w:multiLevelType w:val="hybridMultilevel"/>
    <w:tmpl w:val="DD2A21F2"/>
    <w:lvl w:ilvl="0" w:tplc="3ED85D76">
      <w:start w:val="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95"/>
    <w:rsid w:val="00001FCE"/>
    <w:rsid w:val="00023EB3"/>
    <w:rsid w:val="00050395"/>
    <w:rsid w:val="000816E7"/>
    <w:rsid w:val="00086638"/>
    <w:rsid w:val="000C0E93"/>
    <w:rsid w:val="000E2B3B"/>
    <w:rsid w:val="001114C7"/>
    <w:rsid w:val="00120FD6"/>
    <w:rsid w:val="00137CCA"/>
    <w:rsid w:val="001B41B6"/>
    <w:rsid w:val="001D1280"/>
    <w:rsid w:val="0020525A"/>
    <w:rsid w:val="00206E10"/>
    <w:rsid w:val="002B6A43"/>
    <w:rsid w:val="002C5857"/>
    <w:rsid w:val="002D5AFA"/>
    <w:rsid w:val="002E77FC"/>
    <w:rsid w:val="002F3E6C"/>
    <w:rsid w:val="00326E3C"/>
    <w:rsid w:val="00360F5A"/>
    <w:rsid w:val="00362301"/>
    <w:rsid w:val="003A669A"/>
    <w:rsid w:val="003D4A83"/>
    <w:rsid w:val="003E5F7B"/>
    <w:rsid w:val="003F149C"/>
    <w:rsid w:val="00407897"/>
    <w:rsid w:val="004356B7"/>
    <w:rsid w:val="004413D7"/>
    <w:rsid w:val="00475690"/>
    <w:rsid w:val="00476AE4"/>
    <w:rsid w:val="00491EE3"/>
    <w:rsid w:val="004C7479"/>
    <w:rsid w:val="004D4636"/>
    <w:rsid w:val="004F4E9F"/>
    <w:rsid w:val="00576C0A"/>
    <w:rsid w:val="00586D72"/>
    <w:rsid w:val="00590A83"/>
    <w:rsid w:val="00591E49"/>
    <w:rsid w:val="006012A5"/>
    <w:rsid w:val="00611584"/>
    <w:rsid w:val="00624C53"/>
    <w:rsid w:val="00655BE2"/>
    <w:rsid w:val="006B4EA9"/>
    <w:rsid w:val="006D068E"/>
    <w:rsid w:val="006F3A38"/>
    <w:rsid w:val="00743918"/>
    <w:rsid w:val="0075491B"/>
    <w:rsid w:val="00767BBE"/>
    <w:rsid w:val="0078617E"/>
    <w:rsid w:val="007A5125"/>
    <w:rsid w:val="008064E2"/>
    <w:rsid w:val="008114C9"/>
    <w:rsid w:val="008D5FE1"/>
    <w:rsid w:val="008E6C73"/>
    <w:rsid w:val="008F0C39"/>
    <w:rsid w:val="009173F9"/>
    <w:rsid w:val="0092209A"/>
    <w:rsid w:val="00965D92"/>
    <w:rsid w:val="00980C20"/>
    <w:rsid w:val="00984DFF"/>
    <w:rsid w:val="00993CB7"/>
    <w:rsid w:val="009A7B20"/>
    <w:rsid w:val="009F0827"/>
    <w:rsid w:val="00A043A9"/>
    <w:rsid w:val="00A134E8"/>
    <w:rsid w:val="00A47E57"/>
    <w:rsid w:val="00A550AF"/>
    <w:rsid w:val="00A57142"/>
    <w:rsid w:val="00A758E4"/>
    <w:rsid w:val="00AB7284"/>
    <w:rsid w:val="00AD5614"/>
    <w:rsid w:val="00AE2E82"/>
    <w:rsid w:val="00AE7F03"/>
    <w:rsid w:val="00B01BAD"/>
    <w:rsid w:val="00B21598"/>
    <w:rsid w:val="00B95899"/>
    <w:rsid w:val="00BB2B2E"/>
    <w:rsid w:val="00BC0D6E"/>
    <w:rsid w:val="00BD41BF"/>
    <w:rsid w:val="00BE1409"/>
    <w:rsid w:val="00BF5326"/>
    <w:rsid w:val="00C04921"/>
    <w:rsid w:val="00C260CC"/>
    <w:rsid w:val="00C34CEB"/>
    <w:rsid w:val="00C37BAA"/>
    <w:rsid w:val="00C553A4"/>
    <w:rsid w:val="00C74C4A"/>
    <w:rsid w:val="00C96204"/>
    <w:rsid w:val="00CA79FD"/>
    <w:rsid w:val="00D1033D"/>
    <w:rsid w:val="00D31ACF"/>
    <w:rsid w:val="00D3361E"/>
    <w:rsid w:val="00D5474A"/>
    <w:rsid w:val="00D83F04"/>
    <w:rsid w:val="00D84096"/>
    <w:rsid w:val="00D90CB8"/>
    <w:rsid w:val="00DD2098"/>
    <w:rsid w:val="00E54BC6"/>
    <w:rsid w:val="00E93D6A"/>
    <w:rsid w:val="00ED20F4"/>
    <w:rsid w:val="00F24DA8"/>
    <w:rsid w:val="00F337F1"/>
    <w:rsid w:val="00FC37DA"/>
    <w:rsid w:val="00FC58D9"/>
    <w:rsid w:val="00FF4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F225"/>
  <w15:chartTrackingRefBased/>
  <w15:docId w15:val="{205C937C-59A3-4D6E-A080-B6D36273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395"/>
    <w:rPr>
      <w:color w:val="0000FF"/>
      <w:u w:val="single"/>
    </w:rPr>
  </w:style>
  <w:style w:type="paragraph" w:styleId="ListParagraph">
    <w:name w:val="List Paragraph"/>
    <w:basedOn w:val="Normal"/>
    <w:uiPriority w:val="34"/>
    <w:qFormat/>
    <w:rsid w:val="001D1280"/>
    <w:pPr>
      <w:ind w:left="720"/>
      <w:contextualSpacing/>
    </w:pPr>
  </w:style>
  <w:style w:type="character" w:styleId="Emphasis">
    <w:name w:val="Emphasis"/>
    <w:basedOn w:val="DefaultParagraphFont"/>
    <w:uiPriority w:val="20"/>
    <w:qFormat/>
    <w:rsid w:val="002B6A43"/>
    <w:rPr>
      <w:i/>
      <w:iCs/>
    </w:rPr>
  </w:style>
  <w:style w:type="character" w:styleId="CommentReference">
    <w:name w:val="annotation reference"/>
    <w:basedOn w:val="DefaultParagraphFont"/>
    <w:uiPriority w:val="99"/>
    <w:semiHidden/>
    <w:unhideWhenUsed/>
    <w:rsid w:val="002B6A43"/>
    <w:rPr>
      <w:sz w:val="16"/>
      <w:szCs w:val="16"/>
    </w:rPr>
  </w:style>
  <w:style w:type="paragraph" w:styleId="CommentText">
    <w:name w:val="annotation text"/>
    <w:basedOn w:val="Normal"/>
    <w:link w:val="CommentTextChar"/>
    <w:uiPriority w:val="99"/>
    <w:semiHidden/>
    <w:unhideWhenUsed/>
    <w:rsid w:val="002B6A43"/>
    <w:pPr>
      <w:spacing w:line="240" w:lineRule="auto"/>
    </w:pPr>
    <w:rPr>
      <w:sz w:val="20"/>
      <w:szCs w:val="20"/>
    </w:rPr>
  </w:style>
  <w:style w:type="character" w:customStyle="1" w:styleId="CommentTextChar">
    <w:name w:val="Comment Text Char"/>
    <w:basedOn w:val="DefaultParagraphFont"/>
    <w:link w:val="CommentText"/>
    <w:uiPriority w:val="99"/>
    <w:semiHidden/>
    <w:rsid w:val="002B6A43"/>
    <w:rPr>
      <w:sz w:val="20"/>
      <w:szCs w:val="20"/>
    </w:rPr>
  </w:style>
  <w:style w:type="paragraph" w:styleId="CommentSubject">
    <w:name w:val="annotation subject"/>
    <w:basedOn w:val="CommentText"/>
    <w:next w:val="CommentText"/>
    <w:link w:val="CommentSubjectChar"/>
    <w:uiPriority w:val="99"/>
    <w:semiHidden/>
    <w:unhideWhenUsed/>
    <w:rsid w:val="002B6A43"/>
    <w:rPr>
      <w:b/>
      <w:bCs/>
    </w:rPr>
  </w:style>
  <w:style w:type="character" w:customStyle="1" w:styleId="CommentSubjectChar">
    <w:name w:val="Comment Subject Char"/>
    <w:basedOn w:val="CommentTextChar"/>
    <w:link w:val="CommentSubject"/>
    <w:uiPriority w:val="99"/>
    <w:semiHidden/>
    <w:rsid w:val="002B6A43"/>
    <w:rPr>
      <w:b/>
      <w:bCs/>
      <w:sz w:val="20"/>
      <w:szCs w:val="20"/>
    </w:rPr>
  </w:style>
  <w:style w:type="paragraph" w:styleId="BalloonText">
    <w:name w:val="Balloon Text"/>
    <w:basedOn w:val="Normal"/>
    <w:link w:val="BalloonTextChar"/>
    <w:uiPriority w:val="99"/>
    <w:semiHidden/>
    <w:unhideWhenUsed/>
    <w:rsid w:val="002B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A43"/>
    <w:rPr>
      <w:rFonts w:ascii="Segoe UI" w:hAnsi="Segoe UI" w:cs="Segoe UI"/>
      <w:sz w:val="18"/>
      <w:szCs w:val="18"/>
    </w:rPr>
  </w:style>
  <w:style w:type="table" w:styleId="TableGrid">
    <w:name w:val="Table Grid"/>
    <w:basedOn w:val="TableNormal"/>
    <w:uiPriority w:val="39"/>
    <w:rsid w:val="00C5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4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8426">
      <w:bodyDiv w:val="1"/>
      <w:marLeft w:val="0"/>
      <w:marRight w:val="0"/>
      <w:marTop w:val="0"/>
      <w:marBottom w:val="0"/>
      <w:divBdr>
        <w:top w:val="none" w:sz="0" w:space="0" w:color="auto"/>
        <w:left w:val="none" w:sz="0" w:space="0" w:color="auto"/>
        <w:bottom w:val="none" w:sz="0" w:space="0" w:color="auto"/>
        <w:right w:val="none" w:sz="0" w:space="0" w:color="auto"/>
      </w:divBdr>
    </w:div>
    <w:div w:id="340277757">
      <w:bodyDiv w:val="1"/>
      <w:marLeft w:val="0"/>
      <w:marRight w:val="0"/>
      <w:marTop w:val="0"/>
      <w:marBottom w:val="0"/>
      <w:divBdr>
        <w:top w:val="none" w:sz="0" w:space="0" w:color="auto"/>
        <w:left w:val="none" w:sz="0" w:space="0" w:color="auto"/>
        <w:bottom w:val="none" w:sz="0" w:space="0" w:color="auto"/>
        <w:right w:val="none" w:sz="0" w:space="0" w:color="auto"/>
      </w:divBdr>
    </w:div>
    <w:div w:id="395057024">
      <w:bodyDiv w:val="1"/>
      <w:marLeft w:val="0"/>
      <w:marRight w:val="0"/>
      <w:marTop w:val="0"/>
      <w:marBottom w:val="0"/>
      <w:divBdr>
        <w:top w:val="none" w:sz="0" w:space="0" w:color="auto"/>
        <w:left w:val="none" w:sz="0" w:space="0" w:color="auto"/>
        <w:bottom w:val="none" w:sz="0" w:space="0" w:color="auto"/>
        <w:right w:val="none" w:sz="0" w:space="0" w:color="auto"/>
      </w:divBdr>
    </w:div>
    <w:div w:id="478619319">
      <w:bodyDiv w:val="1"/>
      <w:marLeft w:val="0"/>
      <w:marRight w:val="0"/>
      <w:marTop w:val="0"/>
      <w:marBottom w:val="0"/>
      <w:divBdr>
        <w:top w:val="none" w:sz="0" w:space="0" w:color="auto"/>
        <w:left w:val="none" w:sz="0" w:space="0" w:color="auto"/>
        <w:bottom w:val="none" w:sz="0" w:space="0" w:color="auto"/>
        <w:right w:val="none" w:sz="0" w:space="0" w:color="auto"/>
      </w:divBdr>
    </w:div>
    <w:div w:id="575897285">
      <w:bodyDiv w:val="1"/>
      <w:marLeft w:val="0"/>
      <w:marRight w:val="0"/>
      <w:marTop w:val="0"/>
      <w:marBottom w:val="0"/>
      <w:divBdr>
        <w:top w:val="none" w:sz="0" w:space="0" w:color="auto"/>
        <w:left w:val="none" w:sz="0" w:space="0" w:color="auto"/>
        <w:bottom w:val="none" w:sz="0" w:space="0" w:color="auto"/>
        <w:right w:val="none" w:sz="0" w:space="0" w:color="auto"/>
      </w:divBdr>
    </w:div>
    <w:div w:id="677535486">
      <w:bodyDiv w:val="1"/>
      <w:marLeft w:val="0"/>
      <w:marRight w:val="0"/>
      <w:marTop w:val="0"/>
      <w:marBottom w:val="0"/>
      <w:divBdr>
        <w:top w:val="none" w:sz="0" w:space="0" w:color="auto"/>
        <w:left w:val="none" w:sz="0" w:space="0" w:color="auto"/>
        <w:bottom w:val="none" w:sz="0" w:space="0" w:color="auto"/>
        <w:right w:val="none" w:sz="0" w:space="0" w:color="auto"/>
      </w:divBdr>
    </w:div>
    <w:div w:id="755443598">
      <w:bodyDiv w:val="1"/>
      <w:marLeft w:val="0"/>
      <w:marRight w:val="0"/>
      <w:marTop w:val="0"/>
      <w:marBottom w:val="0"/>
      <w:divBdr>
        <w:top w:val="none" w:sz="0" w:space="0" w:color="auto"/>
        <w:left w:val="none" w:sz="0" w:space="0" w:color="auto"/>
        <w:bottom w:val="none" w:sz="0" w:space="0" w:color="auto"/>
        <w:right w:val="none" w:sz="0" w:space="0" w:color="auto"/>
      </w:divBdr>
    </w:div>
    <w:div w:id="763113910">
      <w:bodyDiv w:val="1"/>
      <w:marLeft w:val="0"/>
      <w:marRight w:val="0"/>
      <w:marTop w:val="0"/>
      <w:marBottom w:val="0"/>
      <w:divBdr>
        <w:top w:val="none" w:sz="0" w:space="0" w:color="auto"/>
        <w:left w:val="none" w:sz="0" w:space="0" w:color="auto"/>
        <w:bottom w:val="none" w:sz="0" w:space="0" w:color="auto"/>
        <w:right w:val="none" w:sz="0" w:space="0" w:color="auto"/>
      </w:divBdr>
    </w:div>
    <w:div w:id="826244003">
      <w:bodyDiv w:val="1"/>
      <w:marLeft w:val="0"/>
      <w:marRight w:val="0"/>
      <w:marTop w:val="0"/>
      <w:marBottom w:val="0"/>
      <w:divBdr>
        <w:top w:val="none" w:sz="0" w:space="0" w:color="auto"/>
        <w:left w:val="none" w:sz="0" w:space="0" w:color="auto"/>
        <w:bottom w:val="none" w:sz="0" w:space="0" w:color="auto"/>
        <w:right w:val="none" w:sz="0" w:space="0" w:color="auto"/>
      </w:divBdr>
    </w:div>
    <w:div w:id="1225917696">
      <w:bodyDiv w:val="1"/>
      <w:marLeft w:val="0"/>
      <w:marRight w:val="0"/>
      <w:marTop w:val="0"/>
      <w:marBottom w:val="0"/>
      <w:divBdr>
        <w:top w:val="none" w:sz="0" w:space="0" w:color="auto"/>
        <w:left w:val="none" w:sz="0" w:space="0" w:color="auto"/>
        <w:bottom w:val="none" w:sz="0" w:space="0" w:color="auto"/>
        <w:right w:val="none" w:sz="0" w:space="0" w:color="auto"/>
      </w:divBdr>
    </w:div>
    <w:div w:id="1312053246">
      <w:bodyDiv w:val="1"/>
      <w:marLeft w:val="0"/>
      <w:marRight w:val="0"/>
      <w:marTop w:val="0"/>
      <w:marBottom w:val="0"/>
      <w:divBdr>
        <w:top w:val="none" w:sz="0" w:space="0" w:color="auto"/>
        <w:left w:val="none" w:sz="0" w:space="0" w:color="auto"/>
        <w:bottom w:val="none" w:sz="0" w:space="0" w:color="auto"/>
        <w:right w:val="none" w:sz="0" w:space="0" w:color="auto"/>
      </w:divBdr>
    </w:div>
    <w:div w:id="1529761205">
      <w:bodyDiv w:val="1"/>
      <w:marLeft w:val="0"/>
      <w:marRight w:val="0"/>
      <w:marTop w:val="0"/>
      <w:marBottom w:val="0"/>
      <w:divBdr>
        <w:top w:val="none" w:sz="0" w:space="0" w:color="auto"/>
        <w:left w:val="none" w:sz="0" w:space="0" w:color="auto"/>
        <w:bottom w:val="none" w:sz="0" w:space="0" w:color="auto"/>
        <w:right w:val="none" w:sz="0" w:space="0" w:color="auto"/>
      </w:divBdr>
    </w:div>
    <w:div w:id="17013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water.vic.gov.au/monitoring.htm" TargetMode="External"/><Relationship Id="rId5" Type="http://schemas.openxmlformats.org/officeDocument/2006/relationships/hyperlink" Target="http://realtimedata.water.nsw.gov.au/water.s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5106</TotalTime>
  <Pages>4</Pages>
  <Words>1273</Words>
  <Characters>7715</Characters>
  <Application>Microsoft Office Word</Application>
  <DocSecurity>0</DocSecurity>
  <Lines>110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James Lawson</cp:lastModifiedBy>
  <cp:revision>45</cp:revision>
  <dcterms:created xsi:type="dcterms:W3CDTF">2014-01-22T05:46:00Z</dcterms:created>
  <dcterms:modified xsi:type="dcterms:W3CDTF">2014-03-06T06:09:00Z</dcterms:modified>
</cp:coreProperties>
</file>