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7C3EB6" w14:textId="28F1743D" w:rsidR="00B55332" w:rsidRPr="005E166E" w:rsidRDefault="00B55332" w:rsidP="00A22B81">
      <w:pPr>
        <w:spacing w:line="360" w:lineRule="auto"/>
        <w:jc w:val="both"/>
        <w:rPr>
          <w:i/>
          <w:sz w:val="26"/>
          <w:szCs w:val="26"/>
        </w:rPr>
      </w:pPr>
      <w:r w:rsidRPr="005E166E">
        <w:rPr>
          <w:i/>
          <w:sz w:val="26"/>
          <w:szCs w:val="26"/>
        </w:rPr>
        <w:t>Hydrological conditions predict wood density in Australian riparian plants</w:t>
      </w:r>
      <w:bookmarkStart w:id="0" w:name="_GoBack"/>
      <w:bookmarkEnd w:id="0"/>
    </w:p>
    <w:p w14:paraId="0DB80BF4" w14:textId="4CBD7F21" w:rsidR="005E166E" w:rsidRPr="005E166E" w:rsidRDefault="005E166E" w:rsidP="00A22B81">
      <w:pPr>
        <w:spacing w:line="360" w:lineRule="auto"/>
        <w:jc w:val="both"/>
      </w:pPr>
      <w:r w:rsidRPr="005E166E">
        <w:t xml:space="preserve">Lawson, James R., </w:t>
      </w:r>
      <w:proofErr w:type="spellStart"/>
      <w:r w:rsidRPr="005E166E">
        <w:t>Leishman</w:t>
      </w:r>
      <w:proofErr w:type="spellEnd"/>
      <w:r w:rsidRPr="005E166E">
        <w:t>, Michelle R.</w:t>
      </w:r>
    </w:p>
    <w:p w14:paraId="319286A9" w14:textId="77777777" w:rsidR="005E166E" w:rsidRPr="00EA700F" w:rsidRDefault="005E166E" w:rsidP="00A22B81">
      <w:pPr>
        <w:spacing w:line="360" w:lineRule="auto"/>
        <w:jc w:val="both"/>
        <w:rPr>
          <w:b/>
        </w:rPr>
      </w:pPr>
    </w:p>
    <w:p w14:paraId="54155B8B" w14:textId="2ED43D9D" w:rsidR="005E166E" w:rsidRDefault="005779AB" w:rsidP="00A22B81">
      <w:pPr>
        <w:spacing w:line="360" w:lineRule="auto"/>
        <w:jc w:val="both"/>
        <w:rPr>
          <w:b/>
        </w:rPr>
      </w:pPr>
      <w:r>
        <w:rPr>
          <w:b/>
        </w:rPr>
        <w:t>Abstract</w:t>
      </w:r>
    </w:p>
    <w:p w14:paraId="3544881A" w14:textId="6FCE758B" w:rsidR="005E166E" w:rsidRPr="005779AB" w:rsidRDefault="005779AB" w:rsidP="00A22B81">
      <w:pPr>
        <w:autoSpaceDE w:val="0"/>
        <w:autoSpaceDN w:val="0"/>
        <w:adjustRightInd w:val="0"/>
        <w:spacing w:after="0" w:line="360" w:lineRule="auto"/>
        <w:rPr>
          <w:rFonts w:cs="Arial"/>
        </w:rPr>
      </w:pPr>
      <w:r w:rsidRPr="005779AB">
        <w:rPr>
          <w:rFonts w:cs="Arial"/>
        </w:rPr>
        <w:t xml:space="preserve">Wood density is a key plant functional trait </w:t>
      </w:r>
      <w:r>
        <w:rPr>
          <w:rFonts w:cs="Arial"/>
        </w:rPr>
        <w:t>which</w:t>
      </w:r>
      <w:r w:rsidRPr="005779AB">
        <w:rPr>
          <w:rFonts w:cs="Arial"/>
        </w:rPr>
        <w:t xml:space="preserve"> integrates the trade-offs characteristic to riparian plant ecological strategies. We made the following predictions in this study: (1) wood density increases with frequency and magnitude of flooding disturbance (2) wood density increases as water availability in the riparian zone becomes less predictable, and (3) flooding and unpredictability of water availability induce environmental specialisation in wood density as they increase in severity. We </w:t>
      </w:r>
      <w:r>
        <w:rPr>
          <w:rFonts w:cs="Arial"/>
        </w:rPr>
        <w:t xml:space="preserve">surveyed wood density of dominant species at </w:t>
      </w:r>
      <w:r w:rsidRPr="005779AB">
        <w:rPr>
          <w:rFonts w:cs="Arial"/>
        </w:rPr>
        <w:t>fifteen riparian sites along flow-gauged rivers across south-eastern Australia. Abundance-weighted site means of wood density were mapped along gradients of frequency and magnitude of flooding disturbance, and metrics of</w:t>
      </w:r>
      <w:r>
        <w:rPr>
          <w:rFonts w:cs="Arial"/>
        </w:rPr>
        <w:t xml:space="preserve"> </w:t>
      </w:r>
      <w:r w:rsidRPr="005779AB">
        <w:rPr>
          <w:rFonts w:cs="Arial"/>
        </w:rPr>
        <w:t xml:space="preserve">riparian water availability </w:t>
      </w:r>
      <w:r w:rsidR="00AF1FDB">
        <w:rPr>
          <w:rFonts w:cs="Arial"/>
        </w:rPr>
        <w:t>including</w:t>
      </w:r>
      <w:r w:rsidRPr="005779AB">
        <w:rPr>
          <w:rFonts w:cs="Arial"/>
        </w:rPr>
        <w:t xml:space="preserve"> </w:t>
      </w:r>
      <w:proofErr w:type="spellStart"/>
      <w:r w:rsidRPr="005779AB">
        <w:rPr>
          <w:rFonts w:cs="Arial"/>
        </w:rPr>
        <w:t>baseflow</w:t>
      </w:r>
      <w:proofErr w:type="spellEnd"/>
      <w:r w:rsidRPr="005779AB">
        <w:rPr>
          <w:rFonts w:cs="Arial"/>
        </w:rPr>
        <w:t xml:space="preserve"> index, seasonality and inter-annual variability. Metrics describing the largest, most intense flood events throughout a river’s hydrological record were found to be strong positive predictors of mean wood density. Mean wood density was also positively predicted by unpredictability of water availability in the riparian zone. This latter relationship was maximised where patterns of flow were highly seasonal, but the season with which they were associated was not consistent throughout the record. Our study highlights the importance of hydrological conditions – particularly disturbance and environmental unpredictability, as determinants of ecological strategy in riparian plants. This is likely to hold important ecological consequences for riparian plant communities in south-eastern Australia, where increasing climatic variability and frequency of extreme events are hallmarks of climate change predictions.</w:t>
      </w:r>
    </w:p>
    <w:p w14:paraId="634263F4" w14:textId="77777777" w:rsidR="005E166E" w:rsidRDefault="005E166E" w:rsidP="00A22B81">
      <w:pPr>
        <w:spacing w:line="360" w:lineRule="auto"/>
        <w:jc w:val="both"/>
        <w:rPr>
          <w:b/>
        </w:rPr>
      </w:pPr>
    </w:p>
    <w:p w14:paraId="629E0A98" w14:textId="77777777" w:rsidR="005E166E" w:rsidRDefault="005E166E" w:rsidP="00A22B81">
      <w:pPr>
        <w:spacing w:line="360" w:lineRule="auto"/>
        <w:jc w:val="both"/>
        <w:rPr>
          <w:b/>
        </w:rPr>
      </w:pPr>
    </w:p>
    <w:p w14:paraId="22304C8B" w14:textId="77777777" w:rsidR="005E166E" w:rsidRDefault="005E166E" w:rsidP="00A22B81">
      <w:pPr>
        <w:spacing w:line="360" w:lineRule="auto"/>
        <w:jc w:val="both"/>
        <w:rPr>
          <w:b/>
        </w:rPr>
      </w:pPr>
    </w:p>
    <w:p w14:paraId="0BD27220" w14:textId="77777777" w:rsidR="005E166E" w:rsidRDefault="005E166E" w:rsidP="00A22B81">
      <w:pPr>
        <w:spacing w:line="360" w:lineRule="auto"/>
        <w:jc w:val="both"/>
        <w:rPr>
          <w:b/>
        </w:rPr>
      </w:pPr>
    </w:p>
    <w:p w14:paraId="42BED1DA" w14:textId="77777777" w:rsidR="005E166E" w:rsidRDefault="005E166E" w:rsidP="00A22B81">
      <w:pPr>
        <w:spacing w:line="360" w:lineRule="auto"/>
        <w:jc w:val="both"/>
        <w:rPr>
          <w:b/>
        </w:rPr>
      </w:pPr>
    </w:p>
    <w:p w14:paraId="1F6408EA" w14:textId="77777777" w:rsidR="005E166E" w:rsidRDefault="005E166E" w:rsidP="00A22B81">
      <w:pPr>
        <w:spacing w:line="360" w:lineRule="auto"/>
        <w:jc w:val="both"/>
        <w:rPr>
          <w:b/>
        </w:rPr>
      </w:pPr>
    </w:p>
    <w:p w14:paraId="38B776A4" w14:textId="77777777" w:rsidR="005E166E" w:rsidRDefault="005E166E" w:rsidP="00A22B81">
      <w:pPr>
        <w:spacing w:line="360" w:lineRule="auto"/>
        <w:jc w:val="both"/>
        <w:rPr>
          <w:b/>
        </w:rPr>
      </w:pPr>
    </w:p>
    <w:p w14:paraId="50A19582" w14:textId="77777777" w:rsidR="005E166E" w:rsidRDefault="005E166E" w:rsidP="00A22B81">
      <w:pPr>
        <w:spacing w:line="360" w:lineRule="auto"/>
        <w:jc w:val="both"/>
        <w:rPr>
          <w:b/>
        </w:rPr>
      </w:pPr>
    </w:p>
    <w:p w14:paraId="1E23D72B" w14:textId="77777777" w:rsidR="00B634E6" w:rsidRPr="00EA700F" w:rsidRDefault="00B634E6" w:rsidP="00A22B81">
      <w:pPr>
        <w:spacing w:line="360" w:lineRule="auto"/>
        <w:jc w:val="both"/>
        <w:rPr>
          <w:b/>
        </w:rPr>
      </w:pPr>
      <w:r w:rsidRPr="00EA700F">
        <w:rPr>
          <w:b/>
        </w:rPr>
        <w:lastRenderedPageBreak/>
        <w:t>Introduction</w:t>
      </w:r>
    </w:p>
    <w:p w14:paraId="600251EE" w14:textId="655351FA" w:rsidR="00B634E6" w:rsidRPr="00EA700F" w:rsidRDefault="00B634E6" w:rsidP="00A22B81">
      <w:pPr>
        <w:spacing w:line="360" w:lineRule="auto"/>
        <w:jc w:val="both"/>
        <w:rPr>
          <w:lang w:val="en-US"/>
        </w:rPr>
      </w:pPr>
      <w:r w:rsidRPr="00EA700F">
        <w:rPr>
          <w:lang w:val="en-US"/>
        </w:rPr>
        <w:t xml:space="preserve">Functional trait oriented approaches to understanding community assembly </w:t>
      </w:r>
      <w:r w:rsidRPr="00EA700F">
        <w:rPr>
          <w:lang w:val="en-US"/>
        </w:rPr>
        <w:fldChar w:fldCharType="begin" w:fldLock="1"/>
      </w:r>
      <w:r w:rsidR="00ED02F3">
        <w:rPr>
          <w:lang w:val="en-US"/>
        </w:rPr>
        <w:instrText>ADDIN CSL_CITATION { "citationItems" : [ { "id" : "ITEM-1", "itemData" : { "DOI" : "10.1016/j.tree.2006.02.002", "ISSN" : "0169-5347", "PMID" : "16701083", "abstract" : "There is considerable debate about whether community ecology will ever produce general principles. We suggest here that this can be achieved but that community ecology has lost its way by focusing on pairwise species interactions independent of the environment. We assert that community ecology should return to an emphasis on four themes that are tied together by a two-step process: how the fundamental niche is governed by functional traits within the context of abiotic environmental gradients; and how the interaction between traits and fundamental niches maps onto the realized niche in the context of a biotic interaction milieu. We suggest this approach can create a more quantitative and predictive science that can more readily address issues of global change.", "author" : [ { "dropping-particle" : "", "family" : "McGill", "given" : "Brian J", "non-dropping-particle" : "", "parse-names" : false, "suffix" : "" }, { "dropping-particle" : "", "family" : "Enquist", "given" : "Brian J", "non-dropping-particle" : "", "parse-names" : false, "suffix" : "" }, { "dropping-particle" : "", "family" : "Weiher", "given" : "Evan", "non-dropping-particle" : "", "parse-names" : false, "suffix" : "" }, { "dropping-particle" : "", "family" : "Westoby", "given" : "Mark", "non-dropping-particle" : "", "parse-names" : false, "suffix" : "" } ], "container-title" : "Trends in Ecology &amp; Evolution", "id" : "ITEM-1", "issue" : "4", "issued" : { "date-parts" : [ [ "2006", "4" ] ] }, "page" : "178-85", "title" : "Rebuilding community ecology from functional traits.", "type" : "article-journal", "volume" : "21" }, "uris" : [ "http://www.mendeley.com/documents/?uuid=961e2f0a-4962-4b2a-b646-d26045154e51" ] } ], "mendeley" : { "previouslyFormattedCitation" : "(McGill, Enquist, Weiher, &amp; Westoby, 2006)" }, "properties" : { "noteIndex" : 0 }, "schema" : "https://github.com/citation-style-language/schema/raw/master/csl-citation.json" }</w:instrText>
      </w:r>
      <w:r w:rsidRPr="00EA700F">
        <w:rPr>
          <w:lang w:val="en-US"/>
        </w:rPr>
        <w:fldChar w:fldCharType="separate"/>
      </w:r>
      <w:r w:rsidRPr="00EA700F">
        <w:rPr>
          <w:noProof/>
          <w:lang w:val="en-US"/>
        </w:rPr>
        <w:t>(McGill, Enquist, Weiher, &amp; Westoby, 2006)</w:t>
      </w:r>
      <w:r w:rsidRPr="00EA700F">
        <w:rPr>
          <w:lang w:val="en-US"/>
        </w:rPr>
        <w:fldChar w:fldCharType="end"/>
      </w:r>
      <w:r w:rsidRPr="00EA700F">
        <w:rPr>
          <w:lang w:val="en-US"/>
        </w:rPr>
        <w:t xml:space="preserve"> have been </w:t>
      </w:r>
      <w:r w:rsidRPr="00EA700F">
        <w:rPr>
          <w:i/>
          <w:lang w:val="en-US"/>
        </w:rPr>
        <w:t>de mode</w:t>
      </w:r>
      <w:r w:rsidRPr="00EA700F">
        <w:rPr>
          <w:lang w:val="en-US"/>
        </w:rPr>
        <w:t xml:space="preserve"> over the last decade, especially in plant ecology </w:t>
      </w:r>
      <w:r w:rsidRPr="00EA700F">
        <w:rPr>
          <w:lang w:val="en-US"/>
        </w:rPr>
        <w:fldChar w:fldCharType="begin" w:fldLock="1"/>
      </w:r>
      <w:r w:rsidR="00ED02F3">
        <w:rPr>
          <w:lang w:val="en-US"/>
        </w:rPr>
        <w:instrText>ADDIN CSL_CITATION { "citationItems" : [ { "id" : "ITEM-1", "itemData" : { "DOI" : "10.1111/j.1365-2486.2011.02451.x", "ISSN" : "13541013", "author" : [ { "dropping-particle" : "", "family" : "Kattge", "given" : "J.", "non-dropping-particle" : "", "parse-names" : false, "suffix" : "" }, { "dropping-particle" : "", "family" : "D\u00edaz", "given" : "S.", "non-dropping-particle" : "", "parse-names" : false, "suffix" : "" }, { "dropping-particle" : "", "family" : "Lavorel", "given" : "S.", "non-dropping-particle" : "", "parse-names" : false, "suffix" : "" }, { "dropping-particle" : "", "family" : "Prentice", "given" : "I. C.", "non-dropping-particle" : "", "parse-names" : false, "suffix" : "" }, { "dropping-particle" : "", "family" : "Leadley", "given" : "P.", "non-dropping-particle" : "", "parse-names" : false, "suffix" : "" }, { "dropping-particle" : "", "family" : "B\u00f6nisch", "given" : "G.", "non-dropping-particle" : "", "parse-names" : false, "suffix" : "" }, { "dropping-particle" : "", "family" : "Garnier", "given" : "E.", "non-dropping-particle" : "", "parse-names" : false, "suffix" : "" }, { "dropping-particle" : "", "family" : "Westoby", "given" : "M.", "non-dropping-particle" : "", "parse-names" : false, "suffix" : "" }, { "dropping-particle" : "", "family" : "Reich", "given" : "P. B.", "non-dropping-particle" : "", "parse-names" : false, "suffix" : "" }, { "dropping-particle" : "", "family" : "Wright", "given" : "I. J.", "non-dropping-particle" : "", "parse-names" : false, "suffix" : "" }, { "dropping-particle" : "", "family" : "Cornelissen", "given" : "J. H. C.", "non-dropping-particle" : "", "parse-names" : false, "suffix" : "" }, { "dropping-particle" : "", "family" : "Violle", "given" : "C.", "non-dropping-particle" : "", "parse-names" : false, "suffix" : "" }, { "dropping-particle" : "", "family" : "Harrison", "given" : "S. P.", "non-dropping-particle" : "", "parse-names" : false, "suffix" : "" }, { "dropping-particle" : "", "family" : "BODEGOM", "given" : "P. M.", "non-dropping-particle" : "Van", "parse-names" : false, "suffix" : "" }, { "dropping-particle" : "", "family" : "Reichstein", "given" : "M.", "non-dropping-particle" : "", "parse-names" : false, "suffix" : "" }, { "dropping-particle" : "", "family" : "Enquist", "given" : "B. J.", "non-dropping-particle" : "", "parse-names" : false, "suffix" : "" }, { "dropping-particle" : "", "family" : "Soudzilovskaia", "given" : "N. a.", "non-dropping-particle" : "", "parse-names" : false, "suffix" : "" }, { "dropping-particle" : "", "family" : "Ackerly", "given" : "D. D.", "non-dropping-particle" : "", "parse-names" : false, "suffix" : "" }, { "dropping-particle" : "", "family" : "Anand", "given" : "M.", "non-dropping-particle" : "", "parse-names" : false, "suffix" : "" }, { "dropping-particle" : "", "family" : "Atkin", "given" : "O.", "non-dropping-particle" : "", "parse-names" : false, "suffix" : "" }, { "dropping-particle" : "", "family" : "Bahn", "given" : "M.", "non-dropping-particle" : "", "parse-names" : false, "suffix" : "" }, { "dropping-particle" : "", "family" : "Baker", "given" : "T. R.", "non-dropping-particle" : "", "parse-names" : false, "suffix" : "" }, { "dropping-particle" : "", "family" : "Baldocchi", "given" : "D.", "non-dropping-particle" : "", "parse-names" : false, "suffix" : "" }, { "dropping-particle" : "", "family" : "Bekker", "given" : "R.", "non-dropping-particle" : "", "parse-names" : false, "suffix" : "" }, { "dropping-particle" : "", "family" : "Blanco", "given" : "C. C.", "non-dropping-particle" : "", "parse-names" : false, "suffix" : "" }, { "dropping-particle" : "", "family" : "Blonder", "given" : "B.", "non-dropping-particle" : "", "parse-names" : false, "suffix" : "" }, { "dropping-particle" : "", "family" : "Bond", "given" : "W. J.", "non-dropping-particle" : "", "parse-names" : false, "suffix" : "" }, { "dropping-particle" : "", "family" : "Bradstock", "given" : "R.", "non-dropping-particle" : "", "parse-names" : false, "suffix" : "" }, { "dropping-particle" : "", "family" : "Bunker", "given" : "D. E.", "non-dropping-particle" : "", "parse-names" : false, "suffix" : "" }, { "dropping-particle" : "", "family" : "Casanoves", "given" : "F.", "non-dropping-particle" : "", "parse-names" : false, "suffix" : "" }, { "dropping-particle" : "", "family" : "Cavender-Bares", "given" : "J.", "non-dropping-particle" : "", "parse-names" : false, "suffix" : "" }, { "dropping-particle" : "", "family" : "Chambers", "given" : "J. Q.", "non-dropping-particle" : "", "parse-names" : false, "suffix" : "" }, { "dropping-particle" : "", "family" : "Chapin Iii", "given" : "F. S.", "non-dropping-particle" : "", "parse-names" : false, "suffix" : "" }, { "dropping-particle" : "", "family" : "Chave", "given" : "J.", "non-dropping-particle" : "", "parse-names" : false, "suffix" : "" }, { "dropping-particle" : "", "family" : "Coomes", "given" : "D.", "non-dropping-particle" : "", "parse-names" : false, "suffix" : "" }, { "dropping-particle" : "", "family" : "Cornwell", "given" : "W. K.", "non-dropping-particle" : "", "parse-names" : false, "suffix" : "" }, { "dropping-particle" : "", "family" : "Craine", "given" : "J. M.", "non-dropping-particle" : "", "parse-names" : false, "suffix" : "" }, { "dropping-particle" : "", "family" : "Dobrin", "given" : "B. H.", "non-dropping-particle" : "", "parse-names" : false, "suffix" : "" }, { "dropping-particle" : "", "family" : "Duarte", "given" : "L.", "non-dropping-particle" : "", "parse-names" : false, "suffix" : "" }, { "dropping-particle" : "", "family" : "Durka", "given" : "W.", "non-dropping-particle" : "", "parse-names" : false, "suffix" : "" }, { "dropping-particle" : "", "family" : "Elser", "given" : "J.", "non-dropping-particle" : "", "parse-names" : false, "suffix" : "" }, { "dropping-particle" : "", "family" : "Esser", "given" : "G.", "non-dropping-particle" : "", "parse-names" : false, "suffix" : "" }, { "dropping-particle" : "", "family" : "Estiarte", "given" : "M.", "non-dropping-particle" : "", "parse-names" : false, "suffix" : "" }, { "dropping-particle" : "", "family" : "Fagan", "given" : "W. F.", "non-dropping-particle" : "", "parse-names" : false, "suffix" : "" }, { "dropping-particle" : "", "family" : "Fang", "given" : "J.", "non-dropping-particle" : "", "parse-names" : false, "suffix" : "" }, { "dropping-particle" : "", "family" : "Fern\u00e1ndez-M\u00e9ndez", "given" : "F.", "non-dropping-particle" : "", "parse-names" : false, "suffix" : "" }, { "dropping-particle" : "", "family" : "Fidelis", "given" : "a.", "non-dropping-particle" : "", "parse-names" : false, "suffix" : "" }, { "dropping-particle" : "", "family" : "Finegan", "given" : "B.", "non-dropping-particle" : "", "parse-names" : false, "suffix" : "" }, { "dropping-particle" : "", "family" : "Flores", "given" : "O.", "non-dropping-particle" : "", "parse-names" : false, "suffix" : "" }, { "dropping-particle" : "", "family" : "Ford", "given" : "H.", "non-dropping-particle" : "", "parse-names" : false, "suffix" : "" }, { "dropping-particle" : "", "family" : "Frank", "given" : "D.", "non-dropping-particle" : "", "parse-names" : false, "suffix" : "" }, { "dropping-particle" : "", "family" : "Freschet", "given" : "G. T.", "non-dropping-particle" : "", "parse-names" : false, "suffix" : "" }, { "dropping-particle" : "", "family" : "Fyllas", "given" : "N. M.", "non-dropping-particle" : "", "parse-names" : false, "suffix" : "" }, { "dropping-particle" : "V.", "family" : "Gallagher", "given" : "R.", "non-dropping-particle" : "", "parse-names" : false, "suffix" : "" }, { "dropping-particle" : "", "family" : "Green", "given" : "W. a.", "non-dropping-particle" : "", "parse-names" : false, "suffix" : "" }, { "dropping-particle" : "", "family" : "Gutierrez", "given" : "a. G.", "non-dropping-particle" : "", "parse-names" : false, "suffix" : "" }, { "dropping-particle" : "", "family" : "Hickler", "given" : "T.", "non-dropping-particle" : "", "parse-names" : false, "suffix" : "" }, { "dropping-particle" : "", "family" : "Higgins", "given" : "S. I.", "non-dropping-particle" : "", "parse-names" : false, "suffix" : "" }, { "dropping-particle" : "", "family" : "Hodgson", "given" : "J. G.", "non-dropping-particle" : "", "parse-names" : false, "suffix" : "" }, { "dropping-particle" : "", "family" : "Jalili", "given" : "a.", "non-dropping-particle" : "", "parse-names" : false, "suffix" : "" }, { "dropping-particle" : "", "family" : "Jansen", "given" : "S.", "non-dropping-particle" : "", "parse-names" : false, "suffix" : "" }, { "dropping-particle" : "", "family" : "Joly", "given" : "C. a.", "non-dropping-particle" : "", "parse-names" : false, "suffix" : "" }, { "dropping-particle" : "", "family" : "Kerkhoff", "given" : "a. J.", "non-dropping-particle" : "", "parse-names" : false, "suffix" : "" }, { "dropping-particle" : "", "family" : "Kirkup", "given" : "D.", "non-dropping-particle" : "", "parse-names" : false, "suffix" : "" }, { "dropping-particle" : "", "family" : "Kitajima", "given" : "K.", "non-dropping-particle" : "", "parse-names" : false, "suffix" : "" }, { "dropping-particle" : "", "family" : "Kleyer", "given" : "M.", "non-dropping-particle" : "", "parse-names" : false, "suffix" : "" }, { "dropping-particle" : "", "family" : "Klotz", "given" : "S.", "non-dropping-particle" : "", "parse-names" : false, "suffix" : "" }, { "dropping-particle" : "", "family" : "Knops", "given" : "J. M. H.", "non-dropping-particle" : "", "parse-names" : false, "suffix" : "" }, { "dropping-particle" : "", "family" : "Kramer", "given" : "K.", "non-dropping-particle" : "", "parse-names" : false, "suffix" : "" }, { "dropping-particle" : "", "family" : "K\u00fchn", "given" : "I.", "non-dropping-particle" : "", "parse-names" : false, "suffix" : "" }, { "dropping-particle" : "", "family" : "Kurokawa", "given" : "H.", "non-dropping-particle" : "", "parse-names" : false, "suffix" : "" }, { "dropping-particle" : "", "family" : "Laughlin", "given" : "D.", "non-dropping-particle" : "", "parse-names" : false, "suffix" : "" }, { "dropping-particle" : "", "family" : "Lee", "given" : "T. D.", "non-dropping-particle" : "", "parse-names" : false, "suffix" : "" }, { "dropping-particle" : "", "family" : "Leishman", "given" : "M.", "non-dropping-particle" : "", "parse-names" : false, "suffix" : "" }, { "dropping-particle" : "", "family" : "Lens", "given" : "F.", "non-dropping-particle" : "", "parse-names" : false, "suffix" : "" }, { "dropping-particle" : "", "family" : "Lenz", "given" : "T.", "non-dropping-particle" : "", "parse-names" : false, "suffix" : "" }, { "dropping-particle" : "", "family" : "Lewis", "given" : "S. L.", "non-dropping-particle" : "", "parse-names" : false, "suffix" : "" }, { "dropping-particle" : "", "family" : "Lloyd", "given" : "J.", "non-dropping-particle" : "", "parse-names" : false, "suffix" : "" }, { "dropping-particle" : "", "family" : "Llusi\u00e0", "given" : "J.", "non-dropping-particle" : "", "parse-names" : false, "suffix" : "" }, { "dropping-particle" : "", "family" : "Louault", "given" : "F.", "non-dropping-particle" : "", "parse-names" : false, "suffix" : "" }, { "dropping-particle" : "", "family" : "Ma", "given" : "S.", "non-dropping-particle" : "", "parse-names" : false, "suffix" : "" }, { "dropping-particle" : "", "family" : "Mahecha", "given" : "M. D.", "non-dropping-particle" : "", "parse-names" : false, "suffix" : "" }, { "dropping-particle" : "", "family" : "Manning", "given" : "P.", "non-dropping-particle" : "", "parse-names" : false, "suffix" : "" }, { "dropping-particle" : "", "family" : "Massad", "given" : "T.", "non-dropping-particle" : "", "parse-names" : false, "suffix" : "" }, { "dropping-particle" : "", "family" : "Medlyn", "given" : "B. E.", "non-dropping-particle" : "", "parse-names" : false, "suffix" : "" }, { "dropping-particle" : "", "family" : "Messier", "given" : "J.", "non-dropping-particle" : "", "parse-names" : false, "suffix" : "" }, { "dropping-particle" : "", "family" : "Moles", "given" : "a. T.", "non-dropping-particle" : "", "parse-names" : false, "suffix" : "" }, { "dropping-particle" : "", "family" : "M\u00fcller", "given" : "S. C.", "non-dropping-particle" : "", "parse-names" : false, "suffix" : "" }, { "dropping-particle" : "", "family" : "Nadrowski", "given" : "K.", "non-dropping-particle" : "", "parse-names" : false, "suffix" : "" }, { "dropping-particle" : "", "family" : "Naeem", "given" : "S.", "non-dropping-particle" : "", "parse-names" : false, "suffix" : "" }, { "dropping-particle" : "", "family" : "Niinemets", "given" : "\u00dc.", "non-dropping-particle" : "", "parse-names" : false, "suffix" : "" }, { "dropping-particle" : "", "family" : "N\u00f6llert", "given" : "S.", "non-dropping-particle" : "", "parse-names" : false, "suffix" : "" }, { "dropping-particle" : "", "family" : "N\u00fcske", "given" : "a.", "non-dropping-particle" : "", "parse-names" : false, "suffix" : "" }, { "dropping-particle" : "", "family" : "Ogaya", "given" : "R.", "non-dropping-particle" : "", "parse-names" : false, "suffix" : "" }, { "dropping-particle" : "", "family" : "Oleksyn", "given" : "J.", "non-dropping-particle" : "", "parse-names" : false, "suffix" : "" }, { "dropping-particle" : "", "family" : "Onipchenko", "given" : "V. G.", "non-dropping-particle" : "", "parse-names" : false, "suffix" : "" }, { "dropping-particle" : "", "family" : "Onoda", "given" : "Y.", "non-dropping-particle" : "", "parse-names" : false, "suffix" : "" }, { "dropping-particle" : "", "family" : "Ordo\u00f1ez", "given" : "J.", "non-dropping-particle" : "", "parse-names" : false, "suffix" : "" }, { "dropping-particle" : "", "family" : "Overbeck", "given" : "G.", "non-dropping-particle" : "", "parse-names" : false, "suffix" : "" }, { "dropping-particle" : "", "family" : "Ozinga", "given" : "W. a.", "non-dropping-particle" : "", "parse-names" : false, "suffix" : "" }, { "dropping-particle" : "", "family" : "Pati\u00f1o", "given" : "S.", "non-dropping-particle" : "", "parse-names" : false, "suffix" : "" }, { "dropping-particle" : "", "family" : "Paula", "given" : "S.", "non-dropping-particle" : "", "parse-names" : false, "suffix" : "" }, { "dropping-particle" : "", "family" : "Pausas", "given" : "J. G.", "non-dropping-particle" : "", "parse-names" : false, "suffix" : "" }, { "dropping-particle" : "", "family" : "Pe\u00f1uelas", "given" : "J.", "non-dropping-particle" : "", "parse-names" : false, "suffix" : "" }, { "dropping-particle" : "", "family" : "Phillips", "given" : "O. L.", "non-dropping-particle" : "", "parse-names" : false, "suffix" : "" }, { "dropping-particle" : "", "family" : "Pillar", "given" : "V.", "non-dropping-particle" : "", "parse-names" : false, "suffix" : "" }, { "dropping-particle" : "", "family" : "Poorter", "given" : "H.", "non-dropping-particle" : "", "parse-names" : false, "suffix" : "" }, { "dropping-particle" : "", "family" : "Poorter", "given" : "L.", "non-dropping-particle" : "", "parse-names" : false, "suffix" : "" }, { "dropping-particle" : "", "family" : "Poschlod", "given" : "P.", "non-dropping-particle" : "", "parse-names" : false, "suffix" : "" }, { "dropping-particle" : "", "family" : "Prinzing", "given" : "a.", "non-dropping-particle" : "", "parse-names" : false, "suffix" : "" }, { "dropping-particle" : "", "family" : "Proulx", "given" : "R.", "non-dropping-particle" : "", "parse-names" : false, "suffix" : "" }, { "dropping-particle" : "", "family" : "Rammig", "given" : "a.", "non-dropping-particle" : "", "parse-names" : false, "suffix" : "" }, { "dropping-particle" : "", "family" : "Reinsch", "given" : "S.", "non-dropping-particle" : "", "parse-names" : false, "suffix" : "" }, { "dropping-particle" : "", "family" : "Reu", "given" : "B.", "non-dropping-particle" : "", "parse-names" : false, "suffix" : "" }, { "dropping-particle" : "", "family" : "Sack", "given" : "L.", "non-dropping-particle" : "", "parse-names" : false, "suffix" : "" }, { "dropping-particle" : "", "family" : "Salgado-Negret", "given" : "B.", "non-dropping-particle" : "", "parse-names" : false, "suffix" : "" }, { "dropping-particle" : "", "family" : "Sardans", "given" : "J.", "non-dropping-particle" : "", "parse-names" : false, "suffix" : "" }, { "dropping-particle" : "", "family" : "Shiodera", "given" : "S.", "non-dropping-particle" : "", "parse-names" : false, "suffix" : "" }, { "dropping-particle" : "", "family" : "Shipley", "given" : "B.", "non-dropping-particle" : "", "parse-names" : false, "suffix" : "" }, { "dropping-particle" : "", "family" : "Siefert", "given" : "a.", "non-dropping-particle" : "", "parse-names" : false, "suffix" : "" }, { "dropping-particle" : "", "family" : "Sosinski", "given" : "E.", "non-dropping-particle" : "", "parse-names" : false, "suffix" : "" }, { "dropping-particle" : "", "family" : "Soussana", "given" : "J.-F.", "non-dropping-particle" : "", "parse-names" : false, "suffix" : "" }, { "dropping-particle" : "", "family" : "Swaine", "given" : "E.", "non-dropping-particle" : "", "parse-names" : false, "suffix" : "" }, { "dropping-particle" : "", "family" : "Swenson", "given" : "N.", "non-dropping-particle" : "", "parse-names" : false, "suffix" : "" }, { "dropping-particle" : "", "family" : "Thompson", "given" : "K.", "non-dropping-particle" : "", "parse-names" : false, "suffix" : "" }, { "dropping-particle" : "", "family" : "Thornton", "given" : "P.", "non-dropping-particle" : "", "parse-names" : false, "suffix" : "" }, { "dropping-particle" : "", "family" : "Waldram", "given" : "M.", "non-dropping-particle" : "", "parse-names" : false, "suffix" : "" }, { "dropping-particle" : "", "family" : "Weiher", "given" : "E.", "non-dropping-particle" : "", "parse-names" : false, "suffix" : "" }, { "dropping-particle" : "", "family" : "White", "given" : "M.", "non-dropping-particle" : "", "parse-names" : false, "suffix" : "" }, { "dropping-particle" : "", "family" : "White", "given" : "S.", "non-dropping-particle" : "", "parse-names" : false, "suffix" : "" }, { "dropping-particle" : "", "family" : "Wright", "given" : "S. J.", "non-dropping-particle" : "", "parse-names" : false, "suffix" : "" }, { "dropping-particle" : "", "family" : "Yguel", "given" : "B.", "non-dropping-particle" : "", "parse-names" : false, "suffix" : "" }, { "dropping-particle" : "", "family" : "Zaehle", "given" : "S.", "non-dropping-particle" : "", "parse-names" : false, "suffix" : "" }, { "dropping-particle" : "", "family" : "Zanne", "given" : "a. E.", "non-dropping-particle" : "", "parse-names" : false, "suffix" : "" }, { "dropping-particle" : "", "family" : "Wirth", "given" : "C.", "non-dropping-particle" : "", "parse-names" : false, "suffix" : "" } ], "container-title" : "Global Change Biology", "id" : "ITEM-1", "issue" : "9", "issued" : { "date-parts" : [ [ "2011", "9", "21" ] ] }, "page" : "2905-2935", "title" : "TRY - a global database of plant traits", "type" : "article-journal", "volume" : "17" }, "uris" : [ "http://www.mendeley.com/documents/?uuid=f4768116-c60f-4322-8978-561e1e8ea557" ] } ], "mendeley" : { "previouslyFormattedCitation" : "(Kattge et al., 2011)" }, "properties" : { "noteIndex" : 0 }, "schema" : "https://github.com/citation-style-language/schema/raw/master/csl-citation.json" }</w:instrText>
      </w:r>
      <w:r w:rsidRPr="00EA700F">
        <w:rPr>
          <w:lang w:val="en-US"/>
        </w:rPr>
        <w:fldChar w:fldCharType="separate"/>
      </w:r>
      <w:r w:rsidRPr="00EA700F">
        <w:rPr>
          <w:noProof/>
          <w:lang w:val="en-US"/>
        </w:rPr>
        <w:t>(Kattge et al., 2011)</w:t>
      </w:r>
      <w:r w:rsidRPr="00EA700F">
        <w:rPr>
          <w:lang w:val="en-US"/>
        </w:rPr>
        <w:fldChar w:fldCharType="end"/>
      </w:r>
      <w:r w:rsidRPr="00EA700F">
        <w:rPr>
          <w:lang w:val="en-US"/>
        </w:rPr>
        <w:t xml:space="preserve">. These approaches attempt to understand community assembly processes by linking morphological or physiological attributes of species to organismal success under given environmental conditions. Suites of traits can be conceptualized as axes of variation in terms of ‘ecological strategy’, and distribution of this variation across environmental gradients can provide insight into where these strategies are successful </w:t>
      </w:r>
      <w:r w:rsidRPr="00EA700F">
        <w:rPr>
          <w:lang w:val="en-US"/>
        </w:rPr>
        <w:fldChar w:fldCharType="begin" w:fldLock="1"/>
      </w:r>
      <w:r w:rsidR="00ED02F3">
        <w:rPr>
          <w:lang w:val="en-US"/>
        </w:rPr>
        <w:instrText>ADDIN CSL_CITATION { "citationItems" : [ { "id" : "ITEM-1", "itemData" : { "DOI" : "10.1146/annurev.ecolsys.33.010802.150452", "ISSN" : "0066-4162", "author" : [ { "dropping-particle" : "", "family" : "Westoby", "given" : "Mark", "non-dropping-particle" : "", "parse-names" : false, "suffix" : "" }, { "dropping-particle" : "", "family" : "Falster", "given" : "Daniel S.", "non-dropping-particle" : "", "parse-names" : false, "suffix" : "" }, { "dropping-particle" : "", "family" : "Moles", "given" : "Angela T.", "non-dropping-particle" : "", "parse-names" : false, "suffix" : "" }, { "dropping-particle" : "", "family" : "Vesk", "given" : "Peter a.", "non-dropping-particle" : "", "parse-names" : false, "suffix" : "" }, { "dropping-particle" : "", "family" : "Wright", "given" : "Ian J.", "non-dropping-particle" : "", "parse-names" : false, "suffix" : "" } ], "container-title" : "Annual Review of Ecology and Systematics", "id" : "ITEM-1", "issue" : "1", "issued" : { "date-parts" : [ [ "2002", "11" ] ] }, "page" : "125-159", "title" : "PLANT ECOLOGICAL STRATEGIES: Some Leading Dimensions of Variation Between Species", "type" : "article-journal", "volume" : "33" }, "uris" : [ "http://www.mendeley.com/documents/?uuid=543d8a11-e940-41c9-990a-a7f093a9ed49" ] } ], "mendeley" : { "previouslyFormattedCitation" : "(Westoby, Falster, Moles, Vesk, &amp; Wright, 2002)" }, "properties" : { "noteIndex" : 0 }, "schema" : "https://github.com/citation-style-language/schema/raw/master/csl-citation.json" }</w:instrText>
      </w:r>
      <w:r w:rsidRPr="00EA700F">
        <w:rPr>
          <w:lang w:val="en-US"/>
        </w:rPr>
        <w:fldChar w:fldCharType="separate"/>
      </w:r>
      <w:r w:rsidRPr="00EA700F">
        <w:rPr>
          <w:noProof/>
          <w:lang w:val="en-US"/>
        </w:rPr>
        <w:t>(Westoby, Falster, Moles, Vesk, &amp; Wright, 2002)</w:t>
      </w:r>
      <w:r w:rsidRPr="00EA700F">
        <w:rPr>
          <w:lang w:val="en-US"/>
        </w:rPr>
        <w:fldChar w:fldCharType="end"/>
      </w:r>
      <w:r w:rsidRPr="00EA700F">
        <w:rPr>
          <w:lang w:val="en-US"/>
        </w:rPr>
        <w:t xml:space="preserve">. </w:t>
      </w:r>
    </w:p>
    <w:p w14:paraId="540DF1F9" w14:textId="381DAE01" w:rsidR="00B634E6" w:rsidRPr="00EA700F" w:rsidRDefault="00B634E6" w:rsidP="00A22B81">
      <w:pPr>
        <w:spacing w:line="360" w:lineRule="auto"/>
        <w:jc w:val="both"/>
      </w:pPr>
      <w:r w:rsidRPr="00EA700F">
        <w:t xml:space="preserve">Hydrology is widely considered to be the dominant abiotic force structuring riparian ecosystems. Hydrological variability in turn drives variation in moisture and substrate availability and flood disturbance, with cyclical resets to early successional conditions being characteristic of the riparian environment </w:t>
      </w:r>
      <w:r w:rsidRPr="00EA700F">
        <w:fldChar w:fldCharType="begin" w:fldLock="1"/>
      </w:r>
      <w:r w:rsidR="00ED02F3">
        <w:instrText>ADDIN CSL_CITATION { "citationItems" : [ { "id" : "ITEM-1", "itemData" : { "DOI" : "10.1111/j.1365-2427.2009.02206.x", "ISSN" : "00465070", "author" : [ { "dropping-particle" : "", "family" : "Merritt", "given" : "David M.", "non-dropping-particle" : "", "parse-names" : false, "suffix" : "" }, { "dropping-particle" : "", "family" : "Scott", "given" : "Michael L.", "non-dropping-particle" : "", "parse-names" : false, "suffix" : "" }, { "dropping-particle" : "", "family" : "Poff", "given" : "N. Leroy.", "non-dropping-particle" : "", "parse-names" : false, "suffix" : "" }, { "dropping-particle" : "", "family" : "Auble", "given" : "Gregor T.", "non-dropping-particle" : "", "parse-names" : false, "suffix" : "" }, { "dropping-particle" : "", "family" : "Lytle", "given" : "David a.", "non-dropping-particle" : "", "parse-names" : false, "suffix" : "" } ], "container-title" : "Freshwater Biology", "id" : "ITEM-1", "issue" : "1", "issued" : { "date-parts" : [ [ "2010", "1" ] ] }, "page" : "206-225", "title" : "Theory, methods and tools for determining environmental flows for riparian vegetation: riparian vegetation-flow response guilds", "type" : "article-journal", "volume" : "55" }, "uris" : [ "http://www.mendeley.com/documents/?uuid=7f80b8c2-3347-4df1-a743-429bf6c6a68e" ] } ], "mendeley" : { "previouslyFormattedCitation" : "(Merritt, Scott, Poff, Auble, &amp; Lytle, 2010)" }, "properties" : { "noteIndex" : 0 }, "schema" : "https://github.com/citation-style-language/schema/raw/master/csl-citation.json" }</w:instrText>
      </w:r>
      <w:r w:rsidRPr="00EA700F">
        <w:fldChar w:fldCharType="separate"/>
      </w:r>
      <w:r w:rsidRPr="00EA700F">
        <w:rPr>
          <w:noProof/>
        </w:rPr>
        <w:t>(Merritt, Scott, Poff, Auble, &amp; Lytle, 2010)</w:t>
      </w:r>
      <w:r w:rsidRPr="00EA700F">
        <w:fldChar w:fldCharType="end"/>
      </w:r>
      <w:r w:rsidRPr="00EA700F">
        <w:t xml:space="preserve">. These are the conditions which are likely to dictate success of a particular ecological strategy. </w:t>
      </w:r>
      <w:r w:rsidRPr="00EA700F">
        <w:rPr>
          <w:lang w:val="en-US"/>
        </w:rPr>
        <w:t xml:space="preserve">Several authors have recently suggested functional trait biology as a means of understanding the response of riparian plant communities to hydrological gradients </w:t>
      </w:r>
      <w:r w:rsidRPr="00EA700F">
        <w:rPr>
          <w:lang w:val="en-US"/>
        </w:rPr>
        <w:fldChar w:fldCharType="begin" w:fldLock="1"/>
      </w:r>
      <w:r w:rsidR="00ED02F3">
        <w:rPr>
          <w:lang w:val="en-US"/>
        </w:rPr>
        <w:instrText>ADDIN CSL_CITATION { "citationItems" : [ { "id" : "ITEM-1", "itemData" : { "DOI" : "10.1111/j.1365-2427.2009.02206.x", "ISSN" : "00465070", "author" : [ { "dropping-particle" : "", "family" : "Merritt", "given" : "David M.", "non-dropping-particle" : "", "parse-names" : false, "suffix" : "" }, { "dropping-particle" : "", "family" : "Scott", "given" : "Michael L.", "non-dropping-particle" : "", "parse-names" : false, "suffix" : "" }, { "dropping-particle" : "", "family" : "Poff", "given" : "N. Leroy.", "non-dropping-particle" : "", "parse-names" : false, "suffix" : "" }, { "dropping-particle" : "", "family" : "Auble", "given" : "Gregor T.", "non-dropping-particle" : "", "parse-names" : false, "suffix" : "" }, { "dropping-particle" : "", "family" : "Lytle", "given" : "David a.", "non-dropping-particle" : "", "parse-names" : false, "suffix" : "" } ], "container-title" : "Freshwater Biology", "id" : "ITEM-1", "issue" : "1", "issued" : { "date-parts" : [ [ "2010", "1" ] ] }, "page" : "206-225", "title" : "Theory, methods and tools for determining environmental flows for riparian vegetation: riparian vegetation-flow response guilds", "type" : "article-journal", "volume" : "55" }, "uris" : [ "http://www.mendeley.com/documents/?uuid=7f80b8c2-3347-4df1-a743-429bf6c6a68e" ] }, { "id" : "ITEM-2", "itemData" : { "DOI" : "10.1007/s10021-012-9566-7", "ISBN" : "1002101295667", "ISSN" : "1432-9840", "author" : [ { "dropping-particle" : "", "family" : "Catford", "given" : "Jane a.", "non-dropping-particle" : "", "parse-names" : false, "suffix" : "" }, { "dropping-particle" : "", "family" : "Naiman", "given" : "Robert J.", "non-dropping-particle" : "", "parse-names" : false, "suffix" : "" }, { "dropping-particle" : "", "family" : "Chambers", "given" : "Lynda E.", "non-dropping-particle" : "", "parse-names" : false, "suffix" : "" }, { "dropping-particle" : "", "family" : "Roberts", "given" : "Jane", "non-dropping-particle" : "", "parse-names" : false, "suffix" : "" }, { "dropping-particle" : "", "family" : "Douglas", "given" : "Michael", "non-dropping-particle" : "", "parse-names" : false, "suffix" : "" }, { "dropping-particle" : "", "family" : "Davies", "given" : "Peter", "non-dropping-particle" : "", "parse-names" : false, "suffix" : "" } ], "container-title" : "Ecosystems", "id" : "ITEM-2", "issued" : { "date-parts" : [ [ "2012", "6", "26" ] ] }, "page" : "1-19", "title" : "Predicting Novel Riparian Ecosystems in a Changing Climate", "type" : "article-journal", "volume" : "June" }, "uris" : [ "http://www.mendeley.com/documents/?uuid=4f806815-c8b5-457d-9d39-d76b9947710c" ] } ], "mendeley" : { "previouslyFormattedCitation" : "(Catford et al., 2012; Merritt et al., 2010)" }, "properties" : { "noteIndex" : 0 }, "schema" : "https://github.com/citation-style-language/schema/raw/master/csl-citation.json" }</w:instrText>
      </w:r>
      <w:r w:rsidRPr="00EA700F">
        <w:rPr>
          <w:lang w:val="en-US"/>
        </w:rPr>
        <w:fldChar w:fldCharType="separate"/>
      </w:r>
      <w:r w:rsidRPr="00EA700F">
        <w:rPr>
          <w:noProof/>
          <w:lang w:val="en-US"/>
        </w:rPr>
        <w:t>(Catford et al., 2012; Merritt et al., 2010)</w:t>
      </w:r>
      <w:r w:rsidRPr="00EA700F">
        <w:rPr>
          <w:lang w:val="en-US"/>
        </w:rPr>
        <w:fldChar w:fldCharType="end"/>
      </w:r>
      <w:r w:rsidRPr="00EA700F">
        <w:rPr>
          <w:lang w:val="en-US"/>
        </w:rPr>
        <w:t xml:space="preserve">. </w:t>
      </w:r>
      <w:r w:rsidRPr="00EA700F">
        <w:t xml:space="preserve"> While </w:t>
      </w:r>
      <w:proofErr w:type="spellStart"/>
      <w:r w:rsidRPr="00EA700F">
        <w:t>ecohydrological</w:t>
      </w:r>
      <w:proofErr w:type="spellEnd"/>
      <w:r w:rsidRPr="00EA700F">
        <w:t xml:space="preserve"> classification </w:t>
      </w:r>
      <w:r w:rsidR="00EA700F" w:rsidRPr="00EA700F">
        <w:t xml:space="preserve">is becoming established </w:t>
      </w:r>
      <w:r w:rsidRPr="00EA700F">
        <w:t xml:space="preserve">as a tool to explain </w:t>
      </w:r>
      <w:r w:rsidR="00EA700F" w:rsidRPr="00EA700F">
        <w:t xml:space="preserve">plant </w:t>
      </w:r>
      <w:r w:rsidRPr="00EA700F">
        <w:t xml:space="preserve">community attributes such as species richness, stand structure and composition </w:t>
      </w:r>
      <w:r w:rsidR="007137EA" w:rsidRPr="00EA700F">
        <w:fldChar w:fldCharType="begin" w:fldLock="1"/>
      </w:r>
      <w:r w:rsidR="00ED02F3">
        <w:instrText>ADDIN CSL_CITATION { "citationItems" : [ { "id" : "ITEM-1", "itemData" : { "DOI" : "10.1111/j.1365-2427.2009.02204.x", "ISSN" : "00465070", "author" : [ { "dropping-particle" : "", "family" : "Poff", "given" : "N. Leroy", "non-dropping-particle" : "", "parse-names" : false, "suffix" : "" }, { "dropping-particle" : "", "family" : "Richter", "given" : "Brian D.", "non-dropping-particle" : "", "parse-names" : false, "suffix" : "" }, { "dropping-particle" : "", "family" : "Arthington", "given" : "Angela H.", "non-dropping-particle" : "", "parse-names" : false, "suffix" : "" }, { "dropping-particle" : "", "family" : "Bunn", "given" : "Stuart E.", "non-dropping-particle" : "", "parse-names" : false, "suffix" : "" }, { "dropping-particle" : "", "family" : "Naiman", "given" : "Robert J.", "non-dropping-particle" : "", "parse-names" : false, "suffix" : "" }, { "dropping-particle" : "", "family" : "Kendy", "given" : "Eloise", "non-dropping-particle" : "", "parse-names" : false, "suffix" : "" }, { "dropping-particle" : "", "family" : "Acreman", "given" : "Mike", "non-dropping-particle" : "", "parse-names" : false, "suffix" : "" }, { "dropping-particle" : "", "family" : "Apse", "given" : "Colin", "non-dropping-particle" : "", "parse-names" : false, "suffix" : "" }, { "dropping-particle" : "", "family" : "Bledsoe", "given" : "Brian P.", "non-dropping-particle" : "", "parse-names" : false, "suffix" : "" }, { "dropping-particle" : "", "family" : "Freeman", "given" : "Mary C.", "non-dropping-particle" : "", "parse-names" : false, "suffix" : "" }, { "dropping-particle" : "", "family" : "Henriksen", "given" : "James", "non-dropping-particle" : "", "parse-names" : false, "suffix" : "" }, { "dropping-particle" : "", "family" : "Jacobson", "given" : "Robert B.", "non-dropping-particle" : "", "parse-names" : false, "suffix" : "" }, { "dropping-particle" : "", "family" : "Kennen", "given" : "Jonathan G.", "non-dropping-particle" : "", "parse-names" : false, "suffix" : "" }, { "dropping-particle" : "", "family" : "Merritt", "given" : "David M.", "non-dropping-particle" : "", "parse-names" : false, "suffix" : "" }, { "dropping-particle" : "", "family" : "O\u00e2\u0080\u0099Keeffe", "given" : "Jay H.", "non-dropping-particle" : "", "parse-names" : false, "suffix" : "" }, { "dropping-particle" : "", "family" : "Olden", "given" : "Julian D.", "non-dropping-particle" : "", "parse-names" : false, "suffix" : "" }, { "dropping-particle" : "", "family" : "Rogers", "given" : "Kevin", "non-dropping-particle" : "", "parse-names" : false, "suffix" : "" }, { "dropping-particle" : "", "family" : "Tharme", "given" : "Rebecca E.", "non-dropping-particle" : "", "parse-names" : false, "suffix" : "" }, { "dropping-particle" : "", "family" : "Warner", "given" : "Andrew", "non-dropping-particle" : "", "parse-names" : false, "suffix" : "" } ], "container-title" : "Freshwater Biology", "id" : "ITEM-1", "issue" : "1", "issued" : { "date-parts" : [ [ "2010", "1" ] ] }, "page" : "147-170", "title" : "The ecological limits of hydrologic alteration (ELOHA): a new framework for developing regional environmental flow standards", "type" : "article-journal", "volume" : "55" }, "uris" : [ "http://www.mendeley.com/documents/?uuid=0314d60f-124f-4b13-be6a-f26ccae9ee24" ] }, { "id" : "ITEM-2", "itemData" : { "ISBN" : "9781921853579", "author" : [ { "dropping-particle" : "", "family" : "Arthington", "given" : "AH", "non-dropping-particle" : "", "parse-names" : false, "suffix" : "" }, { "dropping-particle" : "", "family" : "Mackay", "given" : "SJ", "non-dropping-particle" : "", "parse-names" : false, "suffix" : "" }, { "dropping-particle" : "", "family" : "James", "given" : "CS", "non-dropping-particle" : "", "parse-names" : false, "suffix" : "" }, { "dropping-particle" : "", "family" : "Rolls", "given" : "RJ", "non-dropping-particle" : "", "parse-names" : false, "suffix" : "" }, { "dropping-particle" : "", "family" : "Sternberg", "given" : "D", "non-dropping-particle" : "", "parse-names" : false, "suffix" : "" }, { "dropping-particle" : "", "family" : "A", "given" : "Barnes", "non-dropping-particle" : "", "parse-names" : false, "suffix" : "" }, { "dropping-particle" : "", "family" : "SJ", "given" : "Capon", "non-dropping-particle" : "", "parse-names" : false, "suffix" : "" } ], "id" : "ITEM-2", "issue" : "75", "issued" : { "date-parts" : [ [ "2012" ] ] }, "title" : "Ecological limits of hydrologic alteration: a test of the ELOHA framework in south-east Queensland", "type" : "article-journal" }, "uris" : [ "http://www.mendeley.com/documents/?uuid=1c612826-1a11-4345-820d-d75ca7cc33a6" ] } ], "mendeley" : { "previouslyFormattedCitation" : "(Arthington et al., 2012; Poff et al., 2010)" }, "properties" : { "noteIndex" : 0 }, "schema" : "https://github.com/citation-style-language/schema/raw/master/csl-citation.json" }</w:instrText>
      </w:r>
      <w:r w:rsidR="007137EA" w:rsidRPr="00EA700F">
        <w:fldChar w:fldCharType="separate"/>
      </w:r>
      <w:r w:rsidR="007137EA" w:rsidRPr="00EA700F">
        <w:rPr>
          <w:noProof/>
        </w:rPr>
        <w:t>(Arthington et al., 2012; Poff et al., 2010)</w:t>
      </w:r>
      <w:r w:rsidR="007137EA" w:rsidRPr="00EA700F">
        <w:fldChar w:fldCharType="end"/>
      </w:r>
      <w:r w:rsidRPr="00EA700F">
        <w:t xml:space="preserve">, functional approaches in </w:t>
      </w:r>
      <w:proofErr w:type="spellStart"/>
      <w:r w:rsidRPr="00EA700F">
        <w:t>ecohydrology</w:t>
      </w:r>
      <w:proofErr w:type="spellEnd"/>
      <w:r w:rsidRPr="00EA700F">
        <w:t xml:space="preserve"> </w:t>
      </w:r>
      <w:r w:rsidR="00EA700F" w:rsidRPr="00EA700F">
        <w:t>remain</w:t>
      </w:r>
      <w:r w:rsidRPr="00EA700F">
        <w:t xml:space="preserve"> novel.  </w:t>
      </w:r>
    </w:p>
    <w:p w14:paraId="3608C77B" w14:textId="3EB27941" w:rsidR="00B634E6" w:rsidRPr="00EA700F" w:rsidRDefault="00B634E6" w:rsidP="00A22B81">
      <w:pPr>
        <w:spacing w:line="360" w:lineRule="auto"/>
        <w:jc w:val="both"/>
      </w:pPr>
      <w:r w:rsidRPr="00EA700F">
        <w:t xml:space="preserve">Woody plants determine the coarse physical structure of many riparian plant communities and are integral to the interplay of biological and physical elements that drive fluvial </w:t>
      </w:r>
      <w:proofErr w:type="spellStart"/>
      <w:r w:rsidRPr="00EA700F">
        <w:t>biogeomorphic</w:t>
      </w:r>
      <w:proofErr w:type="spellEnd"/>
      <w:r w:rsidRPr="00EA700F">
        <w:t xml:space="preserve"> processes </w:t>
      </w:r>
      <w:r w:rsidRPr="00EA700F">
        <w:fldChar w:fldCharType="begin" w:fldLock="1"/>
      </w:r>
      <w:r w:rsidR="00ED02F3">
        <w:instrText>ADDIN CSL_CITATION { "citationItems" : [ { "id" : "ITEM-1", "itemData" : { "DOI" : "10.1002/esp", "author" : [ { "dropping-particle" : "", "family" : "Corenblit", "given" : "Dov", "non-dropping-particle" : "", "parse-names" : false, "suffix" : "" }, { "dropping-particle" : "", "family" : "Steiger", "given" : "Johannes", "non-dropping-particle" : "", "parse-names" : false, "suffix" : "" }, { "dropping-particle" : "", "family" : "Gurnell", "given" : "Angela M", "non-dropping-particle" : "", "parse-names" : false, "suffix" : "" }, { "dropping-particle" : "", "family" : "Tabacchi", "given" : "Eric", "non-dropping-particle" : "", "parse-names" : false, "suffix" : "" }, { "dropping-particle" : "", "family" : "Roques", "given" : "Lydie", "non-dropping-particle" : "", "parse-names" : false, "suffix" : "" } ], "container-title" : "Earth Surface Processes and Landforms", "id" : "ITEM-1", "issued" : { "date-parts" : [ [ "2009" ] ] }, "page" : "1790-1810", "title" : "Control of sediment dynamics by vegetation as a key function driving biogeomorphic succession within fluvial corridors", "type" : "article-journal", "volume" : "1810" }, "uris" : [ "http://www.mendeley.com/documents/?uuid=5c7176ca-63ad-4bc6-bef1-4f27c742fd17" ] } ], "mendeley" : { "previouslyFormattedCitation" : "(Corenblit, Steiger, Gurnell, Tabacchi, &amp; Roques, 2009)" }, "properties" : { "noteIndex" : 0 }, "schema" : "https://github.com/citation-style-language/schema/raw/master/csl-citation.json" }</w:instrText>
      </w:r>
      <w:r w:rsidRPr="00EA700F">
        <w:fldChar w:fldCharType="separate"/>
      </w:r>
      <w:r w:rsidRPr="00EA700F">
        <w:rPr>
          <w:noProof/>
        </w:rPr>
        <w:t>(Corenblit, Steiger, Gurnell, Tabacchi, &amp; Roques, 2009)</w:t>
      </w:r>
      <w:r w:rsidRPr="00EA700F">
        <w:fldChar w:fldCharType="end"/>
      </w:r>
      <w:r w:rsidRPr="00EA700F">
        <w:t>. Consequently, an understanding of the mechanisms of riparian woody plant community assembly will provide important insights into fluvial landscapes.</w:t>
      </w:r>
      <w:r w:rsidRPr="00EA700F">
        <w:rPr>
          <w:lang w:val="en-US"/>
        </w:rPr>
        <w:t xml:space="preserve"> </w:t>
      </w:r>
      <w:r w:rsidR="00EA700F">
        <w:t xml:space="preserve">Wood density, defined as </w:t>
      </w:r>
      <w:r w:rsidRPr="00EA700F">
        <w:t xml:space="preserve">the ratio of kiln-dried mass to green volume of a wood sample </w:t>
      </w:r>
      <w:r w:rsidRPr="00EA700F">
        <w:fldChar w:fldCharType="begin" w:fldLock="1"/>
      </w:r>
      <w:r w:rsidR="00ED02F3">
        <w:instrText>ADDIN CSL_CITATION { "citationItems" : [ { "id" : "ITEM-1", "itemData" : { "author" : [ { "dropping-particle" : "", "family" : "Cornelissen", "given" : "J H C A", "non-dropping-particle" : "", "parse-names" : false, "suffix" : "" }, { "dropping-particle" : "", "family" : "Lavorel", "given" : "S B", "non-dropping-particle" : "", "parse-names" : false, "suffix" : "" }, { "dropping-particle" : "", "family" : "Garnier", "given" : "E B", "non-dropping-particle" : "", "parse-names" : false, "suffix" : "" }, { "dropping-particle" : "", "family" : "D\u00edaz", "given" : "S C", "non-dropping-particle" : "", "parse-names" : false, "suffix" : "" }, { "dropping-particle" : "", "family" : "Buchmann", "given" : "N D", "non-dropping-particle" : "", "parse-names" : false, "suffix" : "" }, { "dropping-particle" : "", "family" : "Gurvich", "given" : "D E C", "non-dropping-particle" : "", "parse-names" : false, "suffix" : "" }, { "dropping-particle" : "", "family" : "Reich", "given" : "P B E", "non-dropping-particle" : "", "parse-names" : false, "suffix" : "" }, { "dropping-particle" : "", "family" : "Steege", "given" : "H F", "non-dropping-particle" : "", "parse-names" : false, "suffix" : "" }, { "dropping-particle" : "", "family" : "Morgan", "given" : "H D G", "non-dropping-particle" : "", "parse-names" : false, "suffix" : "" }, { "dropping-particle" : "", "family" : "A", "given" : "M G A Van Der Heijden", "non-dropping-particle" : "", "parse-names" : false, "suffix" : "" }, { "dropping-particle" : "", "family" : "Pausas", "given" : "J G H", "non-dropping-particle" : "", "parse-names" : false, "suffix" : "" }, { "dropping-particle" : "", "family" : "Poorter", "given" : "H I", "non-dropping-particle" : "", "parse-names" : false, "suffix" : "" } ], "container-title" : "Australian Journal of Botany", "id" : "ITEM-1", "issue" : "4", "issued" : { "date-parts" : [ [ "2003" ] ] }, "page" : "335-380", "title" : "A handbook of protocols for standardised and easy measurement of plant functional traits worldwide", "type" : "article-journal", "volume" : "51" }, "uris" : [ "http://www.mendeley.com/documents/?uuid=63c1fc9f-1e08-40e5-8e30-3a805910df96" ] } ], "mendeley" : { "manualFormatting" : "(Cornelissen et al., 2003", "previouslyFormattedCitation" : "(Cornelissen et al., 2003)" }, "properties" : { "noteIndex" : 0 }, "schema" : "https://github.com/citation-style-language/schema/raw/master/csl-citation.json" }</w:instrText>
      </w:r>
      <w:r w:rsidRPr="00EA700F">
        <w:fldChar w:fldCharType="separate"/>
      </w:r>
      <w:r w:rsidRPr="00EA700F">
        <w:rPr>
          <w:noProof/>
        </w:rPr>
        <w:t>(Cornelissen et al., 2003</w:t>
      </w:r>
      <w:r w:rsidRPr="00EA700F">
        <w:fldChar w:fldCharType="end"/>
      </w:r>
      <w:r w:rsidRPr="00EA700F">
        <w:t>)</w:t>
      </w:r>
      <w:r w:rsidR="00EA700F">
        <w:t>,</w:t>
      </w:r>
      <w:r w:rsidRPr="00EA700F">
        <w:t xml:space="preserve"> is widely recognised as an important functional trait in plant ecology </w:t>
      </w:r>
      <w:r w:rsidRPr="00EA700F">
        <w:fldChar w:fldCharType="begin" w:fldLock="1"/>
      </w:r>
      <w:r w:rsidR="00ED02F3">
        <w:instrText>ADDIN CSL_CITATION { "citationItems" : [ { "id" : "ITEM-1", "itemData" : { "DOI" : "10.1016/j.tree.2006.02.004", "ISSN" : "0169-5347", "PMID" : "16697912", "abstract" : "The tissue traits and architectures of plant species are important for land-plant ecology in two ways. First, they control ecosystem processes and define habitat and resources for other taxa; thus, they are a high priority for understanding the ecosystem at a site. Second, knowledge of trait costs and benefits offers the most promising path to understanding how vegetation properties change along physical geography gradients. There exists an informal shortlist of plant traits that are thought to be most informative. Here, we summarize recent research on correlations and tradeoffs surrounding some traits that are prospects for the shortlist. By extending the list and by developing better models for how traits influence species distributions and interactions, a strong foundation of basic ecology can be established, with many practical applications.", "author" : [ { "dropping-particle" : "", "family" : "Westoby", "given" : "Mark", "non-dropping-particle" : "", "parse-names" : false, "suffix" : "" }, { "dropping-particle" : "", "family" : "Wright", "given" : "Ian J", "non-dropping-particle" : "", "parse-names" : false, "suffix" : "" } ], "container-title" : "Trends in Ecology &amp; Evolution", "id" : "ITEM-1", "issue" : "5", "issued" : { "date-parts" : [ [ "2006", "5" ] ] }, "page" : "261-8", "title" : "Land-plant ecology on the basis of functional traits.", "type" : "article-journal", "volume" : "21" }, "uris" : [ "http://www.mendeley.com/documents/?uuid=6f7eeecd-79f4-48c4-b4b2-521d46e3f321" ] } ], "mendeley" : { "previouslyFormattedCitation" : "(Westoby &amp; Wright, 2006)" }, "properties" : { "noteIndex" : 0 }, "schema" : "https://github.com/citation-style-language/schema/raw/master/csl-citation.json" }</w:instrText>
      </w:r>
      <w:r w:rsidRPr="00EA700F">
        <w:fldChar w:fldCharType="separate"/>
      </w:r>
      <w:r w:rsidRPr="00EA700F">
        <w:rPr>
          <w:noProof/>
        </w:rPr>
        <w:t>(Westoby &amp; Wright, 2006)</w:t>
      </w:r>
      <w:r w:rsidRPr="00EA700F">
        <w:fldChar w:fldCharType="end"/>
      </w:r>
      <w:r w:rsidRPr="00EA700F">
        <w:t xml:space="preserve">, and has been proposed as one of just several key axes of variation within which all major plant ecological strategies can be described </w:t>
      </w:r>
      <w:r w:rsidRPr="00EA700F">
        <w:fldChar w:fldCharType="begin" w:fldLock="1"/>
      </w:r>
      <w:r w:rsidR="00ED02F3">
        <w:instrText>ADDIN CSL_CITATION { "citationItems" : [ { "id" : "ITEM-1", "itemData" : { "DOI" : "10.1146/annurev.ecolsys.33.010802.150452", "ISSN" : "0066-4162", "author" : [ { "dropping-particle" : "", "family" : "Westoby", "given" : "Mark", "non-dropping-particle" : "", "parse-names" : false, "suffix" : "" }, { "dropping-particle" : "", "family" : "Falster", "given" : "Daniel S.", "non-dropping-particle" : "", "parse-names" : false, "suffix" : "" }, { "dropping-particle" : "", "family" : "Moles", "given" : "Angela T.", "non-dropping-particle" : "", "parse-names" : false, "suffix" : "" }, { "dropping-particle" : "", "family" : "Vesk", "given" : "Peter a.", "non-dropping-particle" : "", "parse-names" : false, "suffix" : "" }, { "dropping-particle" : "", "family" : "Wright", "given" : "Ian J.", "non-dropping-particle" : "", "parse-names" : false, "suffix" : "" } ], "container-title" : "Annual Review of Ecology and Systematics", "id" : "ITEM-1", "issue" : "1", "issued" : { "date-parts" : [ [ "2002", "11" ] ] }, "page" : "125-159", "title" : "PLANT ECOLOGICAL STRATEGIES: Some Leading Dimensions of Variation Between Species", "type" : "article-journal", "volume" : "33" }, "uris" : [ "http://www.mendeley.com/documents/?uuid=543d8a11-e940-41c9-990a-a7f093a9ed49" ] } ], "mendeley" : { "previouslyFormattedCitation" : "(Westoby et al., 2002)" }, "properties" : { "noteIndex" : 0 }, "schema" : "https://github.com/citation-style-language/schema/raw/master/csl-citation.json" }</w:instrText>
      </w:r>
      <w:r w:rsidRPr="00EA700F">
        <w:fldChar w:fldCharType="separate"/>
      </w:r>
      <w:r w:rsidRPr="00EA700F">
        <w:rPr>
          <w:noProof/>
        </w:rPr>
        <w:t>(Westoby et al., 2002)</w:t>
      </w:r>
      <w:r w:rsidRPr="00EA700F">
        <w:fldChar w:fldCharType="end"/>
      </w:r>
      <w:r w:rsidRPr="00EA700F">
        <w:t xml:space="preserve">. Wood density is in fact an emergent property of a combination of woody tissue traits, including vessel geometry and arrangement, and the density and proportion of surrounding lignified tissue </w:t>
      </w:r>
      <w:r w:rsidRPr="00EA700F">
        <w:fldChar w:fldCharType="begin" w:fldLock="1"/>
      </w:r>
      <w:r w:rsidR="00ED02F3">
        <w:instrText>ADDIN CSL_CITATION { "citationItems" : [ { "id" : "ITEM-1", "itemData" : { "DOI" : "10.1111/j.1461-0248.2009.01285.x", "author" : [ { "dropping-particle" : "", "family" : "Chave", "given" : "Jerome", "non-dropping-particle" : "", "parse-names" : false, "suffix" : "" }, { "dropping-particle" : "", "family" : "Coomes", "given" : "David", "non-dropping-particle" : "", "parse-names" : false, "suffix" : "" }, { "dropping-particle" : "", "family" : "Jansen", "given" : "Steven", "non-dropping-particle" : "", "parse-names" : false, "suffix" : "" }, { "dropping-particle" : "", "family" : "Lewis", "given" : "Simon L", "non-dropping-particle" : "", "parse-names" : false, "suffix" : "" }, { "dropping-particle" : "", "family" : "Swenson", "given" : "Nathan G", "non-dropping-particle" : "", "parse-names" : false, "suffix" : "" }, { "dropping-particle" : "", "family" : "Amy", "given" : "E", "non-dropping-particle" : "", "parse-names" : false, "suffix" : "" } ], "container-title" : "Ecology Letters", "id" : "ITEM-1", "issue" : "4", "issued" : { "date-parts" : [ [ "2009" ] ] }, "page" : "351-366", "title" : "Towards a worldwide wood economics spectrum", "type" : "article-journal", "volume" : "12" }, "uris" : [ "http://www.mendeley.com/documents/?uuid=baf55254-1e00-495b-824d-bd954c968e49" ] } ], "mendeley" : { "previouslyFormattedCitation" : "(Chave et al., 2009)" }, "properties" : { "noteIndex" : 0 }, "schema" : "https://github.com/citation-style-language/schema/raw/master/csl-citation.json" }</w:instrText>
      </w:r>
      <w:r w:rsidRPr="00EA700F">
        <w:fldChar w:fldCharType="separate"/>
      </w:r>
      <w:r w:rsidRPr="00EA700F">
        <w:rPr>
          <w:noProof/>
        </w:rPr>
        <w:t>(Chave et al., 2009)</w:t>
      </w:r>
      <w:r w:rsidRPr="00EA700F">
        <w:fldChar w:fldCharType="end"/>
      </w:r>
      <w:r w:rsidRPr="00EA700F">
        <w:t xml:space="preserve">. Combined variation in these traits corresponds to the wide range of ecological strategies among woody plants. </w:t>
      </w:r>
    </w:p>
    <w:p w14:paraId="69EFCEC6" w14:textId="3517A012" w:rsidR="00EA700F" w:rsidRDefault="00B634E6" w:rsidP="00A22B81">
      <w:pPr>
        <w:spacing w:line="360" w:lineRule="auto"/>
        <w:jc w:val="both"/>
      </w:pPr>
      <w:r w:rsidRPr="00EA700F">
        <w:t xml:space="preserve">How might </w:t>
      </w:r>
      <w:r w:rsidR="00EA700F">
        <w:t>different wood density strategies</w:t>
      </w:r>
      <w:r w:rsidRPr="00EA700F">
        <w:t xml:space="preserve"> confer advantages to woody plant species in riparian environments? There is little direct evidence from riparian species, however general relationships between wood density and other ecological traits have been recognised from a variety of previous </w:t>
      </w:r>
      <w:r w:rsidRPr="00EA700F">
        <w:lastRenderedPageBreak/>
        <w:t>studies</w:t>
      </w:r>
      <w:r w:rsidR="00EA700F">
        <w:t>,</w:t>
      </w:r>
      <w:r w:rsidRPr="00EA700F">
        <w:t xml:space="preserve"> </w:t>
      </w:r>
      <w:r w:rsidR="00EA700F">
        <w:t>and</w:t>
      </w:r>
      <w:r w:rsidRPr="00EA700F">
        <w:t xml:space="preserve"> can provide some insight into the importance of variation in wood density in riparian communities. Dense wood confers mechanical stiffness </w:t>
      </w:r>
      <w:r w:rsidRPr="00EA700F">
        <w:fldChar w:fldCharType="begin" w:fldLock="1"/>
      </w:r>
      <w:r w:rsidR="00ED02F3">
        <w:instrText>ADDIN CSL_CITATION { "citationItems" : [ { "id" : "ITEM-1", "itemData" : { "DOI" : "10.1111/j.1469-8137.2006.01809.x", "ISSN" : "0028-646X", "PMID" : "16866930", "author" : [ { "dropping-particle" : "", "family" : "Falster", "given" : "Daniel S", "non-dropping-particle" : "", "parse-names" : false, "suffix" : "" } ], "container-title" : "The New phytologist", "id" : "ITEM-1", "issue" : "2", "issued" : { "date-parts" : [ [ "2006", "1" ] ] }, "page" : "237-9", "title" : "Sapling strength and safety: the importance of wood density in tropical forests.", "type" : "article-journal", "volume" : "171" }, "uris" : [ "http://www.mendeley.com/documents/?uuid=2bdb8e01-7098-4668-aa22-786dcf9d0b87" ] }, { "id" : "ITEM-2", "itemData" : { "DOI" : "10.3732/ajb.1000150", "ISSN" : "0002-9122", "PMID" : "21616793", "abstract" : "\u2022 Premise of the study: The density of wood is highly correlated with the ability of stems and roots to resist bending or twisting, which is important for evaluating the mechanical behavior of trees. It also provides a measure of carbon storage, which is an important variable in modeling ecosystem processes and tree construction costs. However, most measurements of the density and mechanical properties of wood have little direct bearing on understanding the biomechanics of living plants because they are based on kiln- or air-dried samples. \u2022 Methods: Here, we present and analyze the relationships between four important mechanical properties (Young's modulus, the modulus of rupture, and the maximum strength in shearing and in compression) and the density of green wood (i.e., wood at 50% moisture content) from a worldwide, taxonomically broad spectrum of 161 species. \u2022 Key results: These data indicate that each of the mechanical properties disproportionately increases across species with increasing green wood density, i.e., stems composed of denser green wood are disproportionately stiffer and stronger than stems with equivalent cross-sections composed of less dense green wood. \u2022 Conclusions: Although denser wood may have a higher carbon construction cost, the mechanical benefits of denser woods likely outweigh the extra cost.", "author" : [ { "dropping-particle" : "", "family" : "Niklas", "given" : "Karl J", "non-dropping-particle" : "", "parse-names" : false, "suffix" : "" }, { "dropping-particle" : "", "family" : "Spatz", "given" : "Hanns-Christof", "non-dropping-particle" : "", "parse-names" : false, "suffix" : "" } ], "container-title" : "American Journal of Botany", "id" : "ITEM-2", "issue" : "10", "issued" : { "date-parts" : [ [ "2010", "10" ] ] }, "page" : "1587-94", "title" : "Worldwide correlations of mechanical properties and green wood density.", "type" : "article-journal", "volume" : "97" }, "uris" : [ "http://www.mendeley.com/documents/?uuid=22a51d40-53dc-4b2b-a872-9d0dcab7d6ab" ] } ], "mendeley" : { "previouslyFormattedCitation" : "(D. S. Falster, 2006; Niklas &amp; Spatz, 2010)" }, "properties" : { "noteIndex" : 0 }, "schema" : "https://github.com/citation-style-language/schema/raw/master/csl-citation.json" }</w:instrText>
      </w:r>
      <w:r w:rsidRPr="00EA700F">
        <w:fldChar w:fldCharType="separate"/>
      </w:r>
      <w:r w:rsidRPr="00EA700F">
        <w:rPr>
          <w:noProof/>
        </w:rPr>
        <w:t>(D. S. Falster, 2006; Niklas &amp; Spatz, 2010)</w:t>
      </w:r>
      <w:r w:rsidRPr="00EA700F">
        <w:fldChar w:fldCharType="end"/>
      </w:r>
      <w:r w:rsidRPr="00EA700F">
        <w:t xml:space="preserve">, as well as resistance to pathogens </w:t>
      </w:r>
      <w:r w:rsidRPr="00EA700F">
        <w:fldChar w:fldCharType="begin" w:fldLock="1"/>
      </w:r>
      <w:r w:rsidR="00ED02F3">
        <w:instrText>ADDIN CSL_CITATION { "citationItems" : [ { "id" : "ITEM-1", "itemData" : { "DOI" : "10.1007/BF00396763", "ISSN" : "0029-8549", "author" : [ { "dropping-particle" : "", "family" : "Augspurger", "given" : "Carol K.", "non-dropping-particle" : "", "parse-names" : false, "suffix" : "" }, { "dropping-particle" : "", "family" : "Kelly", "given" : "Colleen K.", "non-dropping-particle" : "", "parse-names" : false, "suffix" : "" } ], "container-title" : "Oecologia", "id" : "ITEM-1", "issue" : "2", "issued" : { "date-parts" : [ [ "1984", "2" ] ] }, "page" : "211-217", "title" : "Pathogen mortality of tropical tree seedlings: experimental studies of the effects of dispersal distance, seedling density, and light conditions", "type" : "article-journal", "volume" : "61" }, "uris" : [ "http://www.mendeley.com/documents/?uuid=bbd59143-635b-4f24-8526-284ee88e1588" ] } ], "mendeley" : { "previouslyFormattedCitation" : "(Augspurger &amp; Kelly, 1984)" }, "properties" : { "noteIndex" : 0 }, "schema" : "https://github.com/citation-style-language/schema/raw/master/csl-citation.json" }</w:instrText>
      </w:r>
      <w:r w:rsidRPr="00EA700F">
        <w:fldChar w:fldCharType="separate"/>
      </w:r>
      <w:r w:rsidRPr="00EA700F">
        <w:rPr>
          <w:noProof/>
        </w:rPr>
        <w:t>(Augspurger &amp; Kelly, 1984)</w:t>
      </w:r>
      <w:r w:rsidRPr="00EA700F">
        <w:fldChar w:fldCharType="end"/>
      </w:r>
      <w:r w:rsidRPr="00EA700F">
        <w:t xml:space="preserve"> and </w:t>
      </w:r>
      <w:proofErr w:type="spellStart"/>
      <w:r w:rsidRPr="00EA700F">
        <w:t>herbivory</w:t>
      </w:r>
      <w:proofErr w:type="spellEnd"/>
      <w:r w:rsidRPr="00EA700F">
        <w:t xml:space="preserve"> </w:t>
      </w:r>
      <w:r w:rsidRPr="00EA700F">
        <w:fldChar w:fldCharType="begin" w:fldLock="1"/>
      </w:r>
      <w:r w:rsidR="00ED02F3">
        <w:instrText>ADDIN CSL_CITATION { "citationItems" : [ { "id" : "ITEM-1", "itemData" : { "author" : [ { "dropping-particle" : "", "family" : "Coley", "given" : "PD", "non-dropping-particle" : "", "parse-names" : false, "suffix" : "" } ], "container-title" : "Ecological monographs", "id" : "ITEM-1", "issue" : "2", "issued" : { "date-parts" : [ [ "1983" ] ] }, "title" : "Herbivory and defensive characteristics of tree species in a lowland tropical forest", "type" : "article-journal", "volume" : "53" }, "uris" : [ "http://www.mendeley.com/documents/?uuid=e6230d3d-27b5-4137-acb1-522a2683cd7b" ] } ], "mendeley" : { "previouslyFormattedCitation" : "(Coley, 1983)" }, "properties" : { "noteIndex" : 0 }, "schema" : "https://github.com/citation-style-language/schema/raw/master/csl-citation.json" }</w:instrText>
      </w:r>
      <w:r w:rsidRPr="00EA700F">
        <w:fldChar w:fldCharType="separate"/>
      </w:r>
      <w:r w:rsidRPr="00EA700F">
        <w:rPr>
          <w:noProof/>
        </w:rPr>
        <w:t>(Coley, 1983)</w:t>
      </w:r>
      <w:r w:rsidRPr="00EA700F">
        <w:fldChar w:fldCharType="end"/>
      </w:r>
      <w:r w:rsidRPr="00EA700F">
        <w:t>, but requires more investment of biomass and is therefore more costly to construct per unit of stem height.</w:t>
      </w:r>
    </w:p>
    <w:p w14:paraId="09D9945A" w14:textId="439DB0A3" w:rsidR="00B634E6" w:rsidRPr="00EA700F" w:rsidRDefault="00B634E6" w:rsidP="00A22B81">
      <w:pPr>
        <w:spacing w:line="360" w:lineRule="auto"/>
        <w:jc w:val="both"/>
      </w:pPr>
      <w:r w:rsidRPr="00EA700F">
        <w:t xml:space="preserve">According to this trade-off, it follows that several relationships between wood density and life-history strategy are apparent: studies of tropical rainforest species have shown an inverse relationship between growth rate and wood density </w:t>
      </w:r>
      <w:r w:rsidRPr="00EA700F">
        <w:fldChar w:fldCharType="begin" w:fldLock="1"/>
      </w:r>
      <w:r w:rsidR="00ED02F3">
        <w:instrText>ADDIN CSL_CITATION { "citationItems" : [ { "id" : "ITEM-1", "itemData" : { "DOI" : "10.1111/j.1469-8137.2009.03092.x", "ISSN" : "1469-8137", "PMID" : "19925555", "abstract" : "*In a comparative study of 42 rainforest tree species we examined relationships amongst wood traits, diameter growth and survival of large trees in the field, and shade tolerance and adult stature of the species. *The species show two orthogonal axes of trait variation: a primary axis related to the vessel size-number trade-off (reflecting investment in hydraulic conductance vs hydraulic safety) and a secondary axis related to investment in parenchyma vs fibres (storage vs strength). Across species, growth rate was positively related to vessel diameter and potential specific hydraulic conductance (K(p)), and negatively related to wood density. Survival rate was only positively related to wood density. *Light-demanding species were characterized by low wood and vessel density and wide vessels. Tall species were characterized by wide vessels with low density and large K(p). Hydraulic traits were more closely associated with adult stature than with light demand, possibly because tall canopy species experience more drought stress and face a higher cavitation risk. *Vessel traits affect growth and wood density affects growth and survival of large trees in the field. Vessel traits and wood density are therefore important components of the performance and life history strategies of tropical tree species.", "author" : [ { "dropping-particle" : "", "family" : "Poorter", "given" : "Lourens", "non-dropping-particle" : "", "parse-names" : false, "suffix" : "" }, { "dropping-particle" : "", "family" : "McDonald", "given" : "Imole", "non-dropping-particle" : "", "parse-names" : false, "suffix" : "" }, { "dropping-particle" : "", "family" : "Alarc\u00f3n", "given" : "Alfredo", "non-dropping-particle" : "", "parse-names" : false, "suffix" : "" }, { "dropping-particle" : "", "family" : "Fichtler", "given" : "Esther", "non-dropping-particle" : "", "parse-names" : false, "suffix" : "" }, { "dropping-particle" : "", "family" : "Licona", "given" : "Juan-Carlos", "non-dropping-particle" : "", "parse-names" : false, "suffix" : "" }, { "dropping-particle" : "", "family" : "Pe\u00f1a-Claros", "given" : "Marielos", "non-dropping-particle" : "", "parse-names" : false, "suffix" : "" }, { "dropping-particle" : "", "family" : "Sterck", "given" : "Frank", "non-dropping-particle" : "", "parse-names" : false, "suffix" : "" }, { "dropping-particle" : "", "family" : "Villegas", "given" : "Zulma", "non-dropping-particle" : "", "parse-names" : false, "suffix" : "" }, { "dropping-particle" : "", "family" : "Sass-Klaassen", "given" : "Ute", "non-dropping-particle" : "", "parse-names" : false, "suffix" : "" } ], "container-title" : "The New phytologist", "id" : "ITEM-1", "issue" : "2", "issued" : { "date-parts" : [ [ "2010", "1" ] ] }, "page" : "481-92", "title" : "The importance of wood traits and hydraulic conductance for the performance and life history strategies of 42 rainforest tree species.", "type" : "article-journal", "volume" : "185" }, "uris" : [ "http://www.mendeley.com/documents/?uuid=ffb2a50c-7b7f-4105-a782-19dc7ba28157" ] }, { "id" : "ITEM-2", "itemData" : { "ISSN" : "0012-9658", "PMID" : "18705377", "abstract" : "A central goal of comparative plant ecology is to understand how functional traits vary among species and to what extent this variation has adaptive value. Here we evaluate relationships between four functional traits (seed volume, specific leaf area, wood density, and adult stature) and two demographic attributes (diameter growth and tree mortality) for large trees of 240 tree species from five Neotropical forests. We evaluate how these key functional traits are related to survival and growth and whether similar relationships between traits and demography hold across different tropical forests. There was a tendency for a trade-off between growth and survival across rain forest tree species. Wood density, seed volume, and adult stature were significant predictors of growth and/or mortality. Both growth and mortality rates declined with an increase in wood density. This is consistent with greater construction costs and greater resistance to stem damage for denser wood. Growth and mortality rates also declined as seed volume increased. This is consistent with an adaptive syndrome in which species tolerant of low resource availability (in this case shade-tolerant species) have large seeds to establish successfully and low inherent growth and mortality rates. Growth increased and mortality decreased with an increase in adult stature, because taller species have a greater access to light and longer life spans. Specific leaf area was, surprisingly, only modestly informative for the performance of large trees and had ambiguous relationships with growth and survival. Single traits accounted for 9-55% of the interspecific variation in growth and mortality rates at individual sites. Significant correlations with demographic rates tended to be similar across forests and for phylogenetically independent contrasts as well as for cross-species analyses that treated each species as an independent observation. In combination, the morphological traits explained 41% of the variation in growth rate and 54% of the variation in mortality rate, with wood density being the best predictor of growth and mortality. Relationships between functional traits and demographic rates were statistically similar across a wide range of Neotropical forests. The consistency of these results strongly suggests that tropical rain forest species face similar trade-offs in different sites and converge on similar sets of solutions.", "author" : [ { "dropping-particle" : "", "family" : "Poorter", "given" : "L", "non-dropping-particle" : "", "parse-names" : false, "suffix" : "" }, { "dropping-particle" : "", "family" : "Wright", "given" : "S J", "non-dropping-particle" : "", "parse-names" : false, "suffix" : "" }, { "dropping-particle" : "", "family" : "Paz", "given" : "H", "non-dropping-particle" : "", "parse-names" : false, "suffix" : "" }, { "dropping-particle" : "", "family" : "Ackerly", "given" : "D D", "non-dropping-particle" : "", "parse-names" : false, "suffix" : "" }, { "dropping-particle" : "", "family" : "Condit", "given" : "R", "non-dropping-particle" : "", "parse-names" : false, "suffix" : "" }, { "dropping-particle" : "", "family" : "Ibarra-Manr\u00edquez", "given" : "G", "non-dropping-particle" : "", "parse-names" : false, "suffix" : "" }, { "dropping-particle" : "", "family" : "Harms", "given" : "K E", "non-dropping-particle" : "", "parse-names" : false, "suffix" : "" }, { "dropping-particle" : "", "family" : "Licona", "given" : "J C", "non-dropping-particle" : "", "parse-names" : false, "suffix" : "" }, { "dropping-particle" : "", "family" : "Mart\u00ednez-Ramos", "given" : "M", "non-dropping-particle" : "", "parse-names" : false, "suffix" : "" }, { "dropping-particle" : "", "family" : "Mazer", "given" : "S J", "non-dropping-particle" : "", "parse-names" : false, "suffix" : "" }, { "dropping-particle" : "", "family" : "Muller-Landau", "given" : "H C", "non-dropping-particle" : "", "parse-names" : false, "suffix" : "" }, { "dropping-particle" : "", "family" : "Pe\u00f1a-Claros", "given" : "M", "non-dropping-particle" : "", "parse-names" : false, "suffix" : "" }, { "dropping-particle" : "", "family" : "Webb", "given" : "C O", "non-dropping-particle" : "", "parse-names" : false, "suffix" : "" }, { "dropping-particle" : "", "family" : "Wright", "given" : "I J", "non-dropping-particle" : "", "parse-names" : false, "suffix" : "" } ], "container-title" : "Ecology", "id" : "ITEM-2", "issue" : "7", "issued" : { "date-parts" : [ [ "2008", "7" ] ] }, "page" : "1908-20", "title" : "Are functional traits good predictors of demographic rates? Evidence from five neotropical forests.", "type" : "article-journal", "volume" : "89" }, "uris" : [ "http://www.mendeley.com/documents/?uuid=c8b2cd40-7dd7-40a1-a537-0c9452d12246" ] }, { "id" : "ITEM-3", "itemData" : { "DOI" : "10.1111/j.1365-2745.2006.01112.x", "ISSN" : "00220477", "author" : [ { "dropping-particle" : "", "family" : "King", "given" : "David a.", "non-dropping-particle" : "", "parse-names" : false, "suffix" : "" }, { "dropping-particle" : "", "family" : "Davies", "given" : "Stuart J.", "non-dropping-particle" : "", "parse-names" : false, "suffix" : "" }, { "dropping-particle" : "", "family" : "Tan", "given" : "Sylvester", "non-dropping-particle" : "", "parse-names" : false, "suffix" : "" }, { "dropping-particle" : "", "family" : "Noor", "given" : "Nur Supardi Md.", "non-dropping-particle" : "", "parse-names" : false, "suffix" : "" } ], "container-title" : "Journal of Ecology", "id" : "ITEM-3", "issue" : "3", "issued" : { "date-parts" : [ [ "2006", "3", "3" ] ] }, "page" : "670-680", "title" : "The role of wood density and stem support costs in the growth and mortality of tropical trees", "type" : "article-journal", "volume" : "94" }, "uris" : [ "http://www.mendeley.com/documents/?uuid=7463ba26-6e62-43e6-a6d3-affc9e1957b3" ] }, { "id" : "ITEM-4", "itemData" : { "DOI" : "10.1111/j.1469-8137.2010.03444.x", "ISSN" : "1469-8137", "PMID" : "21058950", "abstract" : "Wood density is thought to be an important indicator of plant life history because it is coupled to many aspects of whole-plant form and function. We used a hierarchical Bayesian approach to explain variation in mortality rates with wood density, drawing on data for 765,500 trees from 1639 species at 10 sites located across the Old and New World tropics. Mortality rates declined with increasing wood density at five of 10 sites. Similar negative trends were detected at four additional sites, while one site showed no relationship. Our model explained 40% of variation in mortality on average. Both wood density and mortality rates show a high degree of phylogenetic conservatism. Grouping species by family across sites in a second analysis, we found considerable variation in the relationship between wood density and mortality, with 10 of 27 families demonstrating a strong negative relationship. Our results highlight the importance of wood density as a functional trait in tropical forests, as it is strongly linked to variation in survival. However, the relationship varied among families, plots, and even census intervals within sites, indicating that the factors responsible for the relationship between wood density and mortality vary spatially, taxonomically and temporally.", "author" : [ { "dropping-particle" : "", "family" : "Kraft", "given" : "Nathan J B", "non-dropping-particle" : "", "parse-names" : false, "suffix" : "" }, { "dropping-particle" : "", "family" : "Metz", "given" : "Margaret R", "non-dropping-particle" : "", "parse-names" : false, "suffix" : "" }, { "dropping-particle" : "", "family" : "Condit", "given" : "Richard S", "non-dropping-particle" : "", "parse-names" : false, "suffix" : "" }, { "dropping-particle" : "", "family" : "Chave", "given" : "J\u00e9r\u00f4me", "non-dropping-particle" : "", "parse-names" : false, "suffix" : "" } ], "container-title" : "The New phytologist", "id" : "ITEM-4", "issue" : "4", "issued" : { "date-parts" : [ [ "2010", "12" ] ] }, "page" : "1124-36", "title" : "The relationship between wood density and mortality in a global tropical forest data set.", "type" : "article-journal", "volume" : "188" }, "uris" : [ "http://www.mendeley.com/documents/?uuid=43feb396-5c8c-4182-9ab6-2cdcaf46da46" ] }, { "id" : "ITEM-5", "itemData" : { "ISSN" : "0012-9658", "PMID" : "21302837", "abstract" : "A trade-off between growth and mortality rates characterizes tree species in closed canopy forests. This trade-off is maintained by inherent differences among species and spatial variation in light availability caused by canopy-opening disturbances. We evaluated conditions under which the trade-off is expressed and relationships with four key functional traits for 103 tree species from Barro Colorado Island, Panama. The trade-off is strongest for saplings for growth rates of the fastest growing individuals and mortality rates of the slowest growing individuals (r2 = 0.69), intermediate for saplings for average growth rates and overall mortality rates (r2 = 0.46), and much weaker for large trees (r2 &lt; or = 0.10). This parallels likely levels of spatial variation in light availability, which is greatest for fast- vs. slow-growing saplings and least for large trees with foliage in the forest canopy. Inherent attributes of species contributing to the trade-off include abilities to disperse, acquire resources, grow rapidly, and tolerate shade and other stresses. There is growing interest in the possibility that functional traits might provide insight into such ecological differences and a growing consensus that seed mass (SM), leaf mass per area (LMA), wood density (WD), and maximum height (H(max)) are key traits among forest trees. Seed mass, LMA, WD, and H(max) are predicted to be small for light-demanding species with rapid growth and mortality and large for shade-tolerant species with slow growth and mortality. Six of these trait-demographic rate predictions were realized for saplings; however, with the exception of WD, the relationships were weak (r2 &lt; 0.1 for three and r2 &lt; 0.2 for five of the six remaining relationships). The four traits together explained 43-44% of interspecific variation in species positions on the growth-mortality trade-off; however, WD alone accounted for &gt; 80% of the explained variation and, after WD was included, LMA and H(max) made insignificant contributions. Virtually the full range of values of SM, LMA, and H(max) occurred at all positions on the growth-mortality trade-off. Although WD provides a promising start, a successful trait-based ecology of tropical forest trees will require consideration of additional traits.", "author" : [ { "dropping-particle" : "", "family" : "Wright", "given" : "S Joseph", "non-dropping-particle" : "", "parse-names" : false, "suffix" : "" }, { "dropping-particle" : "", "family" : "Kitajima", "given" : "Kaoru", "non-dropping-particle" : "", "parse-names" : false, "suffix" : "" }, { "dropping-particle" : "", "family" : "Kraft", "given" : "Nathan J B", "non-dropping-particle" : "", "parse-names" : false, "suffix" : "" }, { "dropping-particle" : "", "family" : "Reich", "given" : "Peter B", "non-dropping-particle" : "", "parse-names" : false, "suffix" : "" }, { "dropping-particle" : "", "family" : "Wright", "given" : "Ian J", "non-dropping-particle" : "", "parse-names" : false, "suffix" : "" }, { "dropping-particle" : "", "family" : "Bunker", "given" : "Daniel E", "non-dropping-particle" : "", "parse-names" : false, "suffix" : "" }, { "dropping-particle" : "", "family" : "Condit", "given" : "Richard", "non-dropping-particle" : "", "parse-names" : false, "suffix" : "" }, { "dropping-particle" : "", "family" : "Dalling", "given" : "James W", "non-dropping-particle" : "", "parse-names" : false, "suffix" : "" }, { "dropping-particle" : "", "family" : "Davies", "given" : "Stuart J", "non-dropping-particle" : "", "parse-names" : false, "suffix" : "" }, { "dropping-particle" : "", "family" : "D\u00edaz", "given" : "Sandra", "non-dropping-particle" : "", "parse-names" : false, "suffix" : "" }, { "dropping-particle" : "", "family" : "Engelbrecht", "given" : "Bettina M J", "non-dropping-particle" : "", "parse-names" : false, "suffix" : "" }, { "dropping-particle" : "", "family" : "Harms", "given" : "Kyle E", "non-dropping-particle" : "", "parse-names" : false, "suffix" : "" }, { "dropping-particle" : "", "family" : "Hubbell", "given" : "Stephen P", "non-dropping-particle" : "", "parse-names" : false, "suffix" : "" }, { "dropping-particle" : "", "family" : "Marks", "given" : "Christian O", "non-dropping-particle" : "", "parse-names" : false, "suffix" : "" }, { "dropping-particle" : "", "family" : "Ruiz-Jaen", "given" : "Maria C", "non-dropping-particle" : "", "parse-names" : false, "suffix" : "" }, { "dropping-particle" : "", "family" : "Salvador", "given" : "Cristina M", "non-dropping-particle" : "", "parse-names" : false, "suffix" : "" }, { "dropping-particle" : "", "family" : "Zanne", "given" : "Amy E", "non-dropping-particle" : "", "parse-names" : false, "suffix" : "" } ], "container-title" : "Ecology", "id" : "ITEM-5", "issue" : "12", "issued" : { "date-parts" : [ [ "2010", "12" ] ] }, "page" : "3664-74", "title" : "Functional traits and the growth-mortality trade-off in tropical trees.", "type" : "article-journal", "volume" : "91" }, "uris" : [ "http://www.mendeley.com/documents/?uuid=dcaa5bcb-0a9e-40af-8c6b-a07d23caa8f6" ] } ], "mendeley" : { "previouslyFormattedCitation" : "(King, Davies, Tan, &amp; Noor, 2006; Kraft, Metz, Condit, &amp; Chave, 2010; L Poorter et al., 2008; Lourens Poorter et al., 2010; Wright et al., 2010)" }, "properties" : { "noteIndex" : 0 }, "schema" : "https://github.com/citation-style-language/schema/raw/master/csl-citation.json" }</w:instrText>
      </w:r>
      <w:r w:rsidRPr="00EA700F">
        <w:fldChar w:fldCharType="separate"/>
      </w:r>
      <w:r w:rsidRPr="00EA700F">
        <w:rPr>
          <w:noProof/>
        </w:rPr>
        <w:t>(King, Davies, Tan, &amp; Noor, 2006; Kraft, Metz, Condit, &amp; Chave, 2010; L Poorter et al., 2008; Lourens Poorter et al., 2010; Wright et al., 2010)</w:t>
      </w:r>
      <w:r w:rsidRPr="00EA700F">
        <w:fldChar w:fldCharType="end"/>
      </w:r>
      <w:r w:rsidRPr="00EA700F">
        <w:t xml:space="preserve">, </w:t>
      </w:r>
      <w:r w:rsidR="00EA700F">
        <w:t>although</w:t>
      </w:r>
      <w:r w:rsidRPr="00EA700F">
        <w:t xml:space="preserve"> no such relationship was found in a study of New Zealand tree species </w:t>
      </w:r>
      <w:r w:rsidRPr="00EA700F">
        <w:fldChar w:fldCharType="begin" w:fldLock="1"/>
      </w:r>
      <w:r w:rsidR="00ED02F3">
        <w:instrText>ADDIN CSL_CITATION { "citationItems" : [ { "id" : "ITEM-1", "itemData" : { "DOI" : "10.1111/j.1365-2435.2009.01670.x", "ISSN" : "02698463", "author" : [ { "dropping-particle" : "", "family" : "Russo", "given" : "Sabrina E.", "non-dropping-particle" : "", "parse-names" : false, "suffix" : "" }, { "dropping-particle" : "", "family" : "Jenkins", "given" : "Kerry L.", "non-dropping-particle" : "", "parse-names" : false, "suffix" : "" }, { "dropping-particle" : "", "family" : "Wiser", "given" : "Susan K.", "non-dropping-particle" : "", "parse-names" : false, "suffix" : "" }, { "dropping-particle" : "", "family" : "Uriarte", "given" : "Maria", "non-dropping-particle" : "", "parse-names" : false, "suffix" : "" }, { "dropping-particle" : "", "family" : "Duncan", "given" : "Richard P.", "non-dropping-particle" : "", "parse-names" : false, "suffix" : "" }, { "dropping-particle" : "", "family" : "Coomes", "given" : "David a.", "non-dropping-particle" : "", "parse-names" : false, "suffix" : "" } ], "container-title" : "Functional Ecology", "id" : "ITEM-1", "issue" : "2", "issued" : { "date-parts" : [ [ "2010", "2", "26" ] ] }, "page" : "253-262", "title" : "Interspecific relationships among growth, mortality and xylem traits of woody species from New Zealand", "type" : "article-journal", "volume" : "24" }, "uris" : [ "http://www.mendeley.com/documents/?uuid=1a58977a-e7a7-4822-adfc-47bf9773b6f1" ] } ], "mendeley" : { "previouslyFormattedCitation" : "(Russo et al., 2010)" }, "properties" : { "noteIndex" : 0 }, "schema" : "https://github.com/citation-style-language/schema/raw/master/csl-citation.json" }</w:instrText>
      </w:r>
      <w:r w:rsidRPr="00EA700F">
        <w:fldChar w:fldCharType="separate"/>
      </w:r>
      <w:r w:rsidRPr="00EA700F">
        <w:rPr>
          <w:noProof/>
        </w:rPr>
        <w:t>(Russo et al., 2010)</w:t>
      </w:r>
      <w:r w:rsidRPr="00EA700F">
        <w:fldChar w:fldCharType="end"/>
      </w:r>
      <w:r w:rsidR="00EA700F">
        <w:t xml:space="preserve">. </w:t>
      </w:r>
      <w:r w:rsidRPr="00EA700F">
        <w:t xml:space="preserve">Cohort survival was positively correlated with wood density in the same tropical rainforest studies </w:t>
      </w:r>
      <w:r w:rsidRPr="00EA700F">
        <w:fldChar w:fldCharType="begin" w:fldLock="1"/>
      </w:r>
      <w:r w:rsidR="00ED02F3">
        <w:instrText>ADDIN CSL_CITATION { "citationItems" : [ { "id" : "ITEM-1", "itemData" : { "DOI" : "10.1111/j.1469-8137.2009.03092.x", "ISSN" : "1469-8137", "PMID" : "19925555", "abstract" : "*In a comparative study of 42 rainforest tree species we examined relationships amongst wood traits, diameter growth and survival of large trees in the field, and shade tolerance and adult stature of the species. *The species show two orthogonal axes of trait variation: a primary axis related to the vessel size-number trade-off (reflecting investment in hydraulic conductance vs hydraulic safety) and a secondary axis related to investment in parenchyma vs fibres (storage vs strength). Across species, growth rate was positively related to vessel diameter and potential specific hydraulic conductance (K(p)), and negatively related to wood density. Survival rate was only positively related to wood density. *Light-demanding species were characterized by low wood and vessel density and wide vessels. Tall species were characterized by wide vessels with low density and large K(p). Hydraulic traits were more closely associated with adult stature than with light demand, possibly because tall canopy species experience more drought stress and face a higher cavitation risk. *Vessel traits affect growth and wood density affects growth and survival of large trees in the field. Vessel traits and wood density are therefore important components of the performance and life history strategies of tropical tree species.", "author" : [ { "dropping-particle" : "", "family" : "Poorter", "given" : "Lourens", "non-dropping-particle" : "", "parse-names" : false, "suffix" : "" }, { "dropping-particle" : "", "family" : "McDonald", "given" : "Imole", "non-dropping-particle" : "", "parse-names" : false, "suffix" : "" }, { "dropping-particle" : "", "family" : "Alarc\u00f3n", "given" : "Alfredo", "non-dropping-particle" : "", "parse-names" : false, "suffix" : "" }, { "dropping-particle" : "", "family" : "Fichtler", "given" : "Esther", "non-dropping-particle" : "", "parse-names" : false, "suffix" : "" }, { "dropping-particle" : "", "family" : "Licona", "given" : "Juan-Carlos", "non-dropping-particle" : "", "parse-names" : false, "suffix" : "" }, { "dropping-particle" : "", "family" : "Pe\u00f1a-Claros", "given" : "Marielos", "non-dropping-particle" : "", "parse-names" : false, "suffix" : "" }, { "dropping-particle" : "", "family" : "Sterck", "given" : "Frank", "non-dropping-particle" : "", "parse-names" : false, "suffix" : "" }, { "dropping-particle" : "", "family" : "Villegas", "given" : "Zulma", "non-dropping-particle" : "", "parse-names" : false, "suffix" : "" }, { "dropping-particle" : "", "family" : "Sass-Klaassen", "given" : "Ute", "non-dropping-particle" : "", "parse-names" : false, "suffix" : "" } ], "container-title" : "The New phytologist", "id" : "ITEM-1", "issue" : "2", "issued" : { "date-parts" : [ [ "2010", "1" ] ] }, "page" : "481-92", "title" : "The importance of wood traits and hydraulic conductance for the performance and life history strategies of 42 rainforest tree species.", "type" : "article-journal", "volume" : "185" }, "uris" : [ "http://www.mendeley.com/documents/?uuid=ffb2a50c-7b7f-4105-a782-19dc7ba28157" ] }, { "id" : "ITEM-2", "itemData" : { "ISSN" : "0012-9658", "PMID" : "18705377", "abstract" : "A central goal of comparative plant ecology is to understand how functional traits vary among species and to what extent this variation has adaptive value. Here we evaluate relationships between four functional traits (seed volume, specific leaf area, wood density, and adult stature) and two demographic attributes (diameter growth and tree mortality) for large trees of 240 tree species from five Neotropical forests. We evaluate how these key functional traits are related to survival and growth and whether similar relationships between traits and demography hold across different tropical forests. There was a tendency for a trade-off between growth and survival across rain forest tree species. Wood density, seed volume, and adult stature were significant predictors of growth and/or mortality. Both growth and mortality rates declined with an increase in wood density. This is consistent with greater construction costs and greater resistance to stem damage for denser wood. Growth and mortality rates also declined as seed volume increased. This is consistent with an adaptive syndrome in which species tolerant of low resource availability (in this case shade-tolerant species) have large seeds to establish successfully and low inherent growth and mortality rates. Growth increased and mortality decreased with an increase in adult stature, because taller species have a greater access to light and longer life spans. Specific leaf area was, surprisingly, only modestly informative for the performance of large trees and had ambiguous relationships with growth and survival. Single traits accounted for 9-55% of the interspecific variation in growth and mortality rates at individual sites. Significant correlations with demographic rates tended to be similar across forests and for phylogenetically independent contrasts as well as for cross-species analyses that treated each species as an independent observation. In combination, the morphological traits explained 41% of the variation in growth rate and 54% of the variation in mortality rate, with wood density being the best predictor of growth and mortality. Relationships between functional traits and demographic rates were statistically similar across a wide range of Neotropical forests. The consistency of these results strongly suggests that tropical rain forest species face similar trade-offs in different sites and converge on similar sets of solutions.", "author" : [ { "dropping-particle" : "", "family" : "Poorter", "given" : "L", "non-dropping-particle" : "", "parse-names" : false, "suffix" : "" }, { "dropping-particle" : "", "family" : "Wright", "given" : "S J", "non-dropping-particle" : "", "parse-names" : false, "suffix" : "" }, { "dropping-particle" : "", "family" : "Paz", "given" : "H", "non-dropping-particle" : "", "parse-names" : false, "suffix" : "" }, { "dropping-particle" : "", "family" : "Ackerly", "given" : "D D", "non-dropping-particle" : "", "parse-names" : false, "suffix" : "" }, { "dropping-particle" : "", "family" : "Condit", "given" : "R", "non-dropping-particle" : "", "parse-names" : false, "suffix" : "" }, { "dropping-particle" : "", "family" : "Ibarra-Manr\u00edquez", "given" : "G", "non-dropping-particle" : "", "parse-names" : false, "suffix" : "" }, { "dropping-particle" : "", "family" : "Harms", "given" : "K E", "non-dropping-particle" : "", "parse-names" : false, "suffix" : "" }, { "dropping-particle" : "", "family" : "Licona", "given" : "J C", "non-dropping-particle" : "", "parse-names" : false, "suffix" : "" }, { "dropping-particle" : "", "family" : "Mart\u00ednez-Ramos", "given" : "M", "non-dropping-particle" : "", "parse-names" : false, "suffix" : "" }, { "dropping-particle" : "", "family" : "Mazer", "given" : "S J", "non-dropping-particle" : "", "parse-names" : false, "suffix" : "" }, { "dropping-particle" : "", "family" : "Muller-Landau", "given" : "H C", "non-dropping-particle" : "", "parse-names" : false, "suffix" : "" }, { "dropping-particle" : "", "family" : "Pe\u00f1a-Claros", "given" : "M", "non-dropping-particle" : "", "parse-names" : false, "suffix" : "" }, { "dropping-particle" : "", "family" : "Webb", "given" : "C O", "non-dropping-particle" : "", "parse-names" : false, "suffix" : "" }, { "dropping-particle" : "", "family" : "Wright", "given" : "I J", "non-dropping-particle" : "", "parse-names" : false, "suffix" : "" } ], "container-title" : "Ecology", "id" : "ITEM-2", "issue" : "7", "issued" : { "date-parts" : [ [ "2008", "7" ] ] }, "page" : "1908-20", "title" : "Are functional traits good predictors of demographic rates? Evidence from five neotropical forests.", "type" : "article-journal", "volume" : "89" }, "uris" : [ "http://www.mendeley.com/documents/?uuid=c8b2cd40-7dd7-40a1-a537-0c9452d12246" ] }, { "id" : "ITEM-3", "itemData" : { "DOI" : "10.1111/j.1365-2745.2006.01112.x", "ISSN" : "00220477", "author" : [ { "dropping-particle" : "", "family" : "King", "given" : "David a.", "non-dropping-particle" : "", "parse-names" : false, "suffix" : "" }, { "dropping-particle" : "", "family" : "Davies", "given" : "Stuart J.", "non-dropping-particle" : "", "parse-names" : false, "suffix" : "" }, { "dropping-particle" : "", "family" : "Tan", "given" : "Sylvester", "non-dropping-particle" : "", "parse-names" : false, "suffix" : "" }, { "dropping-particle" : "", "family" : "Noor", "given" : "Nur Supardi Md.", "non-dropping-particle" : "", "parse-names" : false, "suffix" : "" } ], "container-title" : "Journal of Ecology", "id" : "ITEM-3", "issue" : "3", "issued" : { "date-parts" : [ [ "2006", "3", "3" ] ] }, "page" : "670-680", "title" : "The role of wood density and stem support costs in the growth and mortality of tropical trees", "type" : "article-journal", "volume" : "94" }, "uris" : [ "http://www.mendeley.com/documents/?uuid=7463ba26-6e62-43e6-a6d3-affc9e1957b3" ] }, { "id" : "ITEM-4", "itemData" : { "DOI" : "10.1111/j.1469-8137.2010.03444.x", "ISSN" : "1469-8137", "PMID" : "21058950", "abstract" : "Wood density is thought to be an important indicator of plant life history because it is coupled to many aspects of whole-plant form and function. We used a hierarchical Bayesian approach to explain variation in mortality rates with wood density, drawing on data for 765,500 trees from 1639 species at 10 sites located across the Old and New World tropics. Mortality rates declined with increasing wood density at five of 10 sites. Similar negative trends were detected at four additional sites, while one site showed no relationship. Our model explained 40% of variation in mortality on average. Both wood density and mortality rates show a high degree of phylogenetic conservatism. Grouping species by family across sites in a second analysis, we found considerable variation in the relationship between wood density and mortality, with 10 of 27 families demonstrating a strong negative relationship. Our results highlight the importance of wood density as a functional trait in tropical forests, as it is strongly linked to variation in survival. However, the relationship varied among families, plots, and even census intervals within sites, indicating that the factors responsible for the relationship between wood density and mortality vary spatially, taxonomically and temporally.", "author" : [ { "dropping-particle" : "", "family" : "Kraft", "given" : "Nathan J B", "non-dropping-particle" : "", "parse-names" : false, "suffix" : "" }, { "dropping-particle" : "", "family" : "Metz", "given" : "Margaret R", "non-dropping-particle" : "", "parse-names" : false, "suffix" : "" }, { "dropping-particle" : "", "family" : "Condit", "given" : "Richard S", "non-dropping-particle" : "", "parse-names" : false, "suffix" : "" }, { "dropping-particle" : "", "family" : "Chave", "given" : "J\u00e9r\u00f4me", "non-dropping-particle" : "", "parse-names" : false, "suffix" : "" } ], "container-title" : "The New phytologist", "id" : "ITEM-4", "issue" : "4", "issued" : { "date-parts" : [ [ "2010", "12" ] ] }, "page" : "1124-36", "title" : "The relationship between wood density and mortality in a global tropical forest data set.", "type" : "article-journal", "volume" : "188" }, "uris" : [ "http://www.mendeley.com/documents/?uuid=43feb396-5c8c-4182-9ab6-2cdcaf46da46" ] }, { "id" : "ITEM-5", "itemData" : { "ISSN" : "0012-9658", "PMID" : "21302837", "abstract" : "A trade-off between growth and mortality rates characterizes tree species in closed canopy forests. This trade-off is maintained by inherent differences among species and spatial variation in light availability caused by canopy-opening disturbances. We evaluated conditions under which the trade-off is expressed and relationships with four key functional traits for 103 tree species from Barro Colorado Island, Panama. The trade-off is strongest for saplings for growth rates of the fastest growing individuals and mortality rates of the slowest growing individuals (r2 = 0.69), intermediate for saplings for average growth rates and overall mortality rates (r2 = 0.46), and much weaker for large trees (r2 &lt; or = 0.10). This parallels likely levels of spatial variation in light availability, which is greatest for fast- vs. slow-growing saplings and least for large trees with foliage in the forest canopy. Inherent attributes of species contributing to the trade-off include abilities to disperse, acquire resources, grow rapidly, and tolerate shade and other stresses. There is growing interest in the possibility that functional traits might provide insight into such ecological differences and a growing consensus that seed mass (SM), leaf mass per area (LMA), wood density (WD), and maximum height (H(max)) are key traits among forest trees. Seed mass, LMA, WD, and H(max) are predicted to be small for light-demanding species with rapid growth and mortality and large for shade-tolerant species with slow growth and mortality. Six of these trait-demographic rate predictions were realized for saplings; however, with the exception of WD, the relationships were weak (r2 &lt; 0.1 for three and r2 &lt; 0.2 for five of the six remaining relationships). The four traits together explained 43-44% of interspecific variation in species positions on the growth-mortality trade-off; however, WD alone accounted for &gt; 80% of the explained variation and, after WD was included, LMA and H(max) made insignificant contributions. Virtually the full range of values of SM, LMA, and H(max) occurred at all positions on the growth-mortality trade-off. Although WD provides a promising start, a successful trait-based ecology of tropical forest trees will require consideration of additional traits.", "author" : [ { "dropping-particle" : "", "family" : "Wright", "given" : "S Joseph", "non-dropping-particle" : "", "parse-names" : false, "suffix" : "" }, { "dropping-particle" : "", "family" : "Kitajima", "given" : "Kaoru", "non-dropping-particle" : "", "parse-names" : false, "suffix" : "" }, { "dropping-particle" : "", "family" : "Kraft", "given" : "Nathan J B", "non-dropping-particle" : "", "parse-names" : false, "suffix" : "" }, { "dropping-particle" : "", "family" : "Reich", "given" : "Peter B", "non-dropping-particle" : "", "parse-names" : false, "suffix" : "" }, { "dropping-particle" : "", "family" : "Wright", "given" : "Ian J", "non-dropping-particle" : "", "parse-names" : false, "suffix" : "" }, { "dropping-particle" : "", "family" : "Bunker", "given" : "Daniel E", "non-dropping-particle" : "", "parse-names" : false, "suffix" : "" }, { "dropping-particle" : "", "family" : "Condit", "given" : "Richard", "non-dropping-particle" : "", "parse-names" : false, "suffix" : "" }, { "dropping-particle" : "", "family" : "Dalling", "given" : "James W", "non-dropping-particle" : "", "parse-names" : false, "suffix" : "" }, { "dropping-particle" : "", "family" : "Davies", "given" : "Stuart J", "non-dropping-particle" : "", "parse-names" : false, "suffix" : "" }, { "dropping-particle" : "", "family" : "D\u00edaz", "given" : "Sandra", "non-dropping-particle" : "", "parse-names" : false, "suffix" : "" }, { "dropping-particle" : "", "family" : "Engelbrecht", "given" : "Bettina M J", "non-dropping-particle" : "", "parse-names" : false, "suffix" : "" }, { "dropping-particle" : "", "family" : "Harms", "given" : "Kyle E", "non-dropping-particle" : "", "parse-names" : false, "suffix" : "" }, { "dropping-particle" : "", "family" : "Hubbell", "given" : "Stephen P", "non-dropping-particle" : "", "parse-names" : false, "suffix" : "" }, { "dropping-particle" : "", "family" : "Marks", "given" : "Christian O", "non-dropping-particle" : "", "parse-names" : false, "suffix" : "" }, { "dropping-particle" : "", "family" : "Ruiz-Jaen", "given" : "Maria C", "non-dropping-particle" : "", "parse-names" : false, "suffix" : "" }, { "dropping-particle" : "", "family" : "Salvador", "given" : "Cristina M", "non-dropping-particle" : "", "parse-names" : false, "suffix" : "" }, { "dropping-particle" : "", "family" : "Zanne", "given" : "Amy E", "non-dropping-particle" : "", "parse-names" : false, "suffix" : "" } ], "container-title" : "Ecology", "id" : "ITEM-5", "issue" : "12", "issued" : { "date-parts" : [ [ "2010", "12" ] ] }, "page" : "3664-74", "title" : "Functional traits and the growth-mortality trade-off in tropical trees.", "type" : "article-journal", "volume" : "91" }, "uris" : [ "http://www.mendeley.com/documents/?uuid=dcaa5bcb-0a9e-40af-8c6b-a07d23caa8f6" ] } ], "mendeley" : { "previouslyFormattedCitation" : "(King et al., 2006; Kraft et al., 2010; L Poorter et al., 2008; Lourens Poorter et al., 2010; Wright et al., 2010)" }, "properties" : { "noteIndex" : 0 }, "schema" : "https://github.com/citation-style-language/schema/raw/master/csl-citation.json" }</w:instrText>
      </w:r>
      <w:r w:rsidRPr="00EA700F">
        <w:fldChar w:fldCharType="separate"/>
      </w:r>
      <w:r w:rsidRPr="00EA700F">
        <w:rPr>
          <w:noProof/>
        </w:rPr>
        <w:t>(King et al., 2006; Kraft et al., 2010; L Poorter et al., 2008; Lourens Poorter et al., 2010; Wright et al., 2010)</w:t>
      </w:r>
      <w:r w:rsidRPr="00EA700F">
        <w:fldChar w:fldCharType="end"/>
      </w:r>
      <w:r w:rsidRPr="00EA700F">
        <w:t xml:space="preserve">. </w:t>
      </w:r>
      <w:r w:rsidR="00EA700F" w:rsidRPr="00EA700F">
        <w:t xml:space="preserve">In a study of 45 rainforest species in tropical Queensland, </w:t>
      </w:r>
      <w:r w:rsidR="00EA700F" w:rsidRPr="00EA700F">
        <w:fldChar w:fldCharType="begin" w:fldLock="1"/>
      </w:r>
      <w:r w:rsidR="00ED02F3">
        <w:instrText>ADDIN CSL_CITATION { "citationItems" : [ { "id" : "ITEM-1", "itemData" : { "DOI" : "10.1111/j.1365-2745.2005.00992.x", "author" : [ { "dropping-particle" : "", "family" : "Falster", "given" : "DS", "non-dropping-particle" : "", "parse-names" : false, "suffix" : "" }, { "dropping-particle" : "", "family" : "Westoby", "given" : "Mark", "non-dropping-particle" : "", "parse-names" : false, "suffix" : "" } ], "container-title" : "Journal of Ecology", "id" : "ITEM-1", "issued" : { "date-parts" : [ [ "2005" ] ] }, "page" : "521-535", "title" : "Alternative height strategies among 45 dicot rain forest species from tropical Queensland, Australia", "type" : "article-journal", "volume" : "93" }, "uris" : [ "http://www.mendeley.com/documents/?uuid=366c81ca-ca55-4422-8b94-c9a2ce5cd7c6" ] } ], "mendeley" : { "manualFormatting" : " Falster and Westoby (2005)", "previouslyFormattedCitation" : "(D. Falster &amp; Westoby, 2005)" }, "properties" : { "noteIndex" : 0 }, "schema" : "https://github.com/citation-style-language/schema/raw/master/csl-citation.json" }</w:instrText>
      </w:r>
      <w:r w:rsidR="00EA700F" w:rsidRPr="00EA700F">
        <w:fldChar w:fldCharType="separate"/>
      </w:r>
      <w:r w:rsidR="00EA700F" w:rsidRPr="00EA700F">
        <w:rPr>
          <w:noProof/>
        </w:rPr>
        <w:t xml:space="preserve"> Falster and Westoby (2005)</w:t>
      </w:r>
      <w:r w:rsidR="00EA700F" w:rsidRPr="00EA700F">
        <w:fldChar w:fldCharType="end"/>
      </w:r>
      <w:r w:rsidR="00EA700F" w:rsidRPr="00EA700F">
        <w:t xml:space="preserve"> found that wood density increased with plant height along a successional gradient. </w:t>
      </w:r>
      <w:r w:rsidRPr="00EA700F">
        <w:t xml:space="preserve">Following disturbance caused by a large cyclone in northern Queensland, Australia, </w:t>
      </w:r>
      <w:proofErr w:type="gramStart"/>
      <w:r w:rsidRPr="00EA700F">
        <w:t>wood</w:t>
      </w:r>
      <w:proofErr w:type="gramEnd"/>
      <w:r w:rsidRPr="00EA700F">
        <w:t xml:space="preserve"> density of rainforest trees was indicative of both damage sustained and subsequent recovery of biomass. Trees with dense wood were more likely to have experienced only minor damage, while of those trees that experienced major stem and branch damage, lower wood density trees were more likely to </w:t>
      </w:r>
      <w:proofErr w:type="spellStart"/>
      <w:r w:rsidRPr="00EA700F">
        <w:t>resprout</w:t>
      </w:r>
      <w:proofErr w:type="spellEnd"/>
      <w:r w:rsidRPr="00EA700F">
        <w:t xml:space="preserve"> and recover biomass faster post-disturbance </w:t>
      </w:r>
      <w:r w:rsidRPr="00EA700F">
        <w:fldChar w:fldCharType="begin" w:fldLock="1"/>
      </w:r>
      <w:r w:rsidR="00ED02F3">
        <w:instrText>ADDIN CSL_CITATION { "citationItems" : [ { "id" : "ITEM-1", "itemData" : { "DOI" : "10.1111/j.1442-9993.2008.01899.x", "ISSN" : "1442-9985", "author" : [ { "dropping-particle" : "", "family" : "Curran", "given" : "Timothy J.", "non-dropping-particle" : "", "parse-names" : false, "suffix" : "" }, { "dropping-particle" : "", "family" : "Gersbach", "given" : "Lauren N.", "non-dropping-particle" : "", "parse-names" : false, "suffix" : "" }, { "dropping-particle" : "", "family" : "Edwards", "given" : "Will", "non-dropping-particle" : "", "parse-names" : false, "suffix" : "" }, { "dropping-particle" : "", "family" : "Krockenberger", "given" : "Andrew K.", "non-dropping-particle" : "", "parse-names" : false, "suffix" : "" } ], "container-title" : "Austral Ecology", "id" : "ITEM-1", "issue" : "4", "issued" : { "date-parts" : [ [ "2008", "6" ] ] }, "page" : "442-450", "title" : "Wood density predicts plant damage and vegetative recovery rates caused by cyclone disturbance in tropical rainforest tree species of North Queensland, Australia", "type" : "article-journal", "volume" : "33" }, "uris" : [ "http://www.mendeley.com/documents/?uuid=5bad1807-dfdb-47c8-a8f9-995d7bd17b33" ] } ], "mendeley" : { "previouslyFormattedCitation" : "(Curran, Gersbach, Edwards, &amp; Krockenberger, 2008)" }, "properties" : { "noteIndex" : 0 }, "schema" : "https://github.com/citation-style-language/schema/raw/master/csl-citation.json" }</w:instrText>
      </w:r>
      <w:r w:rsidRPr="00EA700F">
        <w:fldChar w:fldCharType="separate"/>
      </w:r>
      <w:r w:rsidRPr="00EA700F">
        <w:rPr>
          <w:noProof/>
        </w:rPr>
        <w:t>(Curran, Gersbach, Edwards, &amp; Krockenberger, 2008)</w:t>
      </w:r>
      <w:r w:rsidRPr="00EA700F">
        <w:fldChar w:fldCharType="end"/>
      </w:r>
      <w:r w:rsidRPr="00EA700F">
        <w:t xml:space="preserve">. Thus it seems likely that these observed relationships between wood density and recovery from disturbance at the individual level, as well as post-disturbance succession at the community level, </w:t>
      </w:r>
      <w:r w:rsidR="00CD354D">
        <w:t>should also</w:t>
      </w:r>
      <w:r w:rsidRPr="00EA700F">
        <w:t xml:space="preserve"> be true for riparian systems. </w:t>
      </w:r>
    </w:p>
    <w:p w14:paraId="06673F74" w14:textId="6DB2FE58" w:rsidR="00B634E6" w:rsidRPr="00EA700F" w:rsidRDefault="00621641" w:rsidP="00A22B81">
      <w:pPr>
        <w:spacing w:line="360" w:lineRule="auto"/>
        <w:jc w:val="both"/>
      </w:pPr>
      <w:r>
        <w:t>While riparian plants have the best access to water in a landscape, dramatic fluctuations in soil moisture are often characteristic of the riparian environment. Ecological strategies for coping with intermittent water scarcity may therefore be adaptive under these conditions. The relationship between wood density and precipitation-driven patterns of soil moisture is unclear. S</w:t>
      </w:r>
      <w:r w:rsidR="00B634E6" w:rsidRPr="00EA700F">
        <w:t>ome studies (</w:t>
      </w:r>
      <w:proofErr w:type="spellStart"/>
      <w:r w:rsidR="00B634E6" w:rsidRPr="00EA700F">
        <w:fldChar w:fldCharType="begin" w:fldLock="1"/>
      </w:r>
      <w:r w:rsidR="00ED02F3">
        <w:instrText>ADDIN CSL_CITATION { "citationItems" : [ { "id" : "ITEM-1", "itemData" : { "author" : [ { "dropping-particle" : "", "family" : "Weimann", "given" : "MC", "non-dropping-particle" : "", "parse-names" : false, "suffix" : "" }, { "dropping-particle" : "", "family" : "Williamson", "given" : "GB", "non-dropping-particle" : "", "parse-names" : false, "suffix" : "" } ], "container-title" : "Wood and Fiber Science", "id" : "ITEM-1", "issue" : "1", "issued" : { "date-parts" : [ [ "2002" ] ] }, "page" : "96-107", "title" : "Geographic variation in wood specific gravity: effects of latitude, temperature and precipitation", "type" : "article-journal", "volume" : "34" }, "uris" : [ "http://www.mendeley.com/documents/?uuid=dd959046-ae69-4011-a05b-c4a8606fb7dc" ] } ], "mendeley" : { "manualFormatting" : "Weimann &amp; Williamson, 2002", "previouslyFormattedCitation" : "(Weimann &amp; Williamson, 2002)" }, "properties" : { "noteIndex" : 0 }, "schema" : "https://github.com/citation-style-language/schema/raw/master/csl-citation.json" }</w:instrText>
      </w:r>
      <w:r w:rsidR="00B634E6" w:rsidRPr="00EA700F">
        <w:fldChar w:fldCharType="separate"/>
      </w:r>
      <w:r w:rsidR="00B634E6" w:rsidRPr="00EA700F">
        <w:rPr>
          <w:noProof/>
        </w:rPr>
        <w:t>Weimann</w:t>
      </w:r>
      <w:proofErr w:type="spellEnd"/>
      <w:r w:rsidR="00B634E6" w:rsidRPr="00EA700F">
        <w:rPr>
          <w:noProof/>
        </w:rPr>
        <w:t xml:space="preserve"> &amp; Williamson, 2002</w:t>
      </w:r>
      <w:r w:rsidR="00B634E6" w:rsidRPr="00EA700F">
        <w:fldChar w:fldCharType="end"/>
      </w:r>
      <w:r w:rsidR="00B634E6" w:rsidRPr="00EA700F">
        <w:t xml:space="preserve">; </w:t>
      </w:r>
      <w:r w:rsidR="00B634E6" w:rsidRPr="00EA700F">
        <w:fldChar w:fldCharType="begin" w:fldLock="1"/>
      </w:r>
      <w:r w:rsidR="00ED02F3">
        <w:instrText>ADDIN CSL_CITATION { "citationItems" : [ { "id" : "ITEM-1", "itemData" : { "author" : [ { "dropping-particle" : "", "family" : "Swenson", "given" : "NG", "non-dropping-particle" : "", "parse-names" : false, "suffix" : "" }, { "dropping-particle" : "", "family" : "Enquist", "given" : "BJ", "non-dropping-particle" : "", "parse-names" : false, "suffix" : "" } ], "container-title" : "American Journal of Botany", "id" : "ITEM-1", "issue" : "3", "issued" : { "date-parts" : [ [ "2007" ] ] }, "page" : "451-459", "title" : "Ecological and evolutionary determinants of a key plant functional trait: wood density and its community-wide variation across latitude and elevation", "type" : "article-journal", "volume" : "94" }, "uris" : [ "http://www.mendeley.com/documents/?uuid=23df7a9c-de1c-4526-afd8-5318240b5a61" ] } ], "mendeley" : { "manualFormatting" : "Swenson &amp; Enquist, 2007)", "previouslyFormattedCitation" : "(Swenson &amp; Enquist, 2007)" }, "properties" : { "noteIndex" : 0 }, "schema" : "https://github.com/citation-style-language/schema/raw/master/csl-citation.json" }</w:instrText>
      </w:r>
      <w:r w:rsidR="00B634E6" w:rsidRPr="00EA700F">
        <w:fldChar w:fldCharType="separate"/>
      </w:r>
      <w:r w:rsidR="00B634E6" w:rsidRPr="00EA700F">
        <w:rPr>
          <w:noProof/>
        </w:rPr>
        <w:t>Swenson &amp; Enquist, 2007)</w:t>
      </w:r>
      <w:r w:rsidR="00B634E6" w:rsidRPr="00EA700F">
        <w:fldChar w:fldCharType="end"/>
      </w:r>
      <w:r w:rsidR="00B634E6" w:rsidRPr="00EA700F">
        <w:t>, found little relationship between wood density and rainfall while others (</w:t>
      </w:r>
      <w:proofErr w:type="spellStart"/>
      <w:r w:rsidR="00B634E6" w:rsidRPr="00EA700F">
        <w:fldChar w:fldCharType="begin" w:fldLock="1"/>
      </w:r>
      <w:r w:rsidR="00ED02F3">
        <w:instrText>ADDIN CSL_CITATION { "citationItems" : [ { "id" : "ITEM-1", "itemData" : { "DOI" : "10.3732/ajb.0800237", "ISSN" : "0002-9122", "PMID" : "21628286", "abstract" : "Wood density plays a key role in ecological strategies and life history variation in woody plants, but little is known about its anatomical basis in shrubs. We quantified the relationships between wood density, anatomy, and climate in 61 shrub species from eight field sites along latitudinal belts between 31\u00b0 and 35\u00b0 in North and South America. Measurements included cell dimensions, transverse areas of each xylem cell type and percentage contact between different cell types and vessels. Wood density was more significantly correlated with precipitation and aridity than with temperature. High wood density was achieved through reductions in cell size and increases in the proportion of wall relative to lumen. Wood density was independent of vessel traits, suggesting that this trait does not impose conduction limitations in shrubs. The proportion of fibers in direct contact with vessels decreased with and was independent of wood density, indicating that the number of fiber-vessel contacts does not explain the previously observed correlation between wood density and implosion resistance. Axial and radial parenchyma each had a significant but opposite association with wood density. Fiber size and wall thickness link wood density, life history, and ecological strategies by controlling the proportion of carbon invested per unit stem volume.", "author" : [ { "dropping-particle" : "", "family" : "Mart\u00ednez-Cabrera", "given" : "Hugo I", "non-dropping-particle" : "", "parse-names" : false, "suffix" : "" }, { "dropping-particle" : "", "family" : "Jones", "given" : "Cynthia S", "non-dropping-particle" : "", "parse-names" : false, "suffix" : "" }, { "dropping-particle" : "", "family" : "Espino", "given" : "Susana", "non-dropping-particle" : "", "parse-names" : false, "suffix" : "" }, { "dropping-particle" : "", "family" : "Schenk", "given" : "H Jochen", "non-dropping-particle" : "", "parse-names" : false, "suffix" : "" } ], "container-title" : "American journal of botany", "id" : "ITEM-1", "issue" : "8", "issued" : { "date-parts" : [ [ "2009", "8" ] ] }, "page" : "1388-98", "title" : "Wood anatomy and wood density in shrubs: Responses to varying aridity along transcontinental transects.", "type" : "article-journal", "volume" : "96" }, "uris" : [ "http://www.mendeley.com/documents/?uuid=6ba3838e-de58-4526-a9a6-eeb0cea712c1" ] } ], "mendeley" : { "manualFormatting" : "Mart\u00ednez-Cabrera, Jones, Espino, &amp; Schenk, 2009", "previouslyFormattedCitation" : "(Mart\u00ednez-Cabrera, Jones, Espino, &amp; Schenk, 2009)" }, "properties" : { "noteIndex" : 0 }, "schema" : "https://github.com/citation-style-language/schema/raw/master/csl-citation.json" }</w:instrText>
      </w:r>
      <w:r w:rsidR="00B634E6" w:rsidRPr="00EA700F">
        <w:fldChar w:fldCharType="separate"/>
      </w:r>
      <w:r w:rsidR="00B634E6" w:rsidRPr="00EA700F">
        <w:rPr>
          <w:noProof/>
        </w:rPr>
        <w:t>Martínez</w:t>
      </w:r>
      <w:proofErr w:type="spellEnd"/>
      <w:r w:rsidR="00B634E6" w:rsidRPr="00EA700F">
        <w:rPr>
          <w:noProof/>
        </w:rPr>
        <w:t>-Cabrera, Jones, Espino, &amp; Schenk, 2009</w:t>
      </w:r>
      <w:r w:rsidR="00B634E6" w:rsidRPr="00EA700F">
        <w:fldChar w:fldCharType="end"/>
      </w:r>
      <w:r w:rsidR="00B634E6" w:rsidRPr="00EA700F">
        <w:t xml:space="preserve">; </w:t>
      </w:r>
      <w:r w:rsidR="00B634E6" w:rsidRPr="00EA700F">
        <w:fldChar w:fldCharType="begin" w:fldLock="1"/>
      </w:r>
      <w:r w:rsidR="00ED02F3">
        <w:instrText>ADDIN CSL_CITATION { "citationItems" : [ { "id" : "ITEM-1", "itemData" : { "DOI" : "10.1111/j.1469-8137.2006.01712.x", "ISSN" : "0028-646X", "PMID" : "16684240", "abstract" : "Wood density and vessel characteristics are functionally interrelated, yet they may have distinct ecological associations. In a comparative study of 51 angiosperm species ranging from chaparral shrubs to riparian trees, we examined relationships among wood density and vessel traits and their ecological correlates. Mean vessel lumen area and vessel density (number mm(-2)) varied widely (7- to 10-fold). In multivariate analyses, both vessel traits were negatively correlated with wood density, which varied more narrowly (&lt; 2-fold). Vessel density and lumen area were inversely related across species, allowing a broad range of vessel traits within a narrow range of wood density. Phylogenetic independent contrasts indicated correlated inverse evolutionary change in vessel traits. Each trait had a distinct pattern of ecological correlation -- wood density was most strongly associated with soil water, and vessel traits showed contrasting relationships with plant height. Within a narrow range of wood density, there was significant variation in vessel traits. Given their particular ecological associations, the results suggest that wood density and vessel traits describe two distinct ecological axes.", "author" : [ { "dropping-particle" : "", "family" : "Preston", "given" : "Katherine a", "non-dropping-particle" : "", "parse-names" : false, "suffix" : "" }, { "dropping-particle" : "", "family" : "Cornwell", "given" : "William K", "non-dropping-particle" : "", "parse-names" : false, "suffix" : "" }, { "dropping-particle" : "", "family" : "Denoyer", "given" : "Jeanne L", "non-dropping-particle" : "", "parse-names" : false, "suffix" : "" } ], "container-title" : "The New phytologist", "id" : "ITEM-1", "issue" : "4", "issued" : { "date-parts" : [ [ "2006", "1" ] ] }, "page" : "807-18", "title" : "Wood density and vessel traits as distinct correlates of ecological strategy in 51 California coast range angiosperms.", "type" : "article-journal", "volume" : "170" }, "uris" : [ "http://www.mendeley.com/documents/?uuid=4746b3ea-46fc-402e-b099-ff53e1a1d433" ] } ], "mendeley" : { "manualFormatting" : "Preston et al., 2006", "previouslyFormattedCitation" : "(Preston, Cornwell, &amp; Denoyer, 2006)" }, "properties" : { "noteIndex" : 0 }, "schema" : "https://github.com/citation-style-language/schema/raw/master/csl-citation.json" }</w:instrText>
      </w:r>
      <w:r w:rsidR="00B634E6" w:rsidRPr="00EA700F">
        <w:fldChar w:fldCharType="separate"/>
      </w:r>
      <w:r w:rsidR="00B634E6" w:rsidRPr="00EA700F">
        <w:rPr>
          <w:noProof/>
        </w:rPr>
        <w:t>Preston et al., 2006</w:t>
      </w:r>
      <w:r w:rsidR="00B634E6" w:rsidRPr="00EA700F">
        <w:fldChar w:fldCharType="end"/>
      </w:r>
      <w:r w:rsidR="00B634E6" w:rsidRPr="00EA700F">
        <w:t xml:space="preserve">), found that wood density was correlated with mean annual precipitation across a transcontinental gradient, and with soil moisture, respectively. High </w:t>
      </w:r>
      <w:r w:rsidR="00B634E6" w:rsidRPr="00621641">
        <w:t>wood density, along with low SLA and low maximum height, has been associated with environmental stress tolerance and conservative use of resources</w:t>
      </w:r>
      <w:r w:rsidR="00CD354D">
        <w:t xml:space="preserve"> </w:t>
      </w:r>
      <w:r w:rsidR="00CD354D">
        <w:fldChar w:fldCharType="begin" w:fldLock="1"/>
      </w:r>
      <w:r w:rsidR="00ED02F3">
        <w:instrText>ADDIN CSL_CITATION { "citationItems" : [ { "id" : "ITEM-1", "itemData" : { "author" : [ { "dropping-particle" : "", "family" : "Reich", "given" : "PB", "non-dropping-particle" : "", "parse-names" : false, "suffix" : "" }, { "dropping-particle" : "", "family" : "Wright", "given" : "IJ", "non-dropping-particle" : "", "parse-names" : false, "suffix" : "" } ], "container-title" : "International Journal of Plant Sciences", "id" : "ITEM-1", "issue" : "May 2003", "issued" : { "date-parts" : [ [ "2003" ] ] }, "page" : "146-164", "title" : "The evolution of plant functional variation: traits, spectra, and strategies", "type" : "article-journal", "volume" : "164" }, "uris" : [ "http://www.mendeley.com/documents/?uuid=412ecbde-b1e4-4fcd-a62c-486cbc8ecce1" ] }, { "id" : "ITEM-2", "itemData" : { "author" : [ { "dropping-particle" : "", "family" : "Westoby", "given" : "Mark", "non-dropping-particle" : "", "parse-names" : false, "suffix" : "" } ], "container-title" : "Plant and Soil", "id" : "ITEM-2", "issue" : "2", "issued" : { "date-parts" : [ [ "1998" ] ] }, "page" : "213-227", "title" : "A leaf-height-seed (LHS) plant ecology strategy scheme", "type" : "article-journal", "volume" : "199" }, "uris" : [ "http://www.mendeley.com/documents/?uuid=122edfbc-bfb4-481f-a509-fed4594832ee" ] }, { "id" : "ITEM-3", "itemData" : { "author" : [ { "dropping-particle" : "", "family" : "Swenson", "given" : "NG", "non-dropping-particle" : "", "parse-names" : false, "suffix" : "" }, { "dropping-particle" : "", "family" : "Enquist", "given" : "BJ", "non-dropping-particle" : "", "parse-names" : false, "suffix" : "" } ], "container-title" : "American Journal of Botany", "id" : "ITEM-3", "issue" : "3", "issued" : { "date-parts" : [ [ "2007" ] ] }, "page" : "451-459", "title" : "Ecological and evolutionary determinants of a key plant functional trait: wood density and its community-wide variation across latitude and elevation", "type" : "article-journal", "volume" : "94" }, "uris" : [ "http://www.mendeley.com/documents/?uuid=23df7a9c-de1c-4526-afd8-5318240b5a61" ] } ], "mendeley" : { "previouslyFormattedCitation" : "(Reich &amp; Wright, 2003; Swenson &amp; Enquist, 2007; Westoby, 1998)" }, "properties" : { "noteIndex" : 0 }, "schema" : "https://github.com/citation-style-language/schema/raw/master/csl-citation.json" }</w:instrText>
      </w:r>
      <w:r w:rsidR="00CD354D">
        <w:fldChar w:fldCharType="separate"/>
      </w:r>
      <w:r w:rsidR="00CD354D" w:rsidRPr="00CD354D">
        <w:rPr>
          <w:noProof/>
        </w:rPr>
        <w:t>(Reich &amp; Wright, 2003; Swenson &amp; Enquist, 2007; Westoby, 1998)</w:t>
      </w:r>
      <w:r w:rsidR="00CD354D">
        <w:fldChar w:fldCharType="end"/>
      </w:r>
      <w:r w:rsidR="00CD354D">
        <w:t>.</w:t>
      </w:r>
      <w:r w:rsidR="00B634E6" w:rsidRPr="00621641">
        <w:rPr>
          <w:b/>
        </w:rPr>
        <w:t xml:space="preserve"> </w:t>
      </w:r>
      <w:r w:rsidR="00CD354D">
        <w:t>F</w:t>
      </w:r>
      <w:r w:rsidR="00B634E6" w:rsidRPr="00EA700F">
        <w:t>luctuations in soil moisture driven primarily by hydrological patterns</w:t>
      </w:r>
      <w:r w:rsidR="00CD354D">
        <w:t xml:space="preserve"> therefore</w:t>
      </w:r>
      <w:r w:rsidR="00B634E6" w:rsidRPr="00EA700F">
        <w:t xml:space="preserve"> </w:t>
      </w:r>
      <w:r w:rsidR="00CD354D">
        <w:t>should</w:t>
      </w:r>
      <w:r w:rsidR="00B634E6" w:rsidRPr="00EA700F">
        <w:t xml:space="preserve"> be an important driver of variation in wood density. </w:t>
      </w:r>
    </w:p>
    <w:p w14:paraId="41F9EA28" w14:textId="7CEF2E40" w:rsidR="00B634E6" w:rsidRPr="00EA700F" w:rsidRDefault="00CD354D" w:rsidP="00A22B81">
      <w:pPr>
        <w:spacing w:line="360" w:lineRule="auto"/>
        <w:jc w:val="both"/>
      </w:pPr>
      <w:r>
        <w:lastRenderedPageBreak/>
        <w:t xml:space="preserve">Given extent to which flooding disturbance and fluctuations in water availability dominate riparian landscapes, </w:t>
      </w:r>
      <w:r w:rsidR="00B634E6" w:rsidRPr="00CD354D">
        <w:t xml:space="preserve">woody tissue responses to these </w:t>
      </w:r>
      <w:r>
        <w:t>conditions are</w:t>
      </w:r>
      <w:r w:rsidR="00B634E6" w:rsidRPr="00CD354D">
        <w:t xml:space="preserve"> likely to be the primary indicator of riparian woody plant ecological strategy.</w:t>
      </w:r>
      <w:r w:rsidR="00B634E6" w:rsidRPr="00EA700F">
        <w:t xml:space="preserve"> Here we consider variation in wood density of dominant woody riparian plant species over a range of hydrological conditions, across 15 riparian sites within south-eastern Australia. </w:t>
      </w:r>
      <w:r w:rsidR="00B634E6" w:rsidRPr="00CD354D">
        <w:t>We sought to address the following questions:</w:t>
      </w:r>
      <w:r w:rsidR="00B634E6" w:rsidRPr="00EA700F">
        <w:t xml:space="preserve">  (1) do riparian vegetation communities along </w:t>
      </w:r>
      <w:proofErr w:type="spellStart"/>
      <w:r w:rsidR="00B634E6" w:rsidRPr="00EA700F">
        <w:t>hydrologically</w:t>
      </w:r>
      <w:proofErr w:type="spellEnd"/>
      <w:r w:rsidR="00B634E6" w:rsidRPr="00EA700F">
        <w:t xml:space="preserve"> distinct classes of river exhibit differences in wood density? (2) </w:t>
      </w:r>
      <w:proofErr w:type="gramStart"/>
      <w:r w:rsidR="00B634E6" w:rsidRPr="00EA700F">
        <w:t>is</w:t>
      </w:r>
      <w:proofErr w:type="gramEnd"/>
      <w:r w:rsidR="00B634E6" w:rsidRPr="00EA700F">
        <w:t xml:space="preserve"> wood density related to the frequency and magnitude of flood disturbance? (3) </w:t>
      </w:r>
      <w:proofErr w:type="gramStart"/>
      <w:r w:rsidR="00B634E6" w:rsidRPr="00EA700F">
        <w:t>is</w:t>
      </w:r>
      <w:proofErr w:type="gramEnd"/>
      <w:r w:rsidR="00B634E6" w:rsidRPr="00EA700F">
        <w:t xml:space="preserve"> wood density related to predictability of water ava</w:t>
      </w:r>
      <w:r>
        <w:t>ilability in the riparian zone?</w:t>
      </w:r>
    </w:p>
    <w:p w14:paraId="1CE0F579" w14:textId="77777777" w:rsidR="00A87877" w:rsidRPr="00EA700F" w:rsidRDefault="00A87877" w:rsidP="00A22B81">
      <w:pPr>
        <w:spacing w:line="360" w:lineRule="auto"/>
        <w:jc w:val="both"/>
      </w:pPr>
    </w:p>
    <w:p w14:paraId="1338AB1E" w14:textId="77777777" w:rsidR="00A87877" w:rsidRPr="00EA700F" w:rsidRDefault="00A87877" w:rsidP="00A22B81">
      <w:pPr>
        <w:spacing w:line="360" w:lineRule="auto"/>
        <w:jc w:val="both"/>
      </w:pPr>
    </w:p>
    <w:p w14:paraId="5ACFD6B2" w14:textId="77777777" w:rsidR="00A87877" w:rsidRPr="00EA700F" w:rsidRDefault="00A87877" w:rsidP="00A22B81">
      <w:pPr>
        <w:spacing w:line="360" w:lineRule="auto"/>
        <w:jc w:val="both"/>
      </w:pPr>
    </w:p>
    <w:p w14:paraId="6882176A" w14:textId="77777777" w:rsidR="00A87877" w:rsidRPr="00EA700F" w:rsidRDefault="00A87877" w:rsidP="00A22B81">
      <w:pPr>
        <w:spacing w:line="360" w:lineRule="auto"/>
        <w:jc w:val="both"/>
      </w:pPr>
    </w:p>
    <w:p w14:paraId="6974AA06" w14:textId="77777777" w:rsidR="00A87877" w:rsidRPr="00EA700F" w:rsidRDefault="00A87877" w:rsidP="00A22B81">
      <w:pPr>
        <w:spacing w:line="360" w:lineRule="auto"/>
        <w:jc w:val="both"/>
      </w:pPr>
    </w:p>
    <w:p w14:paraId="346B9FB9" w14:textId="77777777" w:rsidR="00A87877" w:rsidRPr="00EA700F" w:rsidRDefault="00A87877" w:rsidP="00A22B81">
      <w:pPr>
        <w:spacing w:line="360" w:lineRule="auto"/>
        <w:jc w:val="both"/>
      </w:pPr>
    </w:p>
    <w:p w14:paraId="769023A6" w14:textId="77777777" w:rsidR="00A87877" w:rsidRPr="00EA700F" w:rsidRDefault="00A87877" w:rsidP="00A22B81">
      <w:pPr>
        <w:spacing w:line="360" w:lineRule="auto"/>
        <w:jc w:val="both"/>
      </w:pPr>
    </w:p>
    <w:p w14:paraId="264DD19D" w14:textId="77777777" w:rsidR="00A87877" w:rsidRPr="00EA700F" w:rsidRDefault="00A87877" w:rsidP="00A22B81">
      <w:pPr>
        <w:spacing w:line="360" w:lineRule="auto"/>
        <w:jc w:val="both"/>
      </w:pPr>
    </w:p>
    <w:p w14:paraId="1EC4ABD7" w14:textId="77777777" w:rsidR="00A87877" w:rsidRPr="00EA700F" w:rsidRDefault="00A87877" w:rsidP="00A22B81">
      <w:pPr>
        <w:spacing w:line="360" w:lineRule="auto"/>
        <w:jc w:val="both"/>
      </w:pPr>
    </w:p>
    <w:p w14:paraId="4A42108E" w14:textId="77777777" w:rsidR="00A87877" w:rsidRPr="00EA700F" w:rsidRDefault="00A87877" w:rsidP="00A22B81">
      <w:pPr>
        <w:spacing w:line="360" w:lineRule="auto"/>
        <w:jc w:val="both"/>
      </w:pPr>
    </w:p>
    <w:p w14:paraId="543DF779" w14:textId="77777777" w:rsidR="00A87877" w:rsidRPr="00EA700F" w:rsidRDefault="00A87877" w:rsidP="00A22B81">
      <w:pPr>
        <w:spacing w:line="360" w:lineRule="auto"/>
        <w:jc w:val="both"/>
      </w:pPr>
    </w:p>
    <w:p w14:paraId="7204AB58" w14:textId="77777777" w:rsidR="00A87877" w:rsidRPr="00EA700F" w:rsidRDefault="00A87877" w:rsidP="00A22B81">
      <w:pPr>
        <w:spacing w:line="360" w:lineRule="auto"/>
        <w:jc w:val="both"/>
      </w:pPr>
    </w:p>
    <w:p w14:paraId="56D07857" w14:textId="77777777" w:rsidR="00A87877" w:rsidRDefault="00A87877" w:rsidP="00A22B81">
      <w:pPr>
        <w:spacing w:line="360" w:lineRule="auto"/>
        <w:jc w:val="both"/>
      </w:pPr>
    </w:p>
    <w:p w14:paraId="793CF3FB" w14:textId="77777777" w:rsidR="007018A5" w:rsidRDefault="007018A5" w:rsidP="00A22B81">
      <w:pPr>
        <w:spacing w:line="360" w:lineRule="auto"/>
        <w:jc w:val="both"/>
      </w:pPr>
    </w:p>
    <w:p w14:paraId="5515071B" w14:textId="77777777" w:rsidR="007018A5" w:rsidRDefault="007018A5" w:rsidP="00A22B81">
      <w:pPr>
        <w:spacing w:line="360" w:lineRule="auto"/>
        <w:jc w:val="both"/>
      </w:pPr>
    </w:p>
    <w:p w14:paraId="2B98D008" w14:textId="77777777" w:rsidR="00B634E6" w:rsidRPr="00EA700F" w:rsidRDefault="00B634E6" w:rsidP="00A22B81">
      <w:pPr>
        <w:spacing w:line="360" w:lineRule="auto"/>
        <w:jc w:val="both"/>
        <w:rPr>
          <w:b/>
        </w:rPr>
      </w:pPr>
      <w:r w:rsidRPr="00EA700F">
        <w:rPr>
          <w:b/>
        </w:rPr>
        <w:t>Methods</w:t>
      </w:r>
    </w:p>
    <w:p w14:paraId="20719208" w14:textId="77777777" w:rsidR="00B634E6" w:rsidRPr="00EA700F" w:rsidRDefault="00B634E6" w:rsidP="00A22B81">
      <w:pPr>
        <w:spacing w:line="360" w:lineRule="auto"/>
        <w:jc w:val="both"/>
        <w:rPr>
          <w:b/>
        </w:rPr>
      </w:pPr>
      <w:r w:rsidRPr="00EA700F">
        <w:rPr>
          <w:b/>
        </w:rPr>
        <w:t>Study site selection</w:t>
      </w:r>
    </w:p>
    <w:p w14:paraId="3FFC0F8D" w14:textId="649D0450" w:rsidR="00B634E6" w:rsidRPr="00EA700F" w:rsidRDefault="00B634E6" w:rsidP="00A22B81">
      <w:pPr>
        <w:spacing w:line="360" w:lineRule="auto"/>
        <w:jc w:val="both"/>
      </w:pPr>
      <w:r w:rsidRPr="00EA700F">
        <w:t>Fifteen riparian sites were selected along gauged rivers within the South-East Coast and south-eastern Murray Darling drainage basins of Australia (</w:t>
      </w:r>
      <w:r w:rsidRPr="0085737E">
        <w:t>Figure 1</w:t>
      </w:r>
      <w:r w:rsidRPr="00EA700F">
        <w:t xml:space="preserve">). To differentiate rivers according to ecologically </w:t>
      </w:r>
      <w:r w:rsidRPr="00EA700F">
        <w:lastRenderedPageBreak/>
        <w:t xml:space="preserve">relevant components of hydrology, </w:t>
      </w:r>
      <w:r w:rsidRPr="00EA700F">
        <w:fldChar w:fldCharType="begin" w:fldLock="1"/>
      </w:r>
      <w:r w:rsidR="00ED02F3">
        <w:instrText>ADDIN CSL_CITATION { "citationItems" : [ { "id" : "ITEM-1", "itemData" : { "DOI" : "10.1002/rra.700", "ISSN" : "1535-1459", "author" : [ { "dropping-particle" : "", "family" : "Olden", "given" : "Julian D.", "non-dropping-particle" : "", "parse-names" : false, "suffix" : "" }, { "dropping-particle" : "", "family" : "Poff", "given" : "N. L.", "non-dropping-particle" : "", "parse-names" : false, "suffix" : "" } ], "container-title" : "River Research and Applications", "id" : "ITEM-1", "issue" : "2", "issued" : { "date-parts" : [ [ "2003", "3" ] ] }, "page" : "101-121", "title" : "Redundancy and the choice of hydrologic indices for characterizing streamflow regimes", "type" : "article-journal", "volume" : "19" }, "uris" : [ "http://www.mendeley.com/documents/?uuid=07edd755-f32e-439a-87cb-ab3439269d8f" ] } ], "mendeley" : { "manualFormatting" : "Olden and Poff (2003", "previouslyFormattedCitation" : "(Olden &amp; Poff, 2003)" }, "properties" : { "noteIndex" : 0 }, "schema" : "https://github.com/citation-style-language/schema/raw/master/csl-citation.json" }</w:instrText>
      </w:r>
      <w:r w:rsidRPr="00EA700F">
        <w:fldChar w:fldCharType="separate"/>
      </w:r>
      <w:r w:rsidRPr="00EA700F">
        <w:rPr>
          <w:noProof/>
        </w:rPr>
        <w:t>Olden and Poff (2003</w:t>
      </w:r>
      <w:r w:rsidRPr="00EA700F">
        <w:fldChar w:fldCharType="end"/>
      </w:r>
      <w:r w:rsidRPr="00EA700F">
        <w:t xml:space="preserve">) described a statistical methodology for determining a minimally redundant set of hydrological descriptors. </w:t>
      </w:r>
      <w:r w:rsidRPr="00EA700F">
        <w:fldChar w:fldCharType="begin" w:fldLock="1"/>
      </w:r>
      <w:r w:rsidR="00ED02F3">
        <w:instrText>ADDIN CSL_CITATION { "citationItems" : [ { "id" : "ITEM-1", "itemData" : { "DOI" : "10.1111/j.1365-2427.2009.02307.x", "ISSN" : "00465070", "author" : [ { "dropping-particle" : "", "family" : "Kennard", "given" : "Mark J.", "non-dropping-particle" : "", "parse-names" : false, "suffix" : "" }, { "dropping-particle" : "", "family" : "Pusey", "given" : "Bradley J.", "non-dropping-particle" : "", "parse-names" : false, "suffix" : "" }, { "dropping-particle" : "", "family" : "Olden", "given" : "Julian D.", "non-dropping-particle" : "", "parse-names" : false, "suffix" : "" }, { "dropping-particle" : "", "family" : "Mackay", "given" : "Stephen J.", "non-dropping-particle" : "", "parse-names" : false, "suffix" : "" }, { "dropping-particle" : "", "family" : "Stein", "given" : "Janet L.", "non-dropping-particle" : "", "parse-names" : false, "suffix" : "" }, { "dropping-particle" : "", "family" : "Marsh", "given" : "Nick", "non-dropping-particle" : "", "parse-names" : false, "suffix" : "" } ], "container-title" : "Freshwater Biology", "id" : "ITEM-1", "issue" : "1", "issued" : { "date-parts" : [ [ "2010", "1" ] ] }, "page" : "171-193", "title" : "Classification of natural flow regimes in Australia to support environmental flow management", "type" : "article-journal", "volume" : "55" }, "uris" : [ "http://www.mendeley.com/documents/?uuid=b8038c25-06a6-4750-82e7-1a821802e0c9" ] } ], "mendeley" : { "manualFormatting" : "Kennard et al. (2010", "previouslyFormattedCitation" : "(Kennard et al., 2010)" }, "properties" : { "noteIndex" : 0 }, "schema" : "https://github.com/citation-style-language/schema/raw/master/csl-citation.json" }</w:instrText>
      </w:r>
      <w:r w:rsidRPr="00EA700F">
        <w:fldChar w:fldCharType="separate"/>
      </w:r>
      <w:r w:rsidRPr="00EA700F">
        <w:rPr>
          <w:noProof/>
        </w:rPr>
        <w:t>Kennard et al. (2010</w:t>
      </w:r>
      <w:r w:rsidRPr="00EA700F">
        <w:fldChar w:fldCharType="end"/>
      </w:r>
      <w:r w:rsidRPr="00EA700F">
        <w:t xml:space="preserve">) followed this methodology to define a set of 120 hydrological metrics relevant to Australian rivers, which included metrics of central tendency and dispersion in all five dimensions of hydrological variation (magnitude, frequency, duration, timing, and rate of change). </w:t>
      </w:r>
      <w:r w:rsidR="0085737E">
        <w:t>These</w:t>
      </w:r>
      <w:r w:rsidRPr="00EA700F">
        <w:t xml:space="preserve"> metrics</w:t>
      </w:r>
      <w:r w:rsidR="0085737E">
        <w:t xml:space="preserve"> were then used</w:t>
      </w:r>
      <w:r w:rsidRPr="00EA700F">
        <w:t xml:space="preserve"> to classify Australian river systems into twelve distinct flow regime classes, providing a foundation for analysing the properties of ecosystems across hydrological gradients. </w:t>
      </w:r>
      <w:r w:rsidR="0085737E">
        <w:t>In this study,</w:t>
      </w:r>
      <w:r w:rsidRPr="00EA700F">
        <w:t xml:space="preserve"> </w:t>
      </w:r>
      <w:r w:rsidR="0085737E">
        <w:t xml:space="preserve">sites were drawn from </w:t>
      </w:r>
      <w:r w:rsidRPr="00EA700F">
        <w:t>rivers</w:t>
      </w:r>
      <w:r w:rsidR="0085737E">
        <w:t xml:space="preserve"> </w:t>
      </w:r>
      <w:r w:rsidRPr="00EA700F">
        <w:t xml:space="preserve">corresponding to ‘stable winter </w:t>
      </w:r>
      <w:proofErr w:type="spellStart"/>
      <w:r w:rsidRPr="00EA700F">
        <w:t>baseflow</w:t>
      </w:r>
      <w:proofErr w:type="spellEnd"/>
      <w:r w:rsidRPr="00EA700F">
        <w:t xml:space="preserve">’, ‘unpredictable </w:t>
      </w:r>
      <w:proofErr w:type="spellStart"/>
      <w:r w:rsidRPr="00EA700F">
        <w:t>baseflow</w:t>
      </w:r>
      <w:proofErr w:type="spellEnd"/>
      <w:r w:rsidRPr="00EA700F">
        <w:t xml:space="preserve">’ and ‘unpredictable intermittent’ hydrological classes, as described by Kennard et al. (2010). These are the best represented hydrological classes in eastern NSW and VIC, and represent a clear gradient over ecologically relevant hydrological </w:t>
      </w:r>
      <w:r w:rsidR="0085737E">
        <w:t>conditions</w:t>
      </w:r>
      <w:r w:rsidRPr="00EA700F">
        <w:t xml:space="preserve">. Five sites per hydrological class were selected based on the </w:t>
      </w:r>
      <w:r w:rsidR="0085737E">
        <w:t xml:space="preserve">following </w:t>
      </w:r>
      <w:r w:rsidRPr="00EA700F">
        <w:t>criteria</w:t>
      </w:r>
      <w:r w:rsidR="0085737E">
        <w:t>:</w:t>
      </w:r>
    </w:p>
    <w:p w14:paraId="6E129745" w14:textId="77777777" w:rsidR="007166A1" w:rsidRPr="00EA700F" w:rsidRDefault="007166A1" w:rsidP="00A22B81">
      <w:pPr>
        <w:keepNext/>
        <w:spacing w:line="360" w:lineRule="auto"/>
        <w:jc w:val="both"/>
      </w:pPr>
      <w:r w:rsidRPr="00EA700F">
        <w:rPr>
          <w:noProof/>
          <w:lang w:eastAsia="en-AU"/>
        </w:rPr>
        <w:drawing>
          <wp:inline distT="0" distB="0" distL="0" distR="0" wp14:anchorId="6630DD95" wp14:editId="60ECB8F7">
            <wp:extent cx="5105400" cy="3699803"/>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5"/>
                    <a:stretch>
                      <a:fillRect/>
                    </a:stretch>
                  </pic:blipFill>
                  <pic:spPr>
                    <a:xfrm>
                      <a:off x="0" y="0"/>
                      <a:ext cx="5106174" cy="3700364"/>
                    </a:xfrm>
                    <a:prstGeom prst="rect">
                      <a:avLst/>
                    </a:prstGeom>
                  </pic:spPr>
                </pic:pic>
              </a:graphicData>
            </a:graphic>
          </wp:inline>
        </w:drawing>
      </w:r>
    </w:p>
    <w:p w14:paraId="1540BF97" w14:textId="5AE81C58" w:rsidR="007166A1" w:rsidRPr="00EA700F" w:rsidRDefault="007166A1" w:rsidP="00A22B81">
      <w:pPr>
        <w:pStyle w:val="Caption"/>
        <w:spacing w:line="360" w:lineRule="auto"/>
        <w:jc w:val="both"/>
        <w:rPr>
          <w:sz w:val="22"/>
          <w:szCs w:val="22"/>
        </w:rPr>
      </w:pPr>
      <w:r w:rsidRPr="00EA700F">
        <w:rPr>
          <w:sz w:val="22"/>
          <w:szCs w:val="22"/>
        </w:rPr>
        <w:t xml:space="preserve">Figure </w:t>
      </w:r>
      <w:r w:rsidRPr="00EA700F">
        <w:rPr>
          <w:sz w:val="22"/>
          <w:szCs w:val="22"/>
        </w:rPr>
        <w:fldChar w:fldCharType="begin"/>
      </w:r>
      <w:r w:rsidRPr="00EA700F">
        <w:rPr>
          <w:sz w:val="22"/>
          <w:szCs w:val="22"/>
        </w:rPr>
        <w:instrText xml:space="preserve"> SEQ Figure \* ARABIC </w:instrText>
      </w:r>
      <w:r w:rsidRPr="00EA700F">
        <w:rPr>
          <w:sz w:val="22"/>
          <w:szCs w:val="22"/>
        </w:rPr>
        <w:fldChar w:fldCharType="separate"/>
      </w:r>
      <w:r w:rsidR="00335320" w:rsidRPr="00EA700F">
        <w:rPr>
          <w:noProof/>
          <w:sz w:val="22"/>
          <w:szCs w:val="22"/>
        </w:rPr>
        <w:t>1</w:t>
      </w:r>
      <w:r w:rsidRPr="00EA700F">
        <w:rPr>
          <w:sz w:val="22"/>
          <w:szCs w:val="22"/>
        </w:rPr>
        <w:fldChar w:fldCharType="end"/>
      </w:r>
      <w:r w:rsidRPr="00EA700F">
        <w:rPr>
          <w:sz w:val="22"/>
          <w:szCs w:val="22"/>
        </w:rPr>
        <w:t xml:space="preserve">. </w:t>
      </w:r>
      <w:r w:rsidR="0085737E">
        <w:rPr>
          <w:sz w:val="22"/>
          <w:szCs w:val="22"/>
        </w:rPr>
        <w:t>Location of fifteen field study sites across south-eastern Australia</w:t>
      </w:r>
      <w:r w:rsidR="00EF3710">
        <w:rPr>
          <w:sz w:val="22"/>
          <w:szCs w:val="22"/>
        </w:rPr>
        <w:t>.</w:t>
      </w:r>
    </w:p>
    <w:p w14:paraId="20EA697E" w14:textId="617AC06F" w:rsidR="007166A1" w:rsidRPr="00EA700F" w:rsidRDefault="00B634E6" w:rsidP="00A22B81">
      <w:pPr>
        <w:autoSpaceDE w:val="0"/>
        <w:autoSpaceDN w:val="0"/>
        <w:adjustRightInd w:val="0"/>
        <w:spacing w:after="0" w:line="360" w:lineRule="auto"/>
        <w:jc w:val="both"/>
      </w:pPr>
      <w:r w:rsidRPr="00EA700F">
        <w:t>Gauged locations were selected that had &gt;15 years of associated continuous hydrological data, and an absence of flow regulation, significant water extrac</w:t>
      </w:r>
      <w:r w:rsidR="0085737E">
        <w:t>tion or catchment urbanisation, following Kennard et al. (</w:t>
      </w:r>
      <w:r w:rsidRPr="00EA700F">
        <w:t xml:space="preserve">2010). To minimise signals associated with human land-use, the following further criteria were used to shortlist possible study sites: intact native riparian vegetation cover (a band of native riparian vegetation extending &gt;15 m from the channel edge), natural geomorphic condition (lack of significant human-induced erosional or depositional landforms), and minimal catchment </w:t>
      </w:r>
      <w:r w:rsidRPr="00EA700F">
        <w:lastRenderedPageBreak/>
        <w:t>clearing (catchment predominantly covered by native vegetation). These criteria were assessed using a combination of visual inspection of satellite photography (Google Earth, Microsoft Bing), information from the NSW Riparian Vegetation Extent dataset and the NSW Office of Water River Styles® geospatial dataset (</w:t>
      </w:r>
      <w:r w:rsidRPr="00EA700F">
        <w:rPr>
          <w:rFonts w:cs="Helvetica"/>
        </w:rPr>
        <w:t>NSW Office of Water, Department of Primary Industries)</w:t>
      </w:r>
      <w:r w:rsidRPr="00EA700F">
        <w:t>. Large rivers with catchment area &gt;1000 km</w:t>
      </w:r>
      <w:r w:rsidRPr="00EA700F">
        <w:rPr>
          <w:vertAlign w:val="superscript"/>
        </w:rPr>
        <w:t>2</w:t>
      </w:r>
      <w:r w:rsidRPr="00EA700F">
        <w:t xml:space="preserve"> were </w:t>
      </w:r>
      <w:r w:rsidR="0085737E">
        <w:t>also</w:t>
      </w:r>
      <w:r w:rsidRPr="00EA700F">
        <w:t xml:space="preserve"> removed</w:t>
      </w:r>
      <w:r w:rsidR="0085737E">
        <w:t xml:space="preserve"> from consideration</w:t>
      </w:r>
      <w:r w:rsidRPr="00EA700F">
        <w:t xml:space="preserve">. To select the 15 study sites from this shortlist, accessibility by road, permission from state or private landholders, and proximity of accessible areas to continuous hydrological monitoring stations were considered. </w:t>
      </w:r>
    </w:p>
    <w:p w14:paraId="73905FE0" w14:textId="77777777" w:rsidR="007137EA" w:rsidRPr="00EA700F" w:rsidRDefault="007137EA" w:rsidP="00A22B81">
      <w:pPr>
        <w:autoSpaceDE w:val="0"/>
        <w:autoSpaceDN w:val="0"/>
        <w:adjustRightInd w:val="0"/>
        <w:spacing w:after="0" w:line="360" w:lineRule="auto"/>
        <w:jc w:val="both"/>
      </w:pPr>
    </w:p>
    <w:p w14:paraId="7EADD1DD" w14:textId="77777777" w:rsidR="00B634E6" w:rsidRPr="00EA700F" w:rsidRDefault="00B634E6" w:rsidP="00A22B81">
      <w:pPr>
        <w:spacing w:line="360" w:lineRule="auto"/>
        <w:jc w:val="both"/>
        <w:rPr>
          <w:b/>
        </w:rPr>
      </w:pPr>
      <w:r w:rsidRPr="00EA700F">
        <w:rPr>
          <w:b/>
        </w:rPr>
        <w:t>Species abundance and trait data collection</w:t>
      </w:r>
    </w:p>
    <w:p w14:paraId="6D58F635" w14:textId="3A7944A6" w:rsidR="00B634E6" w:rsidRPr="00EA700F" w:rsidRDefault="00B634E6" w:rsidP="00A22B81">
      <w:pPr>
        <w:shd w:val="clear" w:color="auto" w:fill="FFFFFF"/>
        <w:spacing w:after="0" w:line="360" w:lineRule="auto"/>
        <w:jc w:val="both"/>
        <w:rPr>
          <w:rFonts w:eastAsia="Times New Roman" w:cs="Arial"/>
          <w:color w:val="222222"/>
          <w:lang w:eastAsia="en-AU"/>
        </w:rPr>
      </w:pPr>
      <w:r w:rsidRPr="00EA700F">
        <w:rPr>
          <w:rFonts w:eastAsia="Times New Roman" w:cs="Arial"/>
          <w:color w:val="222222"/>
          <w:lang w:eastAsia="en-AU"/>
        </w:rPr>
        <w:t xml:space="preserve">Data collection was undertaken between December 2012 and May 2013. At each site, a 10 m by 50 m plot was marked out, with the longest </w:t>
      </w:r>
      <w:r w:rsidR="0085737E">
        <w:rPr>
          <w:rFonts w:eastAsia="Times New Roman" w:cs="Arial"/>
          <w:color w:val="222222"/>
          <w:lang w:eastAsia="en-AU"/>
        </w:rPr>
        <w:t>edge</w:t>
      </w:r>
      <w:r w:rsidRPr="00EA700F">
        <w:rPr>
          <w:rFonts w:eastAsia="Times New Roman" w:cs="Arial"/>
          <w:color w:val="222222"/>
          <w:lang w:eastAsia="en-AU"/>
        </w:rPr>
        <w:t xml:space="preserve"> abutting the channel edge. Criteria for selection of plot locations were: geomorphic homogeneity (the plot comprising only sloping bank where possible) and lack of anthropogenic disturbance such as built structures, roads or tracks, recent logging or clearing (in the last 20-30 years), herbicide spraying or animal grazing. </w:t>
      </w:r>
    </w:p>
    <w:p w14:paraId="08EA30E4" w14:textId="77777777" w:rsidR="00B634E6" w:rsidRPr="00EA700F" w:rsidRDefault="00B634E6" w:rsidP="00A22B81">
      <w:pPr>
        <w:shd w:val="clear" w:color="auto" w:fill="FFFFFF"/>
        <w:spacing w:after="0" w:line="360" w:lineRule="auto"/>
        <w:jc w:val="both"/>
        <w:rPr>
          <w:rFonts w:eastAsia="Times New Roman" w:cs="Arial"/>
          <w:color w:val="222222"/>
          <w:lang w:eastAsia="en-AU"/>
        </w:rPr>
      </w:pPr>
    </w:p>
    <w:p w14:paraId="1B624205" w14:textId="594B5E43" w:rsidR="00B634E6" w:rsidRPr="00EA700F" w:rsidRDefault="00B634E6" w:rsidP="00A22B81">
      <w:pPr>
        <w:shd w:val="clear" w:color="auto" w:fill="FFFFFF"/>
        <w:spacing w:after="0" w:line="360" w:lineRule="auto"/>
        <w:jc w:val="both"/>
        <w:rPr>
          <w:rFonts w:eastAsia="Times New Roman" w:cs="Arial"/>
          <w:color w:val="222222"/>
          <w:lang w:eastAsia="en-AU"/>
        </w:rPr>
      </w:pPr>
      <w:r w:rsidRPr="00EA700F">
        <w:rPr>
          <w:rFonts w:eastAsia="Times New Roman" w:cs="Arial"/>
          <w:color w:val="222222"/>
          <w:lang w:eastAsia="en-AU"/>
        </w:rPr>
        <w:t xml:space="preserve">Proportional cover of woody vegetation was assessed at three levels: shrub (1-4 m), </w:t>
      </w:r>
      <w:proofErr w:type="spellStart"/>
      <w:r w:rsidRPr="00EA700F">
        <w:rPr>
          <w:rFonts w:eastAsia="Times New Roman" w:cs="Arial"/>
          <w:color w:val="222222"/>
          <w:lang w:eastAsia="en-AU"/>
        </w:rPr>
        <w:t>subcanopy</w:t>
      </w:r>
      <w:proofErr w:type="spellEnd"/>
      <w:r w:rsidRPr="00EA700F">
        <w:rPr>
          <w:rFonts w:eastAsia="Times New Roman" w:cs="Arial"/>
          <w:color w:val="222222"/>
          <w:lang w:eastAsia="en-AU"/>
        </w:rPr>
        <w:t xml:space="preserve"> (4-8 m) and canopy (&gt;8 m). Species were identified using appropriate field guides, and were verified against herbarium specimens at the Macquarie University Herbarium. Hard to identify specimens were identified by staff at the Royal Botanic Gardens, Sydney. </w:t>
      </w:r>
    </w:p>
    <w:p w14:paraId="0E60DE90" w14:textId="3BCA750C" w:rsidR="00E665A9" w:rsidRPr="00EA700F" w:rsidRDefault="00B634E6" w:rsidP="00A22B81">
      <w:pPr>
        <w:pStyle w:val="Heading1"/>
        <w:shd w:val="clear" w:color="auto" w:fill="FFFFFF"/>
        <w:spacing w:before="240" w:beforeAutospacing="0" w:after="240" w:afterAutospacing="0" w:line="360" w:lineRule="auto"/>
        <w:jc w:val="both"/>
        <w:rPr>
          <w:rFonts w:asciiTheme="minorHAnsi" w:hAnsiTheme="minorHAnsi"/>
          <w:sz w:val="22"/>
          <w:szCs w:val="22"/>
        </w:rPr>
      </w:pPr>
      <w:r w:rsidRPr="00EA700F">
        <w:rPr>
          <w:rFonts w:asciiTheme="minorHAnsi" w:hAnsiTheme="minorHAnsi" w:cs="Arial"/>
          <w:b w:val="0"/>
          <w:bCs w:val="0"/>
          <w:color w:val="222222"/>
          <w:sz w:val="22"/>
          <w:szCs w:val="22"/>
        </w:rPr>
        <w:t xml:space="preserve">Wood samples were collected from dominant woody species present within the plot at &gt;5% cover in shrub, sub canopy or canopy strata, and which had trunks robust enough to core. </w:t>
      </w:r>
      <w:r w:rsidR="0085737E" w:rsidRPr="00EA700F">
        <w:rPr>
          <w:rFonts w:asciiTheme="minorHAnsi" w:hAnsiTheme="minorHAnsi" w:cs="Arial"/>
          <w:b w:val="0"/>
          <w:bCs w:val="0"/>
          <w:color w:val="222222"/>
          <w:sz w:val="22"/>
          <w:szCs w:val="22"/>
        </w:rPr>
        <w:t>100 mm wood sample</w:t>
      </w:r>
      <w:r w:rsidR="0085737E">
        <w:rPr>
          <w:rFonts w:asciiTheme="minorHAnsi" w:hAnsiTheme="minorHAnsi" w:cs="Arial"/>
          <w:b w:val="0"/>
          <w:bCs w:val="0"/>
          <w:color w:val="222222"/>
          <w:sz w:val="22"/>
          <w:szCs w:val="22"/>
        </w:rPr>
        <w:t>s</w:t>
      </w:r>
      <w:r w:rsidR="0085737E" w:rsidRPr="00EA700F">
        <w:rPr>
          <w:rFonts w:asciiTheme="minorHAnsi" w:hAnsiTheme="minorHAnsi" w:cs="Arial"/>
          <w:b w:val="0"/>
          <w:bCs w:val="0"/>
          <w:color w:val="222222"/>
          <w:sz w:val="22"/>
          <w:szCs w:val="22"/>
        </w:rPr>
        <w:t xml:space="preserve"> from each of two individuals per species </w:t>
      </w:r>
      <w:r w:rsidR="0085737E">
        <w:rPr>
          <w:rFonts w:asciiTheme="minorHAnsi" w:hAnsiTheme="minorHAnsi" w:cs="Arial"/>
          <w:b w:val="0"/>
          <w:bCs w:val="0"/>
          <w:color w:val="222222"/>
          <w:sz w:val="22"/>
          <w:szCs w:val="22"/>
        </w:rPr>
        <w:t>were extracted using a</w:t>
      </w:r>
      <w:r w:rsidRPr="00EA700F">
        <w:rPr>
          <w:rFonts w:asciiTheme="minorHAnsi" w:hAnsiTheme="minorHAnsi" w:cs="Arial"/>
          <w:b w:val="0"/>
          <w:bCs w:val="0"/>
          <w:color w:val="222222"/>
          <w:sz w:val="22"/>
          <w:szCs w:val="22"/>
        </w:rPr>
        <w:t xml:space="preserve"> 5.15 mm diameter, triple threaded increment borer (</w:t>
      </w:r>
      <w:proofErr w:type="spellStart"/>
      <w:r w:rsidRPr="00EA700F">
        <w:rPr>
          <w:rFonts w:asciiTheme="minorHAnsi" w:hAnsiTheme="minorHAnsi" w:cs="Arial"/>
          <w:b w:val="0"/>
          <w:bCs w:val="0"/>
          <w:color w:val="222222"/>
          <w:sz w:val="22"/>
          <w:szCs w:val="22"/>
        </w:rPr>
        <w:t>Hagl</w:t>
      </w:r>
      <w:r w:rsidRPr="00EA700F">
        <w:rPr>
          <w:rFonts w:asciiTheme="minorHAnsi" w:hAnsiTheme="minorHAnsi"/>
          <w:b w:val="0"/>
          <w:color w:val="2A343A"/>
          <w:sz w:val="22"/>
          <w:szCs w:val="22"/>
        </w:rPr>
        <w:t>ö</w:t>
      </w:r>
      <w:r w:rsidRPr="00EA700F">
        <w:rPr>
          <w:rFonts w:asciiTheme="minorHAnsi" w:hAnsiTheme="minorHAnsi" w:cs="Arial"/>
          <w:b w:val="0"/>
          <w:bCs w:val="0"/>
          <w:color w:val="222222"/>
          <w:sz w:val="22"/>
          <w:szCs w:val="22"/>
        </w:rPr>
        <w:t>f</w:t>
      </w:r>
      <w:proofErr w:type="spellEnd"/>
      <w:r w:rsidRPr="00EA700F">
        <w:rPr>
          <w:rFonts w:asciiTheme="minorHAnsi" w:hAnsiTheme="minorHAnsi" w:cs="Arial"/>
          <w:b w:val="0"/>
          <w:bCs w:val="0"/>
          <w:color w:val="222222"/>
          <w:sz w:val="22"/>
          <w:szCs w:val="22"/>
        </w:rPr>
        <w:t xml:space="preserve"> Sweden)</w:t>
      </w:r>
      <w:r w:rsidR="0085737E">
        <w:rPr>
          <w:rFonts w:asciiTheme="minorHAnsi" w:hAnsiTheme="minorHAnsi" w:cs="Arial"/>
          <w:b w:val="0"/>
          <w:bCs w:val="0"/>
          <w:color w:val="222222"/>
          <w:sz w:val="22"/>
          <w:szCs w:val="22"/>
        </w:rPr>
        <w:t>.</w:t>
      </w:r>
      <w:r w:rsidRPr="00EA700F">
        <w:rPr>
          <w:rFonts w:asciiTheme="minorHAnsi" w:hAnsiTheme="minorHAnsi" w:cs="Arial"/>
          <w:b w:val="0"/>
          <w:bCs w:val="0"/>
          <w:color w:val="222222"/>
          <w:sz w:val="22"/>
          <w:szCs w:val="22"/>
        </w:rPr>
        <w:t xml:space="preserve"> Samples were extracted from the base of the main trunk, 10 cm above the leaf litter level, and air-dried at 20-45</w:t>
      </w:r>
      <w:r w:rsidR="006E5D88">
        <w:rPr>
          <w:rFonts w:asciiTheme="minorHAnsi" w:hAnsiTheme="minorHAnsi" w:cs="Arial"/>
          <w:b w:val="0"/>
          <w:bCs w:val="0"/>
          <w:color w:val="222222"/>
          <w:sz w:val="22"/>
          <w:szCs w:val="22"/>
        </w:rPr>
        <w:t xml:space="preserve"> </w:t>
      </w:r>
      <w:r w:rsidRPr="00EA700F">
        <w:rPr>
          <w:rFonts w:asciiTheme="minorHAnsi" w:hAnsiTheme="minorHAnsi" w:cs="Arial"/>
          <w:b w:val="0"/>
          <w:bCs w:val="0"/>
          <w:color w:val="222222"/>
          <w:sz w:val="22"/>
          <w:szCs w:val="22"/>
        </w:rPr>
        <w:t xml:space="preserve">°C. On return to the laboratory, samples were rehydrated in deionised water and </w:t>
      </w:r>
      <w:r w:rsidR="0085737E">
        <w:rPr>
          <w:rFonts w:asciiTheme="minorHAnsi" w:hAnsiTheme="minorHAnsi" w:cs="Arial"/>
          <w:b w:val="0"/>
          <w:bCs w:val="0"/>
          <w:color w:val="222222"/>
          <w:sz w:val="22"/>
          <w:szCs w:val="22"/>
        </w:rPr>
        <w:t>10 mm sections of mature w</w:t>
      </w:r>
      <w:r w:rsidR="00290091">
        <w:rPr>
          <w:rFonts w:asciiTheme="minorHAnsi" w:hAnsiTheme="minorHAnsi" w:cs="Arial"/>
          <w:b w:val="0"/>
          <w:bCs w:val="0"/>
          <w:color w:val="222222"/>
          <w:sz w:val="22"/>
          <w:szCs w:val="22"/>
        </w:rPr>
        <w:t>ood were cut with a razor</w:t>
      </w:r>
      <w:r w:rsidRPr="00EA700F">
        <w:rPr>
          <w:rFonts w:asciiTheme="minorHAnsi" w:hAnsiTheme="minorHAnsi" w:cs="Arial"/>
          <w:b w:val="0"/>
          <w:bCs w:val="0"/>
          <w:color w:val="222222"/>
          <w:sz w:val="22"/>
          <w:szCs w:val="22"/>
        </w:rPr>
        <w:t xml:space="preserve">, using visual inspection of vessel occlusion as an indicator of </w:t>
      </w:r>
      <w:r w:rsidR="00290091">
        <w:rPr>
          <w:rFonts w:asciiTheme="minorHAnsi" w:hAnsiTheme="minorHAnsi" w:cs="Arial"/>
          <w:b w:val="0"/>
          <w:bCs w:val="0"/>
          <w:color w:val="222222"/>
          <w:sz w:val="22"/>
          <w:szCs w:val="22"/>
        </w:rPr>
        <w:t>maturity</w:t>
      </w:r>
      <w:r w:rsidRPr="00EA700F">
        <w:rPr>
          <w:rFonts w:asciiTheme="minorHAnsi" w:hAnsiTheme="minorHAnsi" w:cs="Arial"/>
          <w:b w:val="0"/>
          <w:bCs w:val="0"/>
          <w:color w:val="222222"/>
          <w:sz w:val="22"/>
          <w:szCs w:val="22"/>
        </w:rPr>
        <w:t xml:space="preserve">. Sections were measured (x, y and z dimensions) with </w:t>
      </w:r>
      <w:r w:rsidR="00180A63" w:rsidRPr="00EA700F">
        <w:rPr>
          <w:rFonts w:asciiTheme="minorHAnsi" w:hAnsiTheme="minorHAnsi" w:cs="Arial"/>
          <w:b w:val="0"/>
          <w:bCs w:val="0"/>
          <w:color w:val="222222"/>
          <w:sz w:val="22"/>
          <w:szCs w:val="22"/>
        </w:rPr>
        <w:t>callipers</w:t>
      </w:r>
      <w:r w:rsidRPr="00EA700F">
        <w:rPr>
          <w:rFonts w:asciiTheme="minorHAnsi" w:hAnsiTheme="minorHAnsi" w:cs="Arial"/>
          <w:b w:val="0"/>
          <w:bCs w:val="0"/>
          <w:color w:val="222222"/>
          <w:sz w:val="22"/>
          <w:szCs w:val="22"/>
        </w:rPr>
        <w:t xml:space="preserve"> (</w:t>
      </w:r>
      <w:proofErr w:type="spellStart"/>
      <w:r w:rsidRPr="00EA700F">
        <w:rPr>
          <w:rFonts w:asciiTheme="minorHAnsi" w:hAnsiTheme="minorHAnsi" w:cs="Arial"/>
          <w:b w:val="0"/>
          <w:bCs w:val="0"/>
          <w:color w:val="222222"/>
          <w:sz w:val="22"/>
          <w:szCs w:val="22"/>
        </w:rPr>
        <w:t>Mitzuni</w:t>
      </w:r>
      <w:proofErr w:type="spellEnd"/>
      <w:r w:rsidRPr="00EA700F">
        <w:rPr>
          <w:rFonts w:asciiTheme="minorHAnsi" w:hAnsiTheme="minorHAnsi" w:cs="Arial"/>
          <w:b w:val="0"/>
          <w:bCs w:val="0"/>
          <w:color w:val="222222"/>
          <w:sz w:val="22"/>
          <w:szCs w:val="22"/>
        </w:rPr>
        <w:t xml:space="preserve">) to calculate wet volume, then oven-dried at 80°C for 48 hours and weighed using a microbalance (Mettler Toledo). </w:t>
      </w:r>
      <w:r w:rsidRPr="00EA700F">
        <w:rPr>
          <w:rFonts w:asciiTheme="minorHAnsi" w:hAnsiTheme="minorHAnsi"/>
          <w:b w:val="0"/>
          <w:sz w:val="22"/>
          <w:szCs w:val="22"/>
        </w:rPr>
        <w:t>Wood density was then calculated as the ratio of oven dry mass to wet volume (g/cm</w:t>
      </w:r>
      <w:r w:rsidRPr="00EA700F">
        <w:rPr>
          <w:rFonts w:asciiTheme="minorHAnsi" w:hAnsiTheme="minorHAnsi"/>
          <w:b w:val="0"/>
          <w:sz w:val="22"/>
          <w:szCs w:val="22"/>
          <w:vertAlign w:val="superscript"/>
        </w:rPr>
        <w:t>3</w:t>
      </w:r>
      <w:r w:rsidRPr="00EA700F">
        <w:rPr>
          <w:rFonts w:asciiTheme="minorHAnsi" w:hAnsiTheme="minorHAnsi"/>
          <w:b w:val="0"/>
          <w:sz w:val="22"/>
          <w:szCs w:val="22"/>
        </w:rPr>
        <w:t>).</w:t>
      </w:r>
    </w:p>
    <w:p w14:paraId="3546F488" w14:textId="66B728B8" w:rsidR="00B634E6" w:rsidRPr="00EA700F" w:rsidRDefault="00B634E6" w:rsidP="00A22B81">
      <w:pPr>
        <w:spacing w:line="360" w:lineRule="auto"/>
        <w:jc w:val="both"/>
        <w:rPr>
          <w:b/>
        </w:rPr>
      </w:pPr>
      <w:r w:rsidRPr="00EA700F">
        <w:rPr>
          <w:b/>
        </w:rPr>
        <w:t>Hydrological analysis</w:t>
      </w:r>
    </w:p>
    <w:p w14:paraId="7E1FE469" w14:textId="157C603C" w:rsidR="00B634E6" w:rsidRPr="00EA700F" w:rsidRDefault="00B634E6" w:rsidP="00A22B81">
      <w:pPr>
        <w:spacing w:line="360" w:lineRule="auto"/>
        <w:jc w:val="both"/>
      </w:pPr>
      <w:r w:rsidRPr="00EA700F">
        <w:t>Hydrological data pertaining to each field site were collated from the PINNNENA CW 10.1 database (</w:t>
      </w:r>
      <w:r w:rsidRPr="00EA700F">
        <w:rPr>
          <w:rFonts w:cs="Helvetica"/>
        </w:rPr>
        <w:t>NSW Office of Water, Department of Primary Industries</w:t>
      </w:r>
      <w:r w:rsidRPr="00EA700F">
        <w:t xml:space="preserve">) and the NSW Office of Water Continuous </w:t>
      </w:r>
      <w:r w:rsidRPr="00EA700F">
        <w:lastRenderedPageBreak/>
        <w:t>Water Monitoring network website (</w:t>
      </w:r>
      <w:hyperlink r:id="rId6" w:history="1">
        <w:r w:rsidRPr="00EA700F">
          <w:rPr>
            <w:rStyle w:val="Hyperlink"/>
          </w:rPr>
          <w:t>http://realtimedata.water.nsw.gov.au/water.stm</w:t>
        </w:r>
      </w:hyperlink>
      <w:r w:rsidRPr="00EA700F">
        <w:t>) (for NSW sites), and the Victoria State Government’s Water Measurement Information System website (</w:t>
      </w:r>
      <w:hyperlink r:id="rId7" w:history="1">
        <w:r w:rsidRPr="00EA700F">
          <w:rPr>
            <w:rStyle w:val="Hyperlink"/>
          </w:rPr>
          <w:t>http://data.water.vic.gov.au/monitoring.htm</w:t>
        </w:r>
      </w:hyperlink>
      <w:r w:rsidRPr="00EA700F">
        <w:t xml:space="preserve">). Daily discharge rate data </w:t>
      </w:r>
      <w:r w:rsidR="00B55332" w:rsidRPr="00EA700F">
        <w:t>is recorded</w:t>
      </w:r>
      <w:r w:rsidRPr="00EA700F">
        <w:t xml:space="preserve"> as </w:t>
      </w:r>
      <w:proofErr w:type="spellStart"/>
      <w:r w:rsidRPr="00EA700F">
        <w:t>timestamped</w:t>
      </w:r>
      <w:proofErr w:type="spellEnd"/>
      <w:r w:rsidRPr="00EA700F">
        <w:t xml:space="preserve"> average daily flow </w:t>
      </w:r>
      <w:proofErr w:type="spellStart"/>
      <w:r w:rsidRPr="00EA700F">
        <w:t>datapoints</w:t>
      </w:r>
      <w:proofErr w:type="spellEnd"/>
      <w:r w:rsidRPr="00EA700F">
        <w:t xml:space="preserve"> in units of </w:t>
      </w:r>
      <w:proofErr w:type="spellStart"/>
      <w:r w:rsidRPr="00EA700F">
        <w:t>megalitres</w:t>
      </w:r>
      <w:proofErr w:type="spellEnd"/>
      <w:r w:rsidRPr="00EA700F">
        <w:t xml:space="preserve"> per day. Where possible 30 year time series were obtained, spanning years 1983 – 2012. Records were truncated for three sites, spanning 15, 19 and 28 years. Missing data were approximated using the Time Series Manager module in River Analysis Package (REF). Consistency of the resulting outputs were checked by visual inspection of hydrographs. For Mammy Johnson’s River, Mann River, Sportsman’s Creek and </w:t>
      </w:r>
      <w:proofErr w:type="spellStart"/>
      <w:r w:rsidRPr="00EA700F">
        <w:t>Wallagaraugh</w:t>
      </w:r>
      <w:proofErr w:type="spellEnd"/>
      <w:r w:rsidRPr="00EA700F">
        <w:t xml:space="preserve"> River, multiple linear regression was chosen as the most appropriate method. Linear interpolation was used for Jilliby Creek data.</w:t>
      </w:r>
    </w:p>
    <w:p w14:paraId="288A9CA3" w14:textId="77777777" w:rsidR="00B634E6" w:rsidRPr="00EA700F" w:rsidRDefault="00B634E6" w:rsidP="00A22B81">
      <w:pPr>
        <w:spacing w:line="360" w:lineRule="auto"/>
        <w:jc w:val="both"/>
      </w:pPr>
      <w:r w:rsidRPr="00EA700F">
        <w:t xml:space="preserve">A minimal set of hydrological metrics was pared from the full set described by Kennard et al. (2010).  These metrics were chosen to be representative of variability in high flow magnitude and frequency as well as predictability and consistency of water availability in the riparian environment (see Table 1 for a description). We used the Time Series Analysis module in River Analysis Package to generate these metrics. Means and coefficients of variation were calculated for most metrics to indicate central tendency as well as spread within the data. Low and high spell metrics were </w:t>
      </w:r>
      <w:proofErr w:type="spellStart"/>
      <w:r w:rsidRPr="00EA700F">
        <w:t>thresholded</w:t>
      </w:r>
      <w:proofErr w:type="spellEnd"/>
      <w:r w:rsidRPr="00EA700F">
        <w:t xml:space="preserve"> at the 5</w:t>
      </w:r>
      <w:r w:rsidRPr="00EA700F">
        <w:rPr>
          <w:vertAlign w:val="superscript"/>
        </w:rPr>
        <w:t>th</w:t>
      </w:r>
      <w:r w:rsidRPr="00EA700F">
        <w:t xml:space="preserve"> and 95</w:t>
      </w:r>
      <w:r w:rsidRPr="00EA700F">
        <w:rPr>
          <w:vertAlign w:val="superscript"/>
        </w:rPr>
        <w:t>th</w:t>
      </w:r>
      <w:r w:rsidRPr="00EA700F">
        <w:t xml:space="preserve"> percentiles, respectively, with a flood independence criterion of 7 days between peaks events 20 year average return interval (ARI) flood magnitude was also calculated with a flood independence value of 7 days between peaks. Colwell’s Indices were calculated using mean values over monthly time periods and a class distribution of 11 flow classes. Metrics of flow magnitude were normalised by mean daily flow to allow for comparison between different sizes of river.</w:t>
      </w:r>
    </w:p>
    <w:p w14:paraId="68A7E2DE" w14:textId="77777777" w:rsidR="00B634E6" w:rsidRPr="00EA700F" w:rsidRDefault="00B634E6" w:rsidP="00A22B81">
      <w:pPr>
        <w:spacing w:after="0" w:line="360" w:lineRule="auto"/>
        <w:jc w:val="both"/>
        <w:rPr>
          <w:color w:val="000000"/>
        </w:rPr>
      </w:pPr>
    </w:p>
    <w:tbl>
      <w:tblPr>
        <w:tblStyle w:val="TableGrid"/>
        <w:tblW w:w="9016" w:type="dxa"/>
        <w:tblLayout w:type="fixed"/>
        <w:tblLook w:val="04A0" w:firstRow="1" w:lastRow="0" w:firstColumn="1" w:lastColumn="0" w:noHBand="0" w:noVBand="1"/>
      </w:tblPr>
      <w:tblGrid>
        <w:gridCol w:w="2204"/>
        <w:gridCol w:w="1902"/>
        <w:gridCol w:w="535"/>
        <w:gridCol w:w="1875"/>
        <w:gridCol w:w="2500"/>
      </w:tblGrid>
      <w:tr w:rsidR="00B634E6" w:rsidRPr="00EA700F" w14:paraId="4291CD2D" w14:textId="77777777" w:rsidTr="00630B93">
        <w:tc>
          <w:tcPr>
            <w:tcW w:w="2204" w:type="dxa"/>
          </w:tcPr>
          <w:p w14:paraId="0BB74DB2" w14:textId="77777777" w:rsidR="00B634E6" w:rsidRPr="00EA700F" w:rsidRDefault="00B634E6" w:rsidP="00A22B81">
            <w:pPr>
              <w:spacing w:line="276" w:lineRule="auto"/>
              <w:jc w:val="both"/>
              <w:rPr>
                <w:rFonts w:eastAsia="Times New Roman" w:cs="Times New Roman"/>
                <w:b/>
                <w:color w:val="000000"/>
                <w:lang w:eastAsia="en-AU"/>
              </w:rPr>
            </w:pPr>
            <w:r w:rsidRPr="00EA700F">
              <w:rPr>
                <w:rFonts w:eastAsia="Times New Roman" w:cs="Times New Roman"/>
                <w:b/>
                <w:color w:val="000000"/>
                <w:lang w:eastAsia="en-AU"/>
              </w:rPr>
              <w:t>Parameter</w:t>
            </w:r>
          </w:p>
        </w:tc>
        <w:tc>
          <w:tcPr>
            <w:tcW w:w="2437" w:type="dxa"/>
            <w:gridSpan w:val="2"/>
          </w:tcPr>
          <w:p w14:paraId="122C607C" w14:textId="77777777" w:rsidR="00B634E6" w:rsidRPr="00EA700F" w:rsidRDefault="00B634E6" w:rsidP="00A22B81">
            <w:pPr>
              <w:spacing w:line="276" w:lineRule="auto"/>
              <w:jc w:val="both"/>
              <w:rPr>
                <w:rFonts w:eastAsia="Times New Roman" w:cs="Times New Roman"/>
                <w:b/>
                <w:color w:val="000000"/>
                <w:lang w:eastAsia="en-AU"/>
              </w:rPr>
            </w:pPr>
            <w:r w:rsidRPr="00EA700F">
              <w:rPr>
                <w:rFonts w:eastAsia="Times New Roman" w:cs="Times New Roman"/>
                <w:b/>
                <w:color w:val="000000"/>
                <w:lang w:eastAsia="en-AU"/>
              </w:rPr>
              <w:t>Abbreviation</w:t>
            </w:r>
          </w:p>
        </w:tc>
        <w:tc>
          <w:tcPr>
            <w:tcW w:w="1875" w:type="dxa"/>
          </w:tcPr>
          <w:p w14:paraId="4B7E3F13" w14:textId="77777777" w:rsidR="00B634E6" w:rsidRPr="00EA700F" w:rsidRDefault="00B634E6" w:rsidP="00A22B81">
            <w:pPr>
              <w:spacing w:line="276" w:lineRule="auto"/>
              <w:jc w:val="both"/>
              <w:rPr>
                <w:rFonts w:eastAsia="Times New Roman" w:cs="Times New Roman"/>
                <w:b/>
                <w:color w:val="000000"/>
                <w:lang w:eastAsia="en-AU"/>
              </w:rPr>
            </w:pPr>
            <w:r w:rsidRPr="00EA700F">
              <w:rPr>
                <w:rFonts w:eastAsia="Times New Roman" w:cs="Times New Roman"/>
                <w:b/>
                <w:color w:val="000000"/>
                <w:lang w:eastAsia="en-AU"/>
              </w:rPr>
              <w:t>Units</w:t>
            </w:r>
          </w:p>
        </w:tc>
        <w:tc>
          <w:tcPr>
            <w:tcW w:w="2500" w:type="dxa"/>
          </w:tcPr>
          <w:p w14:paraId="4546A76D" w14:textId="77777777" w:rsidR="00B634E6" w:rsidRPr="00EA700F" w:rsidRDefault="00B634E6" w:rsidP="00A22B81">
            <w:pPr>
              <w:spacing w:line="276" w:lineRule="auto"/>
              <w:jc w:val="both"/>
              <w:rPr>
                <w:rFonts w:eastAsia="Times New Roman" w:cs="Times New Roman"/>
                <w:b/>
                <w:color w:val="000000"/>
                <w:lang w:eastAsia="en-AU"/>
              </w:rPr>
            </w:pPr>
            <w:r w:rsidRPr="00EA700F">
              <w:rPr>
                <w:rFonts w:eastAsia="Times New Roman" w:cs="Times New Roman"/>
                <w:b/>
                <w:color w:val="000000"/>
                <w:lang w:eastAsia="en-AU"/>
              </w:rPr>
              <w:t>Description</w:t>
            </w:r>
          </w:p>
        </w:tc>
      </w:tr>
      <w:tr w:rsidR="00B634E6" w:rsidRPr="00EA700F" w14:paraId="337E882A" w14:textId="77777777" w:rsidTr="00630B93">
        <w:tc>
          <w:tcPr>
            <w:tcW w:w="9016" w:type="dxa"/>
            <w:gridSpan w:val="5"/>
          </w:tcPr>
          <w:p w14:paraId="6E79033F" w14:textId="77777777" w:rsidR="00B634E6" w:rsidRPr="00EA700F" w:rsidRDefault="00B634E6" w:rsidP="00A22B81">
            <w:pPr>
              <w:spacing w:line="276" w:lineRule="auto"/>
              <w:jc w:val="center"/>
              <w:rPr>
                <w:rFonts w:eastAsia="Times New Roman" w:cs="Times New Roman"/>
                <w:i/>
                <w:color w:val="000000"/>
                <w:lang w:eastAsia="en-AU"/>
              </w:rPr>
            </w:pPr>
            <w:r w:rsidRPr="00EA700F">
              <w:rPr>
                <w:rFonts w:eastAsia="Times New Roman" w:cs="Times New Roman"/>
                <w:i/>
                <w:color w:val="000000"/>
                <w:lang w:eastAsia="en-AU"/>
              </w:rPr>
              <w:t>Flood frequency and magnitude</w:t>
            </w:r>
          </w:p>
        </w:tc>
      </w:tr>
      <w:tr w:rsidR="00B634E6" w:rsidRPr="00EA700F" w14:paraId="14791935" w14:textId="77777777" w:rsidTr="00630B93">
        <w:tc>
          <w:tcPr>
            <w:tcW w:w="2204" w:type="dxa"/>
          </w:tcPr>
          <w:p w14:paraId="183A8BE7"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Mean magnitude of high spells</w:t>
            </w:r>
            <w:r w:rsidRPr="00EA700F">
              <w:rPr>
                <w:rFonts w:eastAsia="Times New Roman" w:cs="Times New Roman"/>
                <w:color w:val="000000"/>
                <w:lang w:eastAsia="en-AU"/>
              </w:rPr>
              <w:t>*</w:t>
            </w:r>
          </w:p>
        </w:tc>
        <w:tc>
          <w:tcPr>
            <w:tcW w:w="1902" w:type="dxa"/>
          </w:tcPr>
          <w:p w14:paraId="1915CBD3" w14:textId="77777777" w:rsidR="00B634E6" w:rsidRPr="00EA700F" w:rsidRDefault="00B634E6" w:rsidP="00A22B81">
            <w:pPr>
              <w:spacing w:line="276" w:lineRule="auto"/>
              <w:jc w:val="both"/>
              <w:rPr>
                <w:rFonts w:eastAsia="Times New Roman" w:cs="Times New Roman"/>
                <w:color w:val="000000"/>
                <w:lang w:eastAsia="en-AU"/>
              </w:rPr>
            </w:pPr>
            <w:proofErr w:type="spellStart"/>
            <w:r w:rsidRPr="00EA700F">
              <w:t>HSPeaknorm</w:t>
            </w:r>
            <w:proofErr w:type="spellEnd"/>
          </w:p>
        </w:tc>
        <w:tc>
          <w:tcPr>
            <w:tcW w:w="2410" w:type="dxa"/>
            <w:gridSpan w:val="2"/>
          </w:tcPr>
          <w:p w14:paraId="74392C40"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val="restart"/>
          </w:tcPr>
          <w:p w14:paraId="506381D8" w14:textId="77777777" w:rsidR="00B634E6" w:rsidRPr="00EA700F" w:rsidRDefault="00B634E6" w:rsidP="00A22B81">
            <w:pPr>
              <w:spacing w:line="276" w:lineRule="auto"/>
              <w:rPr>
                <w:rFonts w:eastAsia="Times New Roman" w:cs="Times New Roman"/>
                <w:color w:val="000000"/>
                <w:lang w:eastAsia="en-AU"/>
              </w:rPr>
            </w:pPr>
            <w:r w:rsidRPr="00EA700F">
              <w:t>High spells are periods of flow above the 95</w:t>
            </w:r>
            <w:r w:rsidRPr="00EA700F">
              <w:rPr>
                <w:vertAlign w:val="superscript"/>
              </w:rPr>
              <w:t>th</w:t>
            </w:r>
            <w:r w:rsidRPr="00EA700F">
              <w:t xml:space="preserve"> percentile on the flow duration curve. We were interested in how frequently these conditions occurred over the time series as well as the mean magnitude of peak flows during these periods. 20 year average return interval (ARI) floods are extreme flow </w:t>
            </w:r>
            <w:r w:rsidRPr="00EA700F">
              <w:lastRenderedPageBreak/>
              <w:t xml:space="preserve">events that have the potential to </w:t>
            </w:r>
            <w:proofErr w:type="spellStart"/>
            <w:r w:rsidRPr="00EA700F">
              <w:t>resculpt</w:t>
            </w:r>
            <w:proofErr w:type="spellEnd"/>
            <w:r w:rsidRPr="00EA700F">
              <w:t xml:space="preserve"> the fluvial landscape. Together, these metrics indicate the intensity and frequency with which mechanical stress is applied to plants in the riparian zone.</w:t>
            </w:r>
          </w:p>
        </w:tc>
      </w:tr>
      <w:tr w:rsidR="00B634E6" w:rsidRPr="00EA700F" w14:paraId="7C924A46" w14:textId="77777777" w:rsidTr="00630B93">
        <w:tc>
          <w:tcPr>
            <w:tcW w:w="2204" w:type="dxa"/>
          </w:tcPr>
          <w:p w14:paraId="04C8C2A6"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CV of all years’ mean high spell magnitude</w:t>
            </w:r>
          </w:p>
        </w:tc>
        <w:tc>
          <w:tcPr>
            <w:tcW w:w="1902" w:type="dxa"/>
          </w:tcPr>
          <w:p w14:paraId="24E01D38" w14:textId="77777777" w:rsidR="00B634E6" w:rsidRPr="00EA700F" w:rsidRDefault="00B634E6" w:rsidP="00A22B81">
            <w:pPr>
              <w:spacing w:line="276" w:lineRule="auto"/>
              <w:jc w:val="both"/>
              <w:rPr>
                <w:rFonts w:eastAsia="Times New Roman" w:cs="Times New Roman"/>
                <w:color w:val="000000"/>
                <w:lang w:eastAsia="en-AU"/>
              </w:rPr>
            </w:pPr>
            <w:proofErr w:type="spellStart"/>
            <w:r w:rsidRPr="00EA700F">
              <w:t>CVAnnHSPeak</w:t>
            </w:r>
            <w:proofErr w:type="spellEnd"/>
          </w:p>
        </w:tc>
        <w:tc>
          <w:tcPr>
            <w:tcW w:w="2410" w:type="dxa"/>
            <w:gridSpan w:val="2"/>
          </w:tcPr>
          <w:p w14:paraId="44CDA8B0"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20CD3C62"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4B2969C3" w14:textId="77777777" w:rsidTr="00630B93">
        <w:tc>
          <w:tcPr>
            <w:tcW w:w="2204" w:type="dxa"/>
          </w:tcPr>
          <w:p w14:paraId="133854FF"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20 year ARI flood magnitude*</w:t>
            </w:r>
          </w:p>
        </w:tc>
        <w:tc>
          <w:tcPr>
            <w:tcW w:w="1902" w:type="dxa"/>
          </w:tcPr>
          <w:p w14:paraId="73216DF6" w14:textId="77777777" w:rsidR="00B634E6" w:rsidRPr="00EA700F" w:rsidRDefault="00B634E6" w:rsidP="00A22B81">
            <w:pPr>
              <w:spacing w:line="276" w:lineRule="auto"/>
              <w:jc w:val="both"/>
              <w:rPr>
                <w:rFonts w:eastAsia="Times New Roman" w:cs="Times New Roman"/>
                <w:color w:val="000000"/>
                <w:lang w:eastAsia="en-AU"/>
              </w:rPr>
            </w:pPr>
            <w:r w:rsidRPr="00EA700F">
              <w:t>AS20YrARInorm</w:t>
            </w:r>
          </w:p>
        </w:tc>
        <w:tc>
          <w:tcPr>
            <w:tcW w:w="2410" w:type="dxa"/>
            <w:gridSpan w:val="2"/>
          </w:tcPr>
          <w:p w14:paraId="64846077"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457596DD"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2554B138" w14:textId="77777777" w:rsidTr="00630B93">
        <w:tc>
          <w:tcPr>
            <w:tcW w:w="2204" w:type="dxa"/>
          </w:tcPr>
          <w:p w14:paraId="0ECB30A4"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Mean of all years’ number of high spells</w:t>
            </w:r>
          </w:p>
        </w:tc>
        <w:tc>
          <w:tcPr>
            <w:tcW w:w="1902" w:type="dxa"/>
          </w:tcPr>
          <w:p w14:paraId="2415AC0B" w14:textId="77777777" w:rsidR="00B634E6" w:rsidRPr="00EA700F" w:rsidRDefault="00B634E6" w:rsidP="00A22B81">
            <w:pPr>
              <w:spacing w:line="276" w:lineRule="auto"/>
              <w:jc w:val="both"/>
              <w:rPr>
                <w:rFonts w:eastAsia="Times New Roman" w:cs="Times New Roman"/>
                <w:color w:val="000000"/>
                <w:lang w:eastAsia="en-AU"/>
              </w:rPr>
            </w:pPr>
            <w:proofErr w:type="spellStart"/>
            <w:r w:rsidRPr="00EA700F">
              <w:t>MDFAnnHSNum</w:t>
            </w:r>
            <w:proofErr w:type="spellEnd"/>
          </w:p>
        </w:tc>
        <w:tc>
          <w:tcPr>
            <w:tcW w:w="2410" w:type="dxa"/>
            <w:gridSpan w:val="2"/>
          </w:tcPr>
          <w:p w14:paraId="6E75D8C4"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year</w:t>
            </w:r>
            <w:r w:rsidRPr="00EA700F">
              <w:rPr>
                <w:rFonts w:eastAsia="Times New Roman" w:cs="Times New Roman"/>
                <w:color w:val="000000"/>
                <w:vertAlign w:val="superscript"/>
                <w:lang w:eastAsia="en-AU"/>
              </w:rPr>
              <w:t>-1</w:t>
            </w:r>
          </w:p>
        </w:tc>
        <w:tc>
          <w:tcPr>
            <w:tcW w:w="2500" w:type="dxa"/>
            <w:vMerge/>
          </w:tcPr>
          <w:p w14:paraId="3A09CEF0"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5B7945D6" w14:textId="77777777" w:rsidTr="00630B93">
        <w:tc>
          <w:tcPr>
            <w:tcW w:w="2204" w:type="dxa"/>
          </w:tcPr>
          <w:p w14:paraId="3D1F77A1"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CV of all years’ number of high spells</w:t>
            </w:r>
          </w:p>
        </w:tc>
        <w:tc>
          <w:tcPr>
            <w:tcW w:w="1902" w:type="dxa"/>
          </w:tcPr>
          <w:p w14:paraId="7B3D1D7F" w14:textId="77777777" w:rsidR="00B634E6" w:rsidRPr="00EA700F" w:rsidRDefault="00B634E6" w:rsidP="00A22B81">
            <w:pPr>
              <w:spacing w:line="276" w:lineRule="auto"/>
              <w:jc w:val="both"/>
              <w:rPr>
                <w:rFonts w:eastAsia="Times New Roman" w:cs="Times New Roman"/>
                <w:color w:val="000000"/>
                <w:lang w:eastAsia="en-AU"/>
              </w:rPr>
            </w:pPr>
            <w:proofErr w:type="spellStart"/>
            <w:r w:rsidRPr="00EA700F">
              <w:t>CVAnnHSNum</w:t>
            </w:r>
            <w:proofErr w:type="spellEnd"/>
          </w:p>
        </w:tc>
        <w:tc>
          <w:tcPr>
            <w:tcW w:w="2410" w:type="dxa"/>
            <w:gridSpan w:val="2"/>
          </w:tcPr>
          <w:p w14:paraId="72A1924F"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3B76E699"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7A875169" w14:textId="77777777" w:rsidTr="00630B93">
        <w:tc>
          <w:tcPr>
            <w:tcW w:w="9016" w:type="dxa"/>
            <w:gridSpan w:val="5"/>
          </w:tcPr>
          <w:p w14:paraId="5678FCCE" w14:textId="77777777" w:rsidR="00B634E6" w:rsidRPr="00EA700F" w:rsidRDefault="00B634E6" w:rsidP="00A22B81">
            <w:pPr>
              <w:tabs>
                <w:tab w:val="left" w:pos="3160"/>
              </w:tabs>
              <w:spacing w:line="276" w:lineRule="auto"/>
              <w:jc w:val="center"/>
              <w:rPr>
                <w:rFonts w:eastAsia="Times New Roman" w:cs="Times New Roman"/>
                <w:i/>
                <w:color w:val="000000"/>
                <w:lang w:eastAsia="en-AU"/>
              </w:rPr>
            </w:pPr>
            <w:r w:rsidRPr="00EA700F">
              <w:rPr>
                <w:i/>
              </w:rPr>
              <w:lastRenderedPageBreak/>
              <w:t>Rise and fall rates</w:t>
            </w:r>
          </w:p>
        </w:tc>
      </w:tr>
      <w:tr w:rsidR="00B634E6" w:rsidRPr="00EA700F" w14:paraId="51840342" w14:textId="77777777" w:rsidTr="00630B93">
        <w:tc>
          <w:tcPr>
            <w:tcW w:w="2204" w:type="dxa"/>
          </w:tcPr>
          <w:p w14:paraId="344B1C89" w14:textId="77777777"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Mean rate of rise *</w:t>
            </w:r>
          </w:p>
        </w:tc>
        <w:tc>
          <w:tcPr>
            <w:tcW w:w="1902" w:type="dxa"/>
          </w:tcPr>
          <w:p w14:paraId="4092831E" w14:textId="77777777" w:rsidR="00B634E6" w:rsidRPr="00EA700F" w:rsidRDefault="00B634E6" w:rsidP="00A22B81">
            <w:pPr>
              <w:spacing w:line="276" w:lineRule="auto"/>
              <w:jc w:val="both"/>
            </w:pPr>
            <w:proofErr w:type="spellStart"/>
            <w:r w:rsidRPr="00EA700F">
              <w:t>MRateRisenorm</w:t>
            </w:r>
            <w:proofErr w:type="spellEnd"/>
          </w:p>
        </w:tc>
        <w:tc>
          <w:tcPr>
            <w:tcW w:w="2410" w:type="dxa"/>
            <w:gridSpan w:val="2"/>
          </w:tcPr>
          <w:p w14:paraId="4FBCFD73"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val="restart"/>
          </w:tcPr>
          <w:p w14:paraId="2053FFAB" w14:textId="77777777" w:rsidR="00B634E6" w:rsidRPr="00EA700F" w:rsidRDefault="00B634E6" w:rsidP="00A22B81">
            <w:pPr>
              <w:spacing w:line="276" w:lineRule="auto"/>
              <w:rPr>
                <w:rFonts w:eastAsia="Times New Roman" w:cs="Times New Roman"/>
                <w:color w:val="000000"/>
                <w:lang w:eastAsia="en-AU"/>
              </w:rPr>
            </w:pPr>
            <w:r w:rsidRPr="00EA700F">
              <w:t>Rise and fall rates represent flow flashiness. Fast rise rates are associated with flood waves and intense mechanical stress to plant stems. Slow fall rates keep exposed substrate moist for longer periods, which may produce favourable conditions for germination. Historical discharge records are unfortunately limited to daily resolution, so are unable to fully capture flood discharge shapes. High variability between years indicates the occurrence of extreme events which may not have been captured by the mean value.</w:t>
            </w:r>
          </w:p>
        </w:tc>
      </w:tr>
      <w:tr w:rsidR="00B634E6" w:rsidRPr="00EA700F" w14:paraId="7E1FC7D6" w14:textId="77777777" w:rsidTr="00630B93">
        <w:tc>
          <w:tcPr>
            <w:tcW w:w="2204" w:type="dxa"/>
          </w:tcPr>
          <w:p w14:paraId="507DE766" w14:textId="77777777"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Mean rate of fall *</w:t>
            </w:r>
          </w:p>
        </w:tc>
        <w:tc>
          <w:tcPr>
            <w:tcW w:w="1902" w:type="dxa"/>
          </w:tcPr>
          <w:p w14:paraId="09230787" w14:textId="77777777" w:rsidR="00B634E6" w:rsidRPr="00EA700F" w:rsidRDefault="00B634E6" w:rsidP="00A22B81">
            <w:pPr>
              <w:spacing w:line="276" w:lineRule="auto"/>
              <w:jc w:val="both"/>
            </w:pPr>
            <w:proofErr w:type="spellStart"/>
            <w:r w:rsidRPr="00EA700F">
              <w:t>MRateFallnorm</w:t>
            </w:r>
            <w:proofErr w:type="spellEnd"/>
          </w:p>
        </w:tc>
        <w:tc>
          <w:tcPr>
            <w:tcW w:w="2410" w:type="dxa"/>
            <w:gridSpan w:val="2"/>
          </w:tcPr>
          <w:p w14:paraId="1FE486DC"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1D165DF8"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402D0D09" w14:textId="77777777" w:rsidTr="00630B93">
        <w:tc>
          <w:tcPr>
            <w:tcW w:w="2204" w:type="dxa"/>
          </w:tcPr>
          <w:p w14:paraId="2442474B" w14:textId="77777777"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CV of all years mean rate of rise</w:t>
            </w:r>
          </w:p>
        </w:tc>
        <w:tc>
          <w:tcPr>
            <w:tcW w:w="1902" w:type="dxa"/>
          </w:tcPr>
          <w:p w14:paraId="1DB5C71D" w14:textId="77777777" w:rsidR="00B634E6" w:rsidRPr="00EA700F" w:rsidRDefault="00B634E6" w:rsidP="00A22B81">
            <w:pPr>
              <w:spacing w:line="276" w:lineRule="auto"/>
              <w:jc w:val="both"/>
            </w:pPr>
            <w:proofErr w:type="spellStart"/>
            <w:r w:rsidRPr="00EA700F">
              <w:t>CVAnnMRateRise</w:t>
            </w:r>
            <w:proofErr w:type="spellEnd"/>
          </w:p>
        </w:tc>
        <w:tc>
          <w:tcPr>
            <w:tcW w:w="2410" w:type="dxa"/>
            <w:gridSpan w:val="2"/>
          </w:tcPr>
          <w:p w14:paraId="61A46638"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7AF26581"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15335D0B" w14:textId="77777777" w:rsidTr="00630B93">
        <w:tc>
          <w:tcPr>
            <w:tcW w:w="2204" w:type="dxa"/>
          </w:tcPr>
          <w:p w14:paraId="1B59DFD3" w14:textId="77777777"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CV of all years mean rate of rise</w:t>
            </w:r>
          </w:p>
        </w:tc>
        <w:tc>
          <w:tcPr>
            <w:tcW w:w="1902" w:type="dxa"/>
          </w:tcPr>
          <w:p w14:paraId="61EC550D" w14:textId="77777777" w:rsidR="00B634E6" w:rsidRPr="00EA700F" w:rsidRDefault="00B634E6" w:rsidP="00A22B81">
            <w:pPr>
              <w:spacing w:line="276" w:lineRule="auto"/>
              <w:jc w:val="both"/>
            </w:pPr>
            <w:proofErr w:type="spellStart"/>
            <w:r w:rsidRPr="00EA700F">
              <w:t>CVAnnMRateFall</w:t>
            </w:r>
            <w:proofErr w:type="spellEnd"/>
          </w:p>
        </w:tc>
        <w:tc>
          <w:tcPr>
            <w:tcW w:w="2410" w:type="dxa"/>
            <w:gridSpan w:val="2"/>
          </w:tcPr>
          <w:p w14:paraId="4287C4CA"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6D9556E4"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08B59D86" w14:textId="77777777" w:rsidTr="00630B93">
        <w:tc>
          <w:tcPr>
            <w:tcW w:w="9016" w:type="dxa"/>
            <w:gridSpan w:val="5"/>
          </w:tcPr>
          <w:p w14:paraId="6E853E58" w14:textId="77777777" w:rsidR="00B634E6" w:rsidRPr="00EA700F" w:rsidRDefault="00B634E6" w:rsidP="00A22B81">
            <w:pPr>
              <w:spacing w:line="276" w:lineRule="auto"/>
              <w:jc w:val="center"/>
              <w:rPr>
                <w:rFonts w:eastAsia="Times New Roman" w:cs="Times New Roman"/>
                <w:i/>
                <w:color w:val="000000"/>
                <w:lang w:eastAsia="en-AU"/>
              </w:rPr>
            </w:pPr>
            <w:proofErr w:type="spellStart"/>
            <w:r w:rsidRPr="00EA700F">
              <w:rPr>
                <w:rFonts w:eastAsia="Times New Roman" w:cs="Times New Roman"/>
                <w:i/>
                <w:color w:val="000000"/>
                <w:lang w:eastAsia="en-AU"/>
              </w:rPr>
              <w:t>Baseflow</w:t>
            </w:r>
            <w:proofErr w:type="spellEnd"/>
            <w:r w:rsidRPr="00EA700F">
              <w:rPr>
                <w:rFonts w:eastAsia="Times New Roman" w:cs="Times New Roman"/>
                <w:i/>
                <w:color w:val="000000"/>
                <w:lang w:eastAsia="en-AU"/>
              </w:rPr>
              <w:t xml:space="preserve"> index</w:t>
            </w:r>
          </w:p>
        </w:tc>
      </w:tr>
      <w:tr w:rsidR="00B634E6" w:rsidRPr="00EA700F" w14:paraId="5F1B9E42" w14:textId="77777777" w:rsidTr="00630B93">
        <w:tc>
          <w:tcPr>
            <w:tcW w:w="2204" w:type="dxa"/>
          </w:tcPr>
          <w:p w14:paraId="3A68D25B" w14:textId="77777777" w:rsidR="00B634E6" w:rsidRPr="00EA700F" w:rsidRDefault="00B634E6" w:rsidP="00A22B81">
            <w:pPr>
              <w:spacing w:line="276" w:lineRule="auto"/>
              <w:rPr>
                <w:rFonts w:eastAsia="Times New Roman" w:cs="Times New Roman"/>
                <w:color w:val="000000"/>
                <w:lang w:eastAsia="en-AU"/>
              </w:rPr>
            </w:pPr>
            <w:proofErr w:type="spellStart"/>
            <w:r w:rsidRPr="00EA700F">
              <w:rPr>
                <w:rFonts w:eastAsia="Times New Roman" w:cs="Times New Roman"/>
                <w:color w:val="000000"/>
                <w:lang w:eastAsia="en-AU"/>
              </w:rPr>
              <w:t>Baseflow</w:t>
            </w:r>
            <w:proofErr w:type="spellEnd"/>
            <w:r w:rsidRPr="00EA700F">
              <w:rPr>
                <w:rFonts w:eastAsia="Times New Roman" w:cs="Times New Roman"/>
                <w:color w:val="000000"/>
                <w:lang w:eastAsia="en-AU"/>
              </w:rPr>
              <w:t xml:space="preserve"> index</w:t>
            </w:r>
          </w:p>
        </w:tc>
        <w:tc>
          <w:tcPr>
            <w:tcW w:w="1902" w:type="dxa"/>
          </w:tcPr>
          <w:p w14:paraId="625ABB22" w14:textId="77777777" w:rsidR="00B634E6" w:rsidRPr="00EA700F" w:rsidRDefault="00B634E6" w:rsidP="00A22B81">
            <w:pPr>
              <w:spacing w:line="276" w:lineRule="auto"/>
              <w:jc w:val="both"/>
            </w:pPr>
            <w:r w:rsidRPr="00EA700F">
              <w:t>BFI</w:t>
            </w:r>
          </w:p>
        </w:tc>
        <w:tc>
          <w:tcPr>
            <w:tcW w:w="2410" w:type="dxa"/>
            <w:gridSpan w:val="2"/>
          </w:tcPr>
          <w:p w14:paraId="4DC9EB88"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val="restart"/>
          </w:tcPr>
          <w:p w14:paraId="565D94A0" w14:textId="77777777" w:rsidR="00B634E6" w:rsidRPr="00EA700F" w:rsidRDefault="00B634E6" w:rsidP="00A22B81">
            <w:pPr>
              <w:spacing w:line="276" w:lineRule="auto"/>
              <w:rPr>
                <w:rFonts w:eastAsia="Times New Roman" w:cs="Times New Roman"/>
                <w:color w:val="000000"/>
                <w:lang w:eastAsia="en-AU"/>
              </w:rPr>
            </w:pPr>
            <w:proofErr w:type="spellStart"/>
            <w:r w:rsidRPr="00EA700F">
              <w:t>Baseflow</w:t>
            </w:r>
            <w:proofErr w:type="spellEnd"/>
            <w:r w:rsidRPr="00EA700F">
              <w:t xml:space="preserve"> index is calculated using the ratio of flow during average conditions to total flow. It is a useful metric of consistency of water availability, in that it is maximised when average flow conditions dominate, and minimised </w:t>
            </w:r>
            <w:r w:rsidRPr="00EA700F">
              <w:lastRenderedPageBreak/>
              <w:t xml:space="preserve">when total flow is dominated by above average flow events. Intra-annual variability in </w:t>
            </w:r>
            <w:proofErr w:type="spellStart"/>
            <w:r w:rsidRPr="00EA700F">
              <w:t>baseflow</w:t>
            </w:r>
            <w:proofErr w:type="spellEnd"/>
            <w:r w:rsidRPr="00EA700F">
              <w:t xml:space="preserve"> index measures how predictable </w:t>
            </w:r>
            <w:proofErr w:type="spellStart"/>
            <w:r w:rsidRPr="00EA700F">
              <w:t>baseflow</w:t>
            </w:r>
            <w:proofErr w:type="spellEnd"/>
            <w:r w:rsidRPr="00EA700F">
              <w:t xml:space="preserve"> index is between years.</w:t>
            </w:r>
          </w:p>
        </w:tc>
      </w:tr>
      <w:tr w:rsidR="00B634E6" w:rsidRPr="00EA700F" w14:paraId="6FF0FCD0" w14:textId="77777777" w:rsidTr="00630B93">
        <w:tc>
          <w:tcPr>
            <w:tcW w:w="2204" w:type="dxa"/>
          </w:tcPr>
          <w:p w14:paraId="4193258A"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 xml:space="preserve">CV of all years </w:t>
            </w:r>
            <w:proofErr w:type="spellStart"/>
            <w:r w:rsidRPr="00EA700F">
              <w:rPr>
                <w:color w:val="000000"/>
              </w:rPr>
              <w:t>Baseflow</w:t>
            </w:r>
            <w:proofErr w:type="spellEnd"/>
            <w:r w:rsidRPr="00EA700F">
              <w:rPr>
                <w:color w:val="000000"/>
              </w:rPr>
              <w:t xml:space="preserve"> Index</w:t>
            </w:r>
          </w:p>
        </w:tc>
        <w:tc>
          <w:tcPr>
            <w:tcW w:w="1902" w:type="dxa"/>
          </w:tcPr>
          <w:p w14:paraId="4513F7A0" w14:textId="77777777" w:rsidR="00B634E6" w:rsidRPr="00EA700F" w:rsidRDefault="00B634E6" w:rsidP="00A22B81">
            <w:pPr>
              <w:spacing w:line="276" w:lineRule="auto"/>
              <w:jc w:val="both"/>
            </w:pPr>
            <w:proofErr w:type="spellStart"/>
            <w:r w:rsidRPr="00EA700F">
              <w:t>CVAnnBFI</w:t>
            </w:r>
            <w:proofErr w:type="spellEnd"/>
          </w:p>
        </w:tc>
        <w:tc>
          <w:tcPr>
            <w:tcW w:w="2410" w:type="dxa"/>
            <w:gridSpan w:val="2"/>
          </w:tcPr>
          <w:p w14:paraId="2A0F7C75"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2F266B59"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56BD9B48" w14:textId="77777777" w:rsidTr="00630B93">
        <w:tc>
          <w:tcPr>
            <w:tcW w:w="9016" w:type="dxa"/>
            <w:gridSpan w:val="5"/>
          </w:tcPr>
          <w:p w14:paraId="0B1F9C58" w14:textId="77777777" w:rsidR="00B634E6" w:rsidRPr="00EA700F" w:rsidRDefault="00B634E6" w:rsidP="00A22B81">
            <w:pPr>
              <w:spacing w:line="276" w:lineRule="auto"/>
              <w:jc w:val="center"/>
              <w:rPr>
                <w:i/>
              </w:rPr>
            </w:pPr>
            <w:r w:rsidRPr="00EA700F">
              <w:rPr>
                <w:i/>
              </w:rPr>
              <w:lastRenderedPageBreak/>
              <w:t>Low flow magnitude, frequency and duration</w:t>
            </w:r>
          </w:p>
        </w:tc>
      </w:tr>
      <w:tr w:rsidR="00B634E6" w:rsidRPr="00EA700F" w14:paraId="00CAC4C4" w14:textId="77777777" w:rsidTr="00630B93">
        <w:tc>
          <w:tcPr>
            <w:tcW w:w="2204" w:type="dxa"/>
          </w:tcPr>
          <w:p w14:paraId="42FB05A7"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CV of all years’ mean low spell magnitude</w:t>
            </w:r>
          </w:p>
        </w:tc>
        <w:tc>
          <w:tcPr>
            <w:tcW w:w="1902" w:type="dxa"/>
          </w:tcPr>
          <w:p w14:paraId="3314B21C" w14:textId="77777777" w:rsidR="00B634E6" w:rsidRPr="00EA700F" w:rsidRDefault="00B634E6" w:rsidP="00A22B81">
            <w:pPr>
              <w:spacing w:line="276" w:lineRule="auto"/>
              <w:jc w:val="both"/>
            </w:pPr>
            <w:proofErr w:type="spellStart"/>
            <w:r w:rsidRPr="00EA700F">
              <w:t>LSPeaknorm</w:t>
            </w:r>
            <w:proofErr w:type="spellEnd"/>
          </w:p>
        </w:tc>
        <w:tc>
          <w:tcPr>
            <w:tcW w:w="2410" w:type="dxa"/>
            <w:gridSpan w:val="2"/>
          </w:tcPr>
          <w:p w14:paraId="3C0198DD"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val="restart"/>
          </w:tcPr>
          <w:p w14:paraId="24523512" w14:textId="77777777" w:rsidR="00B634E6" w:rsidRPr="00EA700F" w:rsidRDefault="00B634E6" w:rsidP="00A22B81">
            <w:pPr>
              <w:spacing w:line="276" w:lineRule="auto"/>
              <w:rPr>
                <w:rFonts w:eastAsia="Times New Roman" w:cs="Times New Roman"/>
                <w:color w:val="000000"/>
                <w:lang w:eastAsia="en-AU"/>
              </w:rPr>
            </w:pPr>
            <w:r w:rsidRPr="00EA700F">
              <w:t>Low spells are periods of flow below the 5</w:t>
            </w:r>
            <w:r w:rsidRPr="00EA700F">
              <w:rPr>
                <w:vertAlign w:val="superscript"/>
              </w:rPr>
              <w:t>th</w:t>
            </w:r>
            <w:r w:rsidRPr="00EA700F">
              <w:t xml:space="preserve"> percentile on the flow duration curve. We were interested in how frequently these conditions occurred over the time series as well as the mean and </w:t>
            </w:r>
            <w:proofErr w:type="spellStart"/>
            <w:r w:rsidRPr="00EA700F">
              <w:t>interannual</w:t>
            </w:r>
            <w:proofErr w:type="spellEnd"/>
            <w:r w:rsidRPr="00EA700F">
              <w:t xml:space="preserve"> variability in magnitude and duration of low flows.</w:t>
            </w:r>
          </w:p>
        </w:tc>
      </w:tr>
      <w:tr w:rsidR="00B634E6" w:rsidRPr="00EA700F" w14:paraId="1148F8BB" w14:textId="77777777" w:rsidTr="00630B93">
        <w:tc>
          <w:tcPr>
            <w:tcW w:w="2204" w:type="dxa"/>
          </w:tcPr>
          <w:p w14:paraId="7DEB42C7" w14:textId="77777777"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CV of all years mean of low spell magnitude</w:t>
            </w:r>
          </w:p>
        </w:tc>
        <w:tc>
          <w:tcPr>
            <w:tcW w:w="1902" w:type="dxa"/>
          </w:tcPr>
          <w:p w14:paraId="456DD99C" w14:textId="77777777" w:rsidR="00B634E6" w:rsidRPr="00EA700F" w:rsidRDefault="00B634E6" w:rsidP="00A22B81">
            <w:pPr>
              <w:spacing w:line="276" w:lineRule="auto"/>
              <w:jc w:val="both"/>
            </w:pPr>
            <w:proofErr w:type="spellStart"/>
            <w:r w:rsidRPr="00EA700F">
              <w:t>CVAnnLSPeak</w:t>
            </w:r>
            <w:proofErr w:type="spellEnd"/>
          </w:p>
        </w:tc>
        <w:tc>
          <w:tcPr>
            <w:tcW w:w="2410" w:type="dxa"/>
            <w:gridSpan w:val="2"/>
          </w:tcPr>
          <w:p w14:paraId="22420AB8"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5AA1EE8A"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04BF64D2" w14:textId="77777777" w:rsidTr="00630B93">
        <w:tc>
          <w:tcPr>
            <w:tcW w:w="2204" w:type="dxa"/>
          </w:tcPr>
          <w:p w14:paraId="377AD42F" w14:textId="77777777"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Mean of all years number of low spells</w:t>
            </w:r>
          </w:p>
        </w:tc>
        <w:tc>
          <w:tcPr>
            <w:tcW w:w="1902" w:type="dxa"/>
          </w:tcPr>
          <w:p w14:paraId="7E2AD607" w14:textId="77777777" w:rsidR="00B634E6" w:rsidRPr="00EA700F" w:rsidRDefault="00B634E6" w:rsidP="00A22B81">
            <w:pPr>
              <w:spacing w:line="276" w:lineRule="auto"/>
              <w:jc w:val="both"/>
            </w:pPr>
            <w:proofErr w:type="spellStart"/>
            <w:r w:rsidRPr="00EA700F">
              <w:t>MDFAnnLSNum</w:t>
            </w:r>
            <w:proofErr w:type="spellEnd"/>
          </w:p>
        </w:tc>
        <w:tc>
          <w:tcPr>
            <w:tcW w:w="2410" w:type="dxa"/>
            <w:gridSpan w:val="2"/>
          </w:tcPr>
          <w:p w14:paraId="4C61CB45"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year</w:t>
            </w:r>
            <w:r w:rsidRPr="00EA700F">
              <w:rPr>
                <w:rFonts w:eastAsia="Times New Roman" w:cs="Times New Roman"/>
                <w:color w:val="000000"/>
                <w:vertAlign w:val="superscript"/>
                <w:lang w:eastAsia="en-AU"/>
              </w:rPr>
              <w:t>-1</w:t>
            </w:r>
          </w:p>
        </w:tc>
        <w:tc>
          <w:tcPr>
            <w:tcW w:w="2500" w:type="dxa"/>
            <w:vMerge/>
          </w:tcPr>
          <w:p w14:paraId="5EBFF24D"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459DFAD8" w14:textId="77777777" w:rsidTr="00630B93">
        <w:tc>
          <w:tcPr>
            <w:tcW w:w="2204" w:type="dxa"/>
          </w:tcPr>
          <w:p w14:paraId="3D8B6E88"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CV of all years’ number of low spells</w:t>
            </w:r>
          </w:p>
        </w:tc>
        <w:tc>
          <w:tcPr>
            <w:tcW w:w="1902" w:type="dxa"/>
          </w:tcPr>
          <w:p w14:paraId="291C319F" w14:textId="77777777" w:rsidR="00B634E6" w:rsidRPr="00EA700F" w:rsidRDefault="00B634E6" w:rsidP="00A22B81">
            <w:pPr>
              <w:spacing w:line="276" w:lineRule="auto"/>
              <w:jc w:val="both"/>
            </w:pPr>
            <w:proofErr w:type="spellStart"/>
            <w:r w:rsidRPr="00EA700F">
              <w:t>CVAnnLSNum</w:t>
            </w:r>
            <w:proofErr w:type="spellEnd"/>
          </w:p>
        </w:tc>
        <w:tc>
          <w:tcPr>
            <w:tcW w:w="2410" w:type="dxa"/>
            <w:gridSpan w:val="2"/>
          </w:tcPr>
          <w:p w14:paraId="39A86EEA"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0DB3CBCC"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4C0A7909" w14:textId="77777777" w:rsidTr="00630B93">
        <w:tc>
          <w:tcPr>
            <w:tcW w:w="2204" w:type="dxa"/>
            <w:vAlign w:val="center"/>
          </w:tcPr>
          <w:p w14:paraId="58AD10FA" w14:textId="77777777"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Mean duration of low spells</w:t>
            </w:r>
          </w:p>
        </w:tc>
        <w:tc>
          <w:tcPr>
            <w:tcW w:w="1902" w:type="dxa"/>
          </w:tcPr>
          <w:p w14:paraId="02711EDD" w14:textId="77777777" w:rsidR="00B634E6" w:rsidRPr="00EA700F" w:rsidRDefault="00B634E6" w:rsidP="00A22B81">
            <w:pPr>
              <w:spacing w:line="276" w:lineRule="auto"/>
              <w:jc w:val="both"/>
            </w:pPr>
            <w:proofErr w:type="spellStart"/>
            <w:r w:rsidRPr="00EA700F">
              <w:t>LSMeanDur</w:t>
            </w:r>
            <w:proofErr w:type="spellEnd"/>
          </w:p>
        </w:tc>
        <w:tc>
          <w:tcPr>
            <w:tcW w:w="2410" w:type="dxa"/>
            <w:gridSpan w:val="2"/>
          </w:tcPr>
          <w:p w14:paraId="48B9C82C"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days</w:t>
            </w:r>
          </w:p>
        </w:tc>
        <w:tc>
          <w:tcPr>
            <w:tcW w:w="2500" w:type="dxa"/>
            <w:vMerge/>
          </w:tcPr>
          <w:p w14:paraId="1A410932"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466C97D7" w14:textId="77777777" w:rsidTr="00630B93">
        <w:tc>
          <w:tcPr>
            <w:tcW w:w="2204" w:type="dxa"/>
          </w:tcPr>
          <w:p w14:paraId="48D23F1C" w14:textId="77777777"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CV of all years’ low spell mean duration</w:t>
            </w:r>
          </w:p>
        </w:tc>
        <w:tc>
          <w:tcPr>
            <w:tcW w:w="1902" w:type="dxa"/>
          </w:tcPr>
          <w:p w14:paraId="44CC0424" w14:textId="77777777" w:rsidR="00B634E6" w:rsidRPr="00EA700F" w:rsidRDefault="00B634E6" w:rsidP="00A22B81">
            <w:pPr>
              <w:spacing w:line="276" w:lineRule="auto"/>
              <w:jc w:val="both"/>
            </w:pPr>
            <w:proofErr w:type="spellStart"/>
            <w:r w:rsidRPr="00EA700F">
              <w:t>CVAnnLSMeanDur</w:t>
            </w:r>
            <w:proofErr w:type="spellEnd"/>
          </w:p>
        </w:tc>
        <w:tc>
          <w:tcPr>
            <w:tcW w:w="2410" w:type="dxa"/>
            <w:gridSpan w:val="2"/>
          </w:tcPr>
          <w:p w14:paraId="61C7B34A"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45361265"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0F56C04D" w14:textId="77777777" w:rsidTr="00630B93">
        <w:tc>
          <w:tcPr>
            <w:tcW w:w="2204" w:type="dxa"/>
          </w:tcPr>
          <w:p w14:paraId="4F09E334" w14:textId="3F89A77D"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Mean flow during driest week</w:t>
            </w:r>
            <w:r w:rsidR="007760E7">
              <w:rPr>
                <w:rFonts w:eastAsia="Times New Roman" w:cs="Times New Roman"/>
                <w:color w:val="000000"/>
                <w:lang w:eastAsia="en-AU"/>
              </w:rPr>
              <w:t xml:space="preserve"> of the year</w:t>
            </w:r>
            <w:r w:rsidRPr="00EA700F">
              <w:rPr>
                <w:rFonts w:eastAsia="Times New Roman" w:cs="Times New Roman"/>
                <w:color w:val="000000"/>
                <w:lang w:eastAsia="en-AU"/>
              </w:rPr>
              <w:t xml:space="preserve">* </w:t>
            </w:r>
          </w:p>
        </w:tc>
        <w:tc>
          <w:tcPr>
            <w:tcW w:w="1902" w:type="dxa"/>
          </w:tcPr>
          <w:p w14:paraId="495E2266" w14:textId="77777777" w:rsidR="00B634E6" w:rsidRPr="00EA700F" w:rsidRDefault="00B634E6" w:rsidP="00A22B81">
            <w:pPr>
              <w:spacing w:line="276" w:lineRule="auto"/>
              <w:jc w:val="both"/>
              <w:rPr>
                <w:color w:val="000000"/>
              </w:rPr>
            </w:pPr>
            <w:r w:rsidRPr="00EA700F">
              <w:rPr>
                <w:color w:val="000000"/>
              </w:rPr>
              <w:t>MA.7daysMinMeannorm</w:t>
            </w:r>
          </w:p>
        </w:tc>
        <w:tc>
          <w:tcPr>
            <w:tcW w:w="2410" w:type="dxa"/>
            <w:gridSpan w:val="2"/>
          </w:tcPr>
          <w:p w14:paraId="3B5A7B19"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193131F8"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3AEEE10A" w14:textId="77777777" w:rsidTr="00630B93">
        <w:tc>
          <w:tcPr>
            <w:tcW w:w="2204" w:type="dxa"/>
          </w:tcPr>
          <w:p w14:paraId="0E1C0F36" w14:textId="77777777"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Mean days per year under 0.1ML/day flow</w:t>
            </w:r>
          </w:p>
        </w:tc>
        <w:tc>
          <w:tcPr>
            <w:tcW w:w="1902" w:type="dxa"/>
          </w:tcPr>
          <w:p w14:paraId="658037CC" w14:textId="77777777" w:rsidR="00B634E6" w:rsidRPr="00EA700F" w:rsidRDefault="00B634E6" w:rsidP="00A22B81">
            <w:pPr>
              <w:spacing w:line="276" w:lineRule="auto"/>
              <w:jc w:val="both"/>
            </w:pPr>
            <w:r w:rsidRPr="00EA700F">
              <w:t>MDFAnnUnder0.1</w:t>
            </w:r>
          </w:p>
        </w:tc>
        <w:tc>
          <w:tcPr>
            <w:tcW w:w="2410" w:type="dxa"/>
            <w:gridSpan w:val="2"/>
          </w:tcPr>
          <w:p w14:paraId="02E97B42"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days/year</w:t>
            </w:r>
          </w:p>
        </w:tc>
        <w:tc>
          <w:tcPr>
            <w:tcW w:w="2500" w:type="dxa"/>
            <w:vMerge/>
          </w:tcPr>
          <w:p w14:paraId="522A46E7"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591B5AAC" w14:textId="77777777" w:rsidTr="00630B93">
        <w:tc>
          <w:tcPr>
            <w:tcW w:w="2204" w:type="dxa"/>
          </w:tcPr>
          <w:p w14:paraId="793C144C" w14:textId="77777777"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CV of all year’s days per year under 0.1ML/day flow</w:t>
            </w:r>
          </w:p>
        </w:tc>
        <w:tc>
          <w:tcPr>
            <w:tcW w:w="1902" w:type="dxa"/>
          </w:tcPr>
          <w:p w14:paraId="10E39562" w14:textId="77777777" w:rsidR="00B634E6" w:rsidRPr="00EA700F" w:rsidRDefault="00B634E6" w:rsidP="00A22B81">
            <w:pPr>
              <w:spacing w:line="276" w:lineRule="auto"/>
              <w:jc w:val="both"/>
            </w:pPr>
            <w:r w:rsidRPr="00EA700F">
              <w:t>CVAnnMDFAnnUnder0.1</w:t>
            </w:r>
          </w:p>
        </w:tc>
        <w:tc>
          <w:tcPr>
            <w:tcW w:w="2410" w:type="dxa"/>
            <w:gridSpan w:val="2"/>
          </w:tcPr>
          <w:p w14:paraId="05E68821"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7800FDF3"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031A7CD4" w14:textId="77777777" w:rsidTr="00630B93">
        <w:tc>
          <w:tcPr>
            <w:tcW w:w="9016" w:type="dxa"/>
            <w:gridSpan w:val="5"/>
          </w:tcPr>
          <w:p w14:paraId="09725B05" w14:textId="77777777" w:rsidR="00B634E6" w:rsidRPr="00EA700F" w:rsidRDefault="00B634E6" w:rsidP="00A22B81">
            <w:pPr>
              <w:spacing w:line="276" w:lineRule="auto"/>
              <w:jc w:val="center"/>
              <w:rPr>
                <w:rFonts w:eastAsia="Times New Roman" w:cs="Times New Roman"/>
                <w:color w:val="000000"/>
                <w:lang w:eastAsia="en-AU"/>
              </w:rPr>
            </w:pPr>
            <w:r w:rsidRPr="00EA700F">
              <w:rPr>
                <w:rFonts w:eastAsia="Times New Roman" w:cs="Times New Roman"/>
                <w:i/>
                <w:color w:val="000000"/>
                <w:lang w:eastAsia="en-AU"/>
              </w:rPr>
              <w:t>Colwell’s indices</w:t>
            </w:r>
          </w:p>
        </w:tc>
      </w:tr>
      <w:tr w:rsidR="00B634E6" w:rsidRPr="00EA700F" w14:paraId="67D790B3" w14:textId="77777777" w:rsidTr="00630B93">
        <w:tc>
          <w:tcPr>
            <w:tcW w:w="2204" w:type="dxa"/>
          </w:tcPr>
          <w:p w14:paraId="2A33725C" w14:textId="2425CA83" w:rsidR="00B634E6" w:rsidRPr="00EA700F" w:rsidRDefault="00B634E6" w:rsidP="00A22B81">
            <w:pPr>
              <w:spacing w:line="276" w:lineRule="auto"/>
              <w:rPr>
                <w:rFonts w:eastAsia="Times New Roman" w:cs="Times New Roman"/>
                <w:color w:val="000000"/>
                <w:lang w:eastAsia="en-AU"/>
              </w:rPr>
            </w:pPr>
            <w:r w:rsidRPr="00EA700F">
              <w:rPr>
                <w:color w:val="000000"/>
              </w:rPr>
              <w:t xml:space="preserve">Constancy </w:t>
            </w:r>
            <w:r w:rsidR="00625ED2">
              <w:rPr>
                <w:color w:val="000000"/>
              </w:rPr>
              <w:t>of</w:t>
            </w:r>
            <w:r w:rsidRPr="00EA700F">
              <w:rPr>
                <w:color w:val="000000"/>
              </w:rPr>
              <w:t xml:space="preserve"> monthly mean daily flow </w:t>
            </w:r>
          </w:p>
        </w:tc>
        <w:tc>
          <w:tcPr>
            <w:tcW w:w="1902" w:type="dxa"/>
          </w:tcPr>
          <w:p w14:paraId="12B706BF" w14:textId="77777777" w:rsidR="00B634E6" w:rsidRPr="00EA700F" w:rsidRDefault="00B634E6" w:rsidP="00A22B81">
            <w:pPr>
              <w:spacing w:line="276" w:lineRule="auto"/>
              <w:jc w:val="both"/>
            </w:pPr>
            <w:r w:rsidRPr="00EA700F">
              <w:t>C_MDFM</w:t>
            </w:r>
          </w:p>
        </w:tc>
        <w:tc>
          <w:tcPr>
            <w:tcW w:w="2410" w:type="dxa"/>
            <w:gridSpan w:val="2"/>
          </w:tcPr>
          <w:p w14:paraId="128A9745"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val="restart"/>
          </w:tcPr>
          <w:p w14:paraId="69D9E949" w14:textId="77777777" w:rsidR="00B634E6" w:rsidRPr="00EA700F" w:rsidRDefault="00B634E6" w:rsidP="00A22B81">
            <w:pPr>
              <w:spacing w:line="276" w:lineRule="auto"/>
              <w:rPr>
                <w:rFonts w:eastAsia="Times New Roman" w:cs="Times New Roman"/>
                <w:color w:val="000000"/>
                <w:lang w:eastAsia="en-AU"/>
              </w:rPr>
            </w:pPr>
            <w:r w:rsidRPr="00EA700F">
              <w:rPr>
                <w:rFonts w:cs="Helvetica"/>
                <w:color w:val="000000"/>
              </w:rPr>
              <w:t xml:space="preserve">Colwell’s indices provide a measure of the seasonal predictability of flow events and therefore water availability within the riparian zone. </w:t>
            </w:r>
            <w:r w:rsidRPr="00EA700F">
              <w:rPr>
                <w:rFonts w:eastAsia="Times New Roman" w:cs="Times New Roman"/>
                <w:iCs/>
                <w:color w:val="000000"/>
                <w:lang w:eastAsia="en-AU"/>
              </w:rPr>
              <w:t>Constancy</w:t>
            </w:r>
            <w:r w:rsidRPr="00EA700F">
              <w:rPr>
                <w:rFonts w:eastAsia="Times New Roman" w:cs="Times New Roman"/>
                <w:color w:val="000000"/>
                <w:lang w:eastAsia="en-AU"/>
              </w:rPr>
              <w:t xml:space="preserve"> (M) measures uniformity of flow across seasons, and is maximised when flow conditions do not differ between seasons. </w:t>
            </w:r>
            <w:r w:rsidRPr="00EA700F">
              <w:rPr>
                <w:iCs/>
                <w:color w:val="000000"/>
              </w:rPr>
              <w:t>Contingency (M)</w:t>
            </w:r>
            <w:r w:rsidRPr="00EA700F">
              <w:rPr>
                <w:color w:val="000000"/>
              </w:rPr>
              <w:t xml:space="preserve"> is a </w:t>
            </w:r>
            <w:r w:rsidRPr="00EA700F">
              <w:rPr>
                <w:color w:val="000000"/>
              </w:rPr>
              <w:lastRenderedPageBreak/>
              <w:t xml:space="preserve">measure of </w:t>
            </w:r>
            <w:proofErr w:type="spellStart"/>
            <w:r w:rsidRPr="00EA700F">
              <w:rPr>
                <w:color w:val="000000"/>
              </w:rPr>
              <w:t>interannual</w:t>
            </w:r>
            <w:proofErr w:type="spellEnd"/>
            <w:r w:rsidRPr="00EA700F">
              <w:rPr>
                <w:color w:val="000000"/>
              </w:rPr>
              <w:t xml:space="preserve"> uniformity in seasonal flow patterns, and is maximized when seasonal patterns of flow are consistent between years.  We generated </w:t>
            </w:r>
            <w:proofErr w:type="spellStart"/>
            <w:r w:rsidRPr="00EA700F">
              <w:rPr>
                <w:color w:val="000000"/>
              </w:rPr>
              <w:t>Colwells</w:t>
            </w:r>
            <w:proofErr w:type="spellEnd"/>
            <w:r w:rsidRPr="00EA700F">
              <w:rPr>
                <w:color w:val="000000"/>
              </w:rPr>
              <w:t xml:space="preserve"> indices for both average flow conditions and minimum flows conditions.</w:t>
            </w:r>
          </w:p>
        </w:tc>
      </w:tr>
      <w:tr w:rsidR="00B634E6" w:rsidRPr="00EA700F" w14:paraId="1BE2CA6B" w14:textId="77777777" w:rsidTr="00630B93">
        <w:tc>
          <w:tcPr>
            <w:tcW w:w="2204" w:type="dxa"/>
          </w:tcPr>
          <w:p w14:paraId="53D7148B" w14:textId="1AC9988F" w:rsidR="00B634E6" w:rsidRPr="00EA700F" w:rsidRDefault="00625ED2" w:rsidP="00A22B81">
            <w:pPr>
              <w:spacing w:line="276" w:lineRule="auto"/>
              <w:rPr>
                <w:rFonts w:eastAsia="Times New Roman" w:cs="Times New Roman"/>
                <w:color w:val="000000"/>
                <w:lang w:eastAsia="en-AU"/>
              </w:rPr>
            </w:pPr>
            <w:r>
              <w:rPr>
                <w:color w:val="000000"/>
              </w:rPr>
              <w:t>Contingency of</w:t>
            </w:r>
            <w:r w:rsidR="00B634E6" w:rsidRPr="00EA700F">
              <w:rPr>
                <w:color w:val="000000"/>
              </w:rPr>
              <w:t xml:space="preserve"> monthly mean daily flow </w:t>
            </w:r>
          </w:p>
        </w:tc>
        <w:tc>
          <w:tcPr>
            <w:tcW w:w="1902" w:type="dxa"/>
          </w:tcPr>
          <w:p w14:paraId="7D3BF973" w14:textId="77777777" w:rsidR="00B634E6" w:rsidRPr="00EA700F" w:rsidRDefault="00B634E6" w:rsidP="00A22B81">
            <w:pPr>
              <w:spacing w:line="276" w:lineRule="auto"/>
              <w:jc w:val="both"/>
            </w:pPr>
            <w:r w:rsidRPr="00EA700F">
              <w:t>M_MDFM</w:t>
            </w:r>
          </w:p>
        </w:tc>
        <w:tc>
          <w:tcPr>
            <w:tcW w:w="2410" w:type="dxa"/>
            <w:gridSpan w:val="2"/>
          </w:tcPr>
          <w:p w14:paraId="00DDB2A2"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541A9C16" w14:textId="77777777" w:rsidR="00B634E6" w:rsidRPr="00EA700F" w:rsidRDefault="00B634E6" w:rsidP="00A22B81">
            <w:pPr>
              <w:spacing w:line="360" w:lineRule="auto"/>
              <w:jc w:val="both"/>
              <w:rPr>
                <w:rFonts w:eastAsia="Times New Roman" w:cs="Times New Roman"/>
                <w:color w:val="000000"/>
                <w:lang w:eastAsia="en-AU"/>
              </w:rPr>
            </w:pPr>
          </w:p>
        </w:tc>
      </w:tr>
      <w:tr w:rsidR="00B634E6" w:rsidRPr="00EA700F" w14:paraId="6ACB7AEA" w14:textId="77777777" w:rsidTr="00630B93">
        <w:tc>
          <w:tcPr>
            <w:tcW w:w="2204" w:type="dxa"/>
          </w:tcPr>
          <w:p w14:paraId="667C2251"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Constancy based on monthly minimum daily flow</w:t>
            </w:r>
          </w:p>
        </w:tc>
        <w:tc>
          <w:tcPr>
            <w:tcW w:w="1902" w:type="dxa"/>
          </w:tcPr>
          <w:p w14:paraId="433D6726" w14:textId="77777777" w:rsidR="00B634E6" w:rsidRPr="00EA700F" w:rsidRDefault="00B634E6" w:rsidP="00A22B81">
            <w:pPr>
              <w:spacing w:line="276" w:lineRule="auto"/>
              <w:jc w:val="both"/>
            </w:pPr>
            <w:proofErr w:type="spellStart"/>
            <w:r w:rsidRPr="00EA700F">
              <w:t>C_MinM</w:t>
            </w:r>
            <w:proofErr w:type="spellEnd"/>
          </w:p>
        </w:tc>
        <w:tc>
          <w:tcPr>
            <w:tcW w:w="2410" w:type="dxa"/>
            <w:gridSpan w:val="2"/>
          </w:tcPr>
          <w:p w14:paraId="25AB01F6"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2C76F616" w14:textId="77777777" w:rsidR="00B634E6" w:rsidRPr="00EA700F" w:rsidRDefault="00B634E6" w:rsidP="00A22B81">
            <w:pPr>
              <w:spacing w:line="360" w:lineRule="auto"/>
              <w:jc w:val="both"/>
              <w:rPr>
                <w:rFonts w:eastAsia="Times New Roman" w:cs="Times New Roman"/>
                <w:color w:val="000000"/>
                <w:lang w:eastAsia="en-AU"/>
              </w:rPr>
            </w:pPr>
          </w:p>
        </w:tc>
      </w:tr>
      <w:tr w:rsidR="00B634E6" w:rsidRPr="00EA700F" w14:paraId="3C1EA388" w14:textId="77777777" w:rsidTr="00630B93">
        <w:tc>
          <w:tcPr>
            <w:tcW w:w="2204" w:type="dxa"/>
          </w:tcPr>
          <w:p w14:paraId="1B374371"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 xml:space="preserve">Contingency based on monthly minimum daily flow </w:t>
            </w:r>
          </w:p>
        </w:tc>
        <w:tc>
          <w:tcPr>
            <w:tcW w:w="1902" w:type="dxa"/>
          </w:tcPr>
          <w:p w14:paraId="32231733" w14:textId="77777777" w:rsidR="00B634E6" w:rsidRPr="00EA700F" w:rsidRDefault="00B634E6" w:rsidP="00A22B81">
            <w:pPr>
              <w:spacing w:line="276" w:lineRule="auto"/>
              <w:jc w:val="both"/>
            </w:pPr>
            <w:proofErr w:type="spellStart"/>
            <w:r w:rsidRPr="00EA700F">
              <w:t>M_MinM</w:t>
            </w:r>
            <w:proofErr w:type="spellEnd"/>
          </w:p>
        </w:tc>
        <w:tc>
          <w:tcPr>
            <w:tcW w:w="2410" w:type="dxa"/>
            <w:gridSpan w:val="2"/>
          </w:tcPr>
          <w:p w14:paraId="073DCE81"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6927EF92" w14:textId="77777777" w:rsidR="00B634E6" w:rsidRPr="00EA700F" w:rsidRDefault="00B634E6" w:rsidP="00A22B81">
            <w:pPr>
              <w:spacing w:line="360" w:lineRule="auto"/>
              <w:jc w:val="both"/>
              <w:rPr>
                <w:rFonts w:eastAsia="Times New Roman" w:cs="Times New Roman"/>
                <w:color w:val="000000"/>
                <w:lang w:eastAsia="en-AU"/>
              </w:rPr>
            </w:pPr>
          </w:p>
        </w:tc>
      </w:tr>
    </w:tbl>
    <w:p w14:paraId="7E747D08" w14:textId="03B3C4A8" w:rsidR="00B634E6" w:rsidRPr="00EA700F" w:rsidRDefault="00B634E6" w:rsidP="00A22B81">
      <w:pPr>
        <w:pStyle w:val="Caption"/>
        <w:spacing w:line="360" w:lineRule="auto"/>
        <w:jc w:val="both"/>
        <w:rPr>
          <w:rFonts w:eastAsia="Times New Roman" w:cs="Times New Roman"/>
          <w:color w:val="000000"/>
          <w:sz w:val="22"/>
          <w:szCs w:val="22"/>
          <w:lang w:eastAsia="en-AU"/>
        </w:rPr>
      </w:pPr>
      <w:r w:rsidRPr="00EA700F">
        <w:rPr>
          <w:sz w:val="22"/>
          <w:szCs w:val="22"/>
        </w:rPr>
        <w:lastRenderedPageBreak/>
        <w:t xml:space="preserve">Table </w:t>
      </w:r>
      <w:r w:rsidR="00335320" w:rsidRPr="00EA700F">
        <w:rPr>
          <w:sz w:val="22"/>
          <w:szCs w:val="22"/>
        </w:rPr>
        <w:t>1</w:t>
      </w:r>
      <w:r w:rsidRPr="00EA700F">
        <w:rPr>
          <w:sz w:val="22"/>
          <w:szCs w:val="22"/>
        </w:rPr>
        <w:t>. Hydrological parameters used as metrics of variability in high flow magnitude and frequency and predictability and consistency of water availability in the riparian environment. * - normalised by mean daily flow (ML/day)</w:t>
      </w:r>
    </w:p>
    <w:p w14:paraId="55ED99EF" w14:textId="76049404" w:rsidR="00B634E6" w:rsidRDefault="00B634E6" w:rsidP="00A22B81">
      <w:pPr>
        <w:spacing w:line="360" w:lineRule="auto"/>
        <w:jc w:val="both"/>
      </w:pPr>
      <w:r w:rsidRPr="00EA700F">
        <w:t xml:space="preserve">Finally, we performed </w:t>
      </w:r>
      <w:proofErr w:type="spellStart"/>
      <w:r w:rsidRPr="00EA700F">
        <w:t>permutational</w:t>
      </w:r>
      <w:proofErr w:type="spellEnd"/>
      <w:r w:rsidRPr="00EA700F">
        <w:t xml:space="preserve"> multivariate analysis of variance using distance matrice</w:t>
      </w:r>
      <w:r w:rsidR="00947919">
        <w:t xml:space="preserve">s, using the vegan package in R </w:t>
      </w:r>
      <w:r w:rsidR="00947919">
        <w:fldChar w:fldCharType="begin" w:fldLock="1"/>
      </w:r>
      <w:r w:rsidR="00ED02F3">
        <w:instrText>ADDIN CSL_CITATION { "citationItems" : [ { "id" : "ITEM-1", "itemData" : { "author" : [ { "dropping-particle" : "", "family" : "Oksanen", "given" : "Jari", "non-dropping-particle" : "", "parse-names" : false, "suffix" : "" }, { "dropping-particle" : "", "family" : "Blanchet", "given" : "F Guillaume", "non-dropping-particle" : "", "parse-names" : false, "suffix" : "" }, { "dropping-particle" : "", "family" : "Kindt", "given" : "Roeland", "non-dropping-particle" : "", "parse-names" : false, "suffix" : "" }, { "dropping-particle" : "", "family" : "Legendre", "given" : "Pierre", "non-dropping-particle" : "", "parse-names" : false, "suffix" : "" }, { "dropping-particle" : "", "family" : "Minchin", "given" : "Peter R", "non-dropping-particle" : "", "parse-names" : false, "suffix" : "" }, { "dropping-particle" : "", "family" : "O'Hara", "given" : "R B", "non-dropping-particle" : "", "parse-names" : false, "suffix" : "" }, { "dropping-particle" : "", "family" : "Simpson", "given" : "Gavin L", "non-dropping-particle" : "", "parse-names" : false, "suffix" : "" }, { "dropping-particle" : "", "family" : "Solymos", "given" : "Peter", "non-dropping-particle" : "", "parse-names" : false, "suffix" : "" }, { "dropping-particle" : "", "family" : "Stevens", "given" : "M Henry H", "non-dropping-particle" : "", "parse-names" : false, "suffix" : "" }, { "dropping-particle" : "", "family" : "Wagner", "given" : "Helene", "non-dropping-particle" : "", "parse-names" : false, "suffix" : "" } ], "id" : "ITEM-1", "issued" : { "date-parts" : [ [ "2013" ] ] }, "note" : "R package version 2.0-8", "title" : "vegan: Community Ecology Package", "type" : "article" }, "uris" : [ "http://www.mendeley.com/documents/?uuid=70ad43c8-e310-4c5d-9ef8-800138781dff" ] }, { "id" : "ITEM-2", "itemData" : { "author" : [ { "dropping-particle" : "", "family" : "R Core Team", "given" : "", "non-dropping-particle" : "", "parse-names" : false, "suffix" : "" } ], "id" : "ITEM-2", "issued" : { "date-parts" : [ [ "2013" ] ] }, "publisher-place" : "Vienna, Austria", "title" : "R: A Language and Environment for Statistical Computing", "type" : "article" }, "uris" : [ "http://www.mendeley.com/documents/?uuid=900b1f1c-da19-4dbb-be96-156b5522fc98" ] } ], "mendeley" : { "previouslyFormattedCitation" : "(Oksanen et al., 2013; R Core Team, 2013)" }, "properties" : { "noteIndex" : 0 }, "schema" : "https://github.com/citation-style-language/schema/raw/master/csl-citation.json" }</w:instrText>
      </w:r>
      <w:r w:rsidR="00947919">
        <w:fldChar w:fldCharType="separate"/>
      </w:r>
      <w:r w:rsidR="00947919" w:rsidRPr="00947919">
        <w:rPr>
          <w:noProof/>
        </w:rPr>
        <w:t>(Oksanen et al., 2013; R Core Team, 2013)</w:t>
      </w:r>
      <w:r w:rsidR="00947919">
        <w:fldChar w:fldCharType="end"/>
      </w:r>
      <w:r w:rsidR="00947919">
        <w:t xml:space="preserve">, </w:t>
      </w:r>
      <w:r w:rsidRPr="00EA700F">
        <w:t xml:space="preserve">across these chosen metrics to confirm that our field sites </w:t>
      </w:r>
      <w:r w:rsidR="00947919">
        <w:t>whether our field sites</w:t>
      </w:r>
      <w:r w:rsidRPr="00EA700F">
        <w:t xml:space="preserve"> comprise three significantly different hydrological categories.</w:t>
      </w:r>
    </w:p>
    <w:p w14:paraId="613F2F5B" w14:textId="1FF95DC3" w:rsidR="00F42B80" w:rsidRDefault="00F42B80" w:rsidP="00A22B81">
      <w:pPr>
        <w:spacing w:line="360" w:lineRule="auto"/>
        <w:jc w:val="both"/>
        <w:rPr>
          <w:b/>
        </w:rPr>
      </w:pPr>
      <w:r w:rsidRPr="00F42B80">
        <w:rPr>
          <w:b/>
        </w:rPr>
        <w:t>Data analysis</w:t>
      </w:r>
    </w:p>
    <w:p w14:paraId="31652934" w14:textId="2D2FB03C" w:rsidR="00F42B80" w:rsidRPr="00F42B80" w:rsidRDefault="00F42B80" w:rsidP="00A22B81">
      <w:pPr>
        <w:spacing w:line="360" w:lineRule="auto"/>
        <w:jc w:val="both"/>
        <w:rPr>
          <w:b/>
        </w:rPr>
      </w:pPr>
      <w:r>
        <w:t xml:space="preserve">All statistical analyses in this study were performed using the R statistical programming environment </w:t>
      </w:r>
      <w:r>
        <w:fldChar w:fldCharType="begin" w:fldLock="1"/>
      </w:r>
      <w:r w:rsidR="00ED02F3">
        <w:instrText>ADDIN CSL_CITATION { "citationItems" : [ { "id" : "ITEM-1", "itemData" : { "author" : [ { "dropping-particle" : "", "family" : "R Core Team", "given" : "", "non-dropping-particle" : "", "parse-names" : false, "suffix" : "" } ], "id" : "ITEM-1", "issued" : { "date-parts" : [ [ "2013" ] ] }, "publisher-place" : "Vienna, Austria", "title" : "R: A Language and Environment for Statistical Computing", "type" : "article" }, "uris" : [ "http://www.mendeley.com/documents/?uuid=900b1f1c-da19-4dbb-be96-156b5522fc98" ] } ], "mendeley" : { "previouslyFormattedCitation" : "(R Core Team, 2013)" }, "properties" : { "noteIndex" : 0 }, "schema" : "https://github.com/citation-style-language/schema/raw/master/csl-citation.json" }</w:instrText>
      </w:r>
      <w:r>
        <w:fldChar w:fldCharType="separate"/>
      </w:r>
      <w:r w:rsidRPr="00F42B80">
        <w:rPr>
          <w:noProof/>
        </w:rPr>
        <w:t>(R Core Team, 2013)</w:t>
      </w:r>
      <w:r>
        <w:fldChar w:fldCharType="end"/>
      </w:r>
      <w:r>
        <w:t xml:space="preserve">. Statistical significance was </w:t>
      </w:r>
      <w:proofErr w:type="spellStart"/>
      <w:r>
        <w:t>thresholded</w:t>
      </w:r>
      <w:proofErr w:type="spellEnd"/>
      <w:r>
        <w:t xml:space="preserve"> at alpha = 0.05.</w:t>
      </w:r>
    </w:p>
    <w:p w14:paraId="173753BF" w14:textId="77777777" w:rsidR="00B634E6" w:rsidRPr="00F42B80" w:rsidRDefault="00B634E6" w:rsidP="00A22B81">
      <w:pPr>
        <w:spacing w:line="360" w:lineRule="auto"/>
        <w:jc w:val="both"/>
        <w:rPr>
          <w:i/>
        </w:rPr>
      </w:pPr>
      <w:r w:rsidRPr="00F42B80">
        <w:rPr>
          <w:i/>
        </w:rPr>
        <w:t>Abundance weighted site means of wood density</w:t>
      </w:r>
    </w:p>
    <w:p w14:paraId="40948BC5" w14:textId="77777777" w:rsidR="00B634E6" w:rsidRPr="00EA700F" w:rsidRDefault="00B634E6" w:rsidP="00A22B81">
      <w:pPr>
        <w:spacing w:line="360" w:lineRule="auto"/>
        <w:jc w:val="both"/>
      </w:pPr>
      <w:r w:rsidRPr="00EA700F">
        <w:t xml:space="preserve">To investigate variation in wood density across hydrological gradients at the community level, abundance weighted means of wood density were generated for each site. Species relative abundance was compiled from records of % cover at the shrub (1-4m), </w:t>
      </w:r>
      <w:proofErr w:type="spellStart"/>
      <w:r w:rsidRPr="00EA700F">
        <w:t>subcanopy</w:t>
      </w:r>
      <w:proofErr w:type="spellEnd"/>
      <w:r w:rsidRPr="00EA700F">
        <w:t xml:space="preserve"> (4-8m) and canopy (8+) strata.  Wood density values were then weighted according to species relative abundance and then summed to produce the abundance weighted site mean. This method integrates particular trait values with their real world abundance as a measure of ‘performance’, while providing a useful reduction in data dimensionality. Wood density varies only over one order of magnitude, while exhibiting relatively high intra-species plasticity. As such, abundance weighted site means work well for environmental gradient studies because the focus is maintained on the functional characteristics of the community, rather than on species </w:t>
      </w:r>
      <w:r w:rsidRPr="00EA700F">
        <w:rPr>
          <w:i/>
        </w:rPr>
        <w:t>per se</w:t>
      </w:r>
      <w:r w:rsidRPr="00EA700F">
        <w:t xml:space="preserve">. </w:t>
      </w:r>
    </w:p>
    <w:p w14:paraId="1DC2E60D" w14:textId="77777777" w:rsidR="00B634E6" w:rsidRPr="00F42B80" w:rsidRDefault="00B634E6" w:rsidP="00A22B81">
      <w:pPr>
        <w:spacing w:line="360" w:lineRule="auto"/>
        <w:jc w:val="both"/>
        <w:rPr>
          <w:i/>
        </w:rPr>
      </w:pPr>
      <w:r w:rsidRPr="00F42B80">
        <w:rPr>
          <w:i/>
        </w:rPr>
        <w:t>Comparing wood density between hydrological classes</w:t>
      </w:r>
    </w:p>
    <w:p w14:paraId="59004043" w14:textId="0904D031" w:rsidR="00B634E6" w:rsidRPr="00EA700F" w:rsidRDefault="00B634E6" w:rsidP="00A22B81">
      <w:pPr>
        <w:spacing w:line="360" w:lineRule="auto"/>
        <w:jc w:val="both"/>
      </w:pPr>
      <w:r w:rsidRPr="00EA700F">
        <w:lastRenderedPageBreak/>
        <w:t>Raw species trait values were lumped according to the hydrological class membership</w:t>
      </w:r>
      <w:r w:rsidR="006F4B8F">
        <w:t>,</w:t>
      </w:r>
      <w:r w:rsidRPr="00EA700F">
        <w:t xml:space="preserve"> and differences between classes tested for using a post-hoc </w:t>
      </w:r>
      <w:proofErr w:type="spellStart"/>
      <w:r w:rsidRPr="00EA700F">
        <w:t>Tukey’s</w:t>
      </w:r>
      <w:proofErr w:type="spellEnd"/>
      <w:r w:rsidRPr="00EA700F">
        <w:t xml:space="preserve"> HSD test. This test was repeated using class-lumped abundance weighted site means. </w:t>
      </w:r>
    </w:p>
    <w:p w14:paraId="79AE2560" w14:textId="77777777" w:rsidR="00B634E6" w:rsidRPr="00F42B80" w:rsidRDefault="00B634E6" w:rsidP="00A22B81">
      <w:pPr>
        <w:spacing w:line="360" w:lineRule="auto"/>
        <w:jc w:val="both"/>
        <w:rPr>
          <w:i/>
        </w:rPr>
      </w:pPr>
      <w:r w:rsidRPr="00F42B80">
        <w:rPr>
          <w:i/>
        </w:rPr>
        <w:t>Testing relationships between mean wood density and hydrological conditions</w:t>
      </w:r>
    </w:p>
    <w:p w14:paraId="1968B0C2" w14:textId="61F87B0B" w:rsidR="00335320" w:rsidRDefault="00B634E6" w:rsidP="00A22B81">
      <w:pPr>
        <w:spacing w:line="360" w:lineRule="auto"/>
        <w:jc w:val="both"/>
      </w:pPr>
      <w:r w:rsidRPr="00EA700F">
        <w:t>Ordinary least-squares regression models were generated for selected metrics to determine relationships between hydrological gradients and abundance weighted site mean values. Wood density data was normally distributed and did not require transformation. To reduce the occurrence of Type 1 statistical error, we adjusted the resulti</w:t>
      </w:r>
      <w:r w:rsidR="003F4885">
        <w:t xml:space="preserve">ng p values using the </w:t>
      </w:r>
      <w:proofErr w:type="spellStart"/>
      <w:r w:rsidR="003F4885">
        <w:t>Benjamini</w:t>
      </w:r>
      <w:proofErr w:type="spellEnd"/>
      <w:r w:rsidR="003F4885">
        <w:t xml:space="preserve"> - </w:t>
      </w:r>
      <w:r w:rsidRPr="00EA700F">
        <w:t>Hochberg (BH) procedure for controlling family-wise error rate</w:t>
      </w:r>
      <w:r w:rsidR="006F4B8F">
        <w:t xml:space="preserve"> (stats package, </w:t>
      </w:r>
      <w:r w:rsidR="006F4B8F">
        <w:fldChar w:fldCharType="begin" w:fldLock="1"/>
      </w:r>
      <w:r w:rsidR="00ED02F3">
        <w:instrText>ADDIN CSL_CITATION { "citationItems" : [ { "id" : "ITEM-1", "itemData" : { "author" : [ { "dropping-particle" : "", "family" : "R Core Team", "given" : "", "non-dropping-particle" : "", "parse-names" : false, "suffix" : "" } ], "id" : "ITEM-1", "issued" : { "date-parts" : [ [ "2013" ] ] }, "publisher-place" : "Vienna, Austria", "title" : "R: A Language and Environment for Statistical Computing", "type" : "article" }, "uris" : [ "http://www.mendeley.com/documents/?uuid=900b1f1c-da19-4dbb-be96-156b5522fc98" ] } ], "mendeley" : { "manualFormatting" : "R Core Team 2013)", "previouslyFormattedCitation" : "(R Core Team, 2013)" }, "properties" : { "noteIndex" : 0 }, "schema" : "https://github.com/citation-style-language/schema/raw/master/csl-citation.json" }</w:instrText>
      </w:r>
      <w:r w:rsidR="006F4B8F">
        <w:fldChar w:fldCharType="separate"/>
      </w:r>
      <w:r w:rsidR="006F4B8F">
        <w:rPr>
          <w:noProof/>
        </w:rPr>
        <w:t>R Core Team</w:t>
      </w:r>
      <w:r w:rsidR="006F4B8F" w:rsidRPr="006F4B8F">
        <w:rPr>
          <w:noProof/>
        </w:rPr>
        <w:t xml:space="preserve"> 2013)</w:t>
      </w:r>
      <w:r w:rsidR="006F4B8F">
        <w:fldChar w:fldCharType="end"/>
      </w:r>
      <w:r w:rsidRPr="00EA700F">
        <w:t xml:space="preserve">. Although ecological rationale </w:t>
      </w:r>
      <w:r w:rsidR="006F4B8F">
        <w:t>supported</w:t>
      </w:r>
      <w:r w:rsidRPr="00EA700F">
        <w:t xml:space="preserve"> inclusion of each subgroup of hydrological metrics, these metrics were highly </w:t>
      </w:r>
      <w:proofErr w:type="spellStart"/>
      <w:r w:rsidRPr="00EA700F">
        <w:t>autocorrelated</w:t>
      </w:r>
      <w:proofErr w:type="spellEnd"/>
      <w:r w:rsidRPr="00EA700F">
        <w:t>. The BH procedure has been shown to control the false discovery rate for positively dependent test statistics (</w:t>
      </w:r>
      <w:proofErr w:type="spellStart"/>
      <w:r w:rsidRPr="00EA700F">
        <w:t>Benjamini</w:t>
      </w:r>
      <w:proofErr w:type="spellEnd"/>
      <w:r w:rsidRPr="00EA700F">
        <w:t xml:space="preserve"> and </w:t>
      </w:r>
      <w:proofErr w:type="spellStart"/>
      <w:r w:rsidRPr="00EA700F">
        <w:t>Yekutieli</w:t>
      </w:r>
      <w:proofErr w:type="spellEnd"/>
      <w:r w:rsidRPr="00EA700F">
        <w:t xml:space="preserve">, 2001). We then identified ecologically relevant axes of variation in hydrological conditions by running a principal components analysis </w:t>
      </w:r>
      <w:r w:rsidR="00F42B80">
        <w:t xml:space="preserve">(stats package, </w:t>
      </w:r>
      <w:r w:rsidR="00F42B80">
        <w:fldChar w:fldCharType="begin" w:fldLock="1"/>
      </w:r>
      <w:r w:rsidR="00ED02F3">
        <w:instrText>ADDIN CSL_CITATION { "citationItems" : [ { "id" : "ITEM-1", "itemData" : { "author" : [ { "dropping-particle" : "", "family" : "R Core Team", "given" : "", "non-dropping-particle" : "", "parse-names" : false, "suffix" : "" } ], "id" : "ITEM-1", "issued" : { "date-parts" : [ [ "2013" ] ] }, "publisher-place" : "Vienna, Austria", "title" : "R: A Language and Environment for Statistical Computing", "type" : "article" }, "uris" : [ "http://www.mendeley.com/documents/?uuid=900b1f1c-da19-4dbb-be96-156b5522fc98" ] } ], "mendeley" : { "manualFormatting" : "R Core Team 2013)", "previouslyFormattedCitation" : "(R Core Team, 2013)" }, "properties" : { "noteIndex" : 0 }, "schema" : "https://github.com/citation-style-language/schema/raw/master/csl-citation.json" }</w:instrText>
      </w:r>
      <w:r w:rsidR="00F42B80">
        <w:fldChar w:fldCharType="separate"/>
      </w:r>
      <w:r w:rsidR="00F42B80">
        <w:rPr>
          <w:noProof/>
        </w:rPr>
        <w:t>R Core Team</w:t>
      </w:r>
      <w:r w:rsidR="00F42B80" w:rsidRPr="006F4B8F">
        <w:rPr>
          <w:noProof/>
        </w:rPr>
        <w:t xml:space="preserve"> 2013)</w:t>
      </w:r>
      <w:r w:rsidR="00F42B80">
        <w:fldChar w:fldCharType="end"/>
      </w:r>
      <w:r w:rsidR="00F42B80">
        <w:t xml:space="preserve"> </w:t>
      </w:r>
      <w:r w:rsidRPr="00EA700F">
        <w:t xml:space="preserve">over hydrological metrics </w:t>
      </w:r>
      <w:r w:rsidR="00842036" w:rsidRPr="00EA700F">
        <w:t>showing</w:t>
      </w:r>
      <w:r w:rsidRPr="00EA700F">
        <w:t xml:space="preserve"> significant relationships with site mean wood density values.</w:t>
      </w:r>
    </w:p>
    <w:p w14:paraId="2F2B744C" w14:textId="77777777" w:rsidR="00F42B80" w:rsidRDefault="00F42B80" w:rsidP="00A22B81">
      <w:pPr>
        <w:spacing w:line="360" w:lineRule="auto"/>
        <w:jc w:val="both"/>
      </w:pPr>
    </w:p>
    <w:p w14:paraId="3DD0D713" w14:textId="77777777" w:rsidR="00F42B80" w:rsidRDefault="00F42B80" w:rsidP="00A22B81">
      <w:pPr>
        <w:spacing w:line="360" w:lineRule="auto"/>
        <w:jc w:val="both"/>
      </w:pPr>
    </w:p>
    <w:p w14:paraId="7D91237C" w14:textId="77777777" w:rsidR="00F42B80" w:rsidRDefault="00F42B80" w:rsidP="00A22B81">
      <w:pPr>
        <w:spacing w:line="360" w:lineRule="auto"/>
        <w:jc w:val="both"/>
      </w:pPr>
    </w:p>
    <w:p w14:paraId="2A5DC810" w14:textId="77777777" w:rsidR="00F42B80" w:rsidRDefault="00F42B80" w:rsidP="00A22B81">
      <w:pPr>
        <w:spacing w:line="360" w:lineRule="auto"/>
        <w:jc w:val="both"/>
      </w:pPr>
    </w:p>
    <w:p w14:paraId="48E49197" w14:textId="77777777" w:rsidR="00F42B80" w:rsidRDefault="00F42B80" w:rsidP="00A22B81">
      <w:pPr>
        <w:spacing w:line="360" w:lineRule="auto"/>
        <w:jc w:val="both"/>
      </w:pPr>
    </w:p>
    <w:p w14:paraId="0F28A6A2" w14:textId="77777777" w:rsidR="00F42B80" w:rsidRDefault="00F42B80" w:rsidP="00A22B81">
      <w:pPr>
        <w:spacing w:line="360" w:lineRule="auto"/>
        <w:jc w:val="both"/>
      </w:pPr>
    </w:p>
    <w:p w14:paraId="37130498" w14:textId="77777777" w:rsidR="00F42B80" w:rsidRDefault="00F42B80" w:rsidP="00A22B81">
      <w:pPr>
        <w:spacing w:line="360" w:lineRule="auto"/>
        <w:jc w:val="both"/>
      </w:pPr>
    </w:p>
    <w:p w14:paraId="093B5F5E" w14:textId="77777777" w:rsidR="00F42B80" w:rsidRDefault="00F42B80" w:rsidP="00A22B81">
      <w:pPr>
        <w:spacing w:line="360" w:lineRule="auto"/>
        <w:jc w:val="both"/>
      </w:pPr>
    </w:p>
    <w:p w14:paraId="517D3FEF" w14:textId="77777777" w:rsidR="00F42B80" w:rsidRDefault="00F42B80" w:rsidP="00A22B81">
      <w:pPr>
        <w:spacing w:line="360" w:lineRule="auto"/>
        <w:jc w:val="both"/>
      </w:pPr>
    </w:p>
    <w:p w14:paraId="53712929" w14:textId="77777777" w:rsidR="00F42B80" w:rsidRDefault="00F42B80" w:rsidP="00A22B81">
      <w:pPr>
        <w:spacing w:line="360" w:lineRule="auto"/>
        <w:jc w:val="both"/>
      </w:pPr>
    </w:p>
    <w:p w14:paraId="5AA8C956" w14:textId="77777777" w:rsidR="00F42B80" w:rsidRDefault="00F42B80" w:rsidP="00A22B81">
      <w:pPr>
        <w:spacing w:line="360" w:lineRule="auto"/>
        <w:jc w:val="both"/>
      </w:pPr>
    </w:p>
    <w:p w14:paraId="446F5506" w14:textId="77777777" w:rsidR="00F42B80" w:rsidRDefault="00F42B80" w:rsidP="00A22B81">
      <w:pPr>
        <w:spacing w:line="360" w:lineRule="auto"/>
        <w:jc w:val="both"/>
      </w:pPr>
    </w:p>
    <w:p w14:paraId="0A606C33" w14:textId="77777777" w:rsidR="00F42B80" w:rsidRDefault="00F42B80" w:rsidP="00A22B81">
      <w:pPr>
        <w:spacing w:line="360" w:lineRule="auto"/>
        <w:jc w:val="both"/>
      </w:pPr>
    </w:p>
    <w:p w14:paraId="5303ADE3" w14:textId="77777777" w:rsidR="00F42B80" w:rsidRDefault="00F42B80" w:rsidP="00A22B81">
      <w:pPr>
        <w:spacing w:line="360" w:lineRule="auto"/>
        <w:jc w:val="both"/>
      </w:pPr>
    </w:p>
    <w:p w14:paraId="41C976ED" w14:textId="77777777" w:rsidR="00F42B80" w:rsidRDefault="00F42B80" w:rsidP="00A22B81">
      <w:pPr>
        <w:spacing w:line="360" w:lineRule="auto"/>
        <w:jc w:val="both"/>
      </w:pPr>
    </w:p>
    <w:p w14:paraId="45072F6D" w14:textId="77777777" w:rsidR="00F42B80" w:rsidRDefault="00F42B80" w:rsidP="00A22B81">
      <w:pPr>
        <w:spacing w:line="360" w:lineRule="auto"/>
        <w:jc w:val="both"/>
      </w:pPr>
    </w:p>
    <w:p w14:paraId="44A584BB" w14:textId="77777777" w:rsidR="00F42B80" w:rsidRDefault="00F42B80" w:rsidP="00A22B81">
      <w:pPr>
        <w:spacing w:line="360" w:lineRule="auto"/>
        <w:jc w:val="both"/>
      </w:pPr>
    </w:p>
    <w:p w14:paraId="397E2905" w14:textId="77777777" w:rsidR="00F42B80" w:rsidRDefault="00F42B80" w:rsidP="00A22B81">
      <w:pPr>
        <w:spacing w:line="360" w:lineRule="auto"/>
        <w:jc w:val="both"/>
      </w:pPr>
    </w:p>
    <w:p w14:paraId="3F3D0AF2" w14:textId="77777777" w:rsidR="00EF3710" w:rsidRDefault="00EF3710" w:rsidP="00A22B81">
      <w:pPr>
        <w:spacing w:line="360" w:lineRule="auto"/>
        <w:jc w:val="both"/>
      </w:pPr>
    </w:p>
    <w:p w14:paraId="4EDF29E4" w14:textId="77777777" w:rsidR="00EF3710" w:rsidRDefault="00EF3710" w:rsidP="00A22B81">
      <w:pPr>
        <w:spacing w:line="360" w:lineRule="auto"/>
        <w:jc w:val="both"/>
      </w:pPr>
    </w:p>
    <w:p w14:paraId="718CA37B" w14:textId="5644D9FE" w:rsidR="00B634E6" w:rsidRPr="00EA700F" w:rsidRDefault="00335320" w:rsidP="00A22B81">
      <w:pPr>
        <w:spacing w:line="360" w:lineRule="auto"/>
        <w:jc w:val="both"/>
        <w:rPr>
          <w:b/>
        </w:rPr>
      </w:pPr>
      <w:r w:rsidRPr="00EA700F">
        <w:rPr>
          <w:b/>
        </w:rPr>
        <w:t>Results</w:t>
      </w:r>
    </w:p>
    <w:p w14:paraId="3B68A3F0" w14:textId="77777777" w:rsidR="00B634E6" w:rsidRPr="00EA700F" w:rsidRDefault="00B634E6" w:rsidP="00A22B81">
      <w:pPr>
        <w:spacing w:line="360" w:lineRule="auto"/>
        <w:jc w:val="both"/>
      </w:pPr>
      <w:r w:rsidRPr="00EA700F">
        <w:rPr>
          <w:i/>
        </w:rPr>
        <w:t>Confirmation of hydrological classes</w:t>
      </w:r>
    </w:p>
    <w:p w14:paraId="38660A93" w14:textId="27F04AF4" w:rsidR="00B634E6" w:rsidRPr="00EA700F" w:rsidRDefault="00B634E6" w:rsidP="00A22B81">
      <w:pPr>
        <w:spacing w:line="360" w:lineRule="auto"/>
        <w:jc w:val="both"/>
      </w:pPr>
      <w:r w:rsidRPr="00EA700F">
        <w:t>The three classes of river in this study were significantly different across the chosen hydrological metrics</w:t>
      </w:r>
      <w:r w:rsidR="00F42B80">
        <w:t xml:space="preserve">. Stable </w:t>
      </w:r>
      <w:proofErr w:type="spellStart"/>
      <w:r w:rsidR="00F42B80">
        <w:t>baseflow</w:t>
      </w:r>
      <w:proofErr w:type="spellEnd"/>
      <w:r w:rsidR="00F42B80">
        <w:t xml:space="preserve"> rivers</w:t>
      </w:r>
      <w:r w:rsidRPr="00EA700F">
        <w:t xml:space="preserve"> were most different from unpredictable intermittent rivers, R</w:t>
      </w:r>
      <w:r w:rsidRPr="00EA700F">
        <w:rPr>
          <w:vertAlign w:val="superscript"/>
        </w:rPr>
        <w:t>2</w:t>
      </w:r>
      <w:r w:rsidRPr="00EA700F">
        <w:t xml:space="preserve"> = 0.644, and slightly less so from unpredictable </w:t>
      </w:r>
      <w:proofErr w:type="spellStart"/>
      <w:r w:rsidRPr="00EA700F">
        <w:t>baseflow</w:t>
      </w:r>
      <w:proofErr w:type="spellEnd"/>
      <w:r w:rsidRPr="00EA700F">
        <w:t xml:space="preserve"> rivers</w:t>
      </w:r>
      <w:r w:rsidR="00F42B80">
        <w:t>,</w:t>
      </w:r>
      <w:r w:rsidRPr="00EA700F">
        <w:t xml:space="preserve"> R</w:t>
      </w:r>
      <w:r w:rsidRPr="00EA700F">
        <w:rPr>
          <w:vertAlign w:val="superscript"/>
        </w:rPr>
        <w:t>2</w:t>
      </w:r>
      <w:r w:rsidRPr="00EA700F">
        <w:t xml:space="preserve"> = 0.617. Unpredictable intermittent and unpredictable </w:t>
      </w:r>
      <w:proofErr w:type="spellStart"/>
      <w:r w:rsidRPr="00EA700F">
        <w:t>baseflow</w:t>
      </w:r>
      <w:proofErr w:type="spellEnd"/>
      <w:r w:rsidRPr="00EA700F">
        <w:t xml:space="preserve"> rivers exhibited greater similarity, R</w:t>
      </w:r>
      <w:r w:rsidRPr="00EA700F">
        <w:rPr>
          <w:vertAlign w:val="superscript"/>
        </w:rPr>
        <w:t>2</w:t>
      </w:r>
      <w:r w:rsidRPr="00EA700F">
        <w:t xml:space="preserve"> = 0.379.</w:t>
      </w:r>
    </w:p>
    <w:p w14:paraId="3DB081D1" w14:textId="77777777" w:rsidR="00B634E6" w:rsidRPr="00EA700F" w:rsidRDefault="00B634E6" w:rsidP="00A22B81">
      <w:pPr>
        <w:spacing w:line="360" w:lineRule="auto"/>
        <w:jc w:val="both"/>
      </w:pPr>
      <w:r w:rsidRPr="00EA700F">
        <w:rPr>
          <w:i/>
        </w:rPr>
        <w:t>Differences in wood density between hydrological classes</w:t>
      </w:r>
    </w:p>
    <w:p w14:paraId="377115A7" w14:textId="0176CF5D" w:rsidR="00B634E6" w:rsidRPr="00EA700F" w:rsidRDefault="00B634E6" w:rsidP="00A22B81">
      <w:pPr>
        <w:spacing w:line="360" w:lineRule="auto"/>
        <w:jc w:val="both"/>
      </w:pPr>
      <w:r w:rsidRPr="00EA700F">
        <w:t xml:space="preserve">Using abundance weighted site mean values, wood density was found to be significantly different between unpredictable </w:t>
      </w:r>
      <w:proofErr w:type="spellStart"/>
      <w:r w:rsidRPr="00EA700F">
        <w:t>baseflow</w:t>
      </w:r>
      <w:proofErr w:type="spellEnd"/>
      <w:r w:rsidRPr="00EA700F">
        <w:t xml:space="preserve"> rivers and stable </w:t>
      </w:r>
      <w:proofErr w:type="spellStart"/>
      <w:r w:rsidRPr="00EA700F">
        <w:t>baseflow</w:t>
      </w:r>
      <w:proofErr w:type="spellEnd"/>
      <w:r w:rsidRPr="00EA700F">
        <w:t xml:space="preserve"> rivers. The difference b</w:t>
      </w:r>
      <w:r w:rsidR="00180A63">
        <w:t>e</w:t>
      </w:r>
      <w:r w:rsidRPr="00EA700F">
        <w:t xml:space="preserve">tween unpredictable intermittent rivers and stable </w:t>
      </w:r>
      <w:proofErr w:type="spellStart"/>
      <w:r w:rsidRPr="00EA700F">
        <w:t>baseflow</w:t>
      </w:r>
      <w:proofErr w:type="spellEnd"/>
      <w:r w:rsidRPr="00EA700F">
        <w:t xml:space="preserve"> rivers </w:t>
      </w:r>
      <w:r w:rsidR="00F42B80">
        <w:t>approached significance (p</w:t>
      </w:r>
      <w:r w:rsidRPr="00EA700F">
        <w:t xml:space="preserve"> = 0.052), indicating that differences wood density between classes of river tracks differences in hydrology. No significant difference in raw wood density values was found between hydrological classes.</w:t>
      </w:r>
      <w:r w:rsidRPr="00EA700F">
        <w:br/>
      </w:r>
    </w:p>
    <w:p w14:paraId="085882A2" w14:textId="77777777" w:rsidR="00B634E6" w:rsidRPr="00EA700F" w:rsidRDefault="00B634E6" w:rsidP="00A22B81">
      <w:pPr>
        <w:keepNext/>
        <w:spacing w:line="360" w:lineRule="auto"/>
        <w:jc w:val="both"/>
      </w:pPr>
      <w:r w:rsidRPr="00EA700F">
        <w:rPr>
          <w:noProof/>
          <w:lang w:eastAsia="en-AU"/>
        </w:rPr>
        <w:drawing>
          <wp:inline distT="0" distB="0" distL="0" distR="0" wp14:anchorId="6F5C712E" wp14:editId="486ED1D8">
            <wp:extent cx="2812877" cy="163830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bundance weighted.png"/>
                    <pic:cNvPicPr/>
                  </pic:nvPicPr>
                  <pic:blipFill>
                    <a:blip r:embed="rId8">
                      <a:extLst>
                        <a:ext uri="{28A0092B-C50C-407E-A947-70E740481C1C}">
                          <a14:useLocalDpi xmlns:a14="http://schemas.microsoft.com/office/drawing/2010/main" val="0"/>
                        </a:ext>
                      </a:extLst>
                    </a:blip>
                    <a:stretch>
                      <a:fillRect/>
                    </a:stretch>
                  </pic:blipFill>
                  <pic:spPr>
                    <a:xfrm>
                      <a:off x="0" y="0"/>
                      <a:ext cx="2822173" cy="1643714"/>
                    </a:xfrm>
                    <a:prstGeom prst="rect">
                      <a:avLst/>
                    </a:prstGeom>
                  </pic:spPr>
                </pic:pic>
              </a:graphicData>
            </a:graphic>
          </wp:inline>
        </w:drawing>
      </w:r>
      <w:r w:rsidRPr="00EA700F">
        <w:rPr>
          <w:noProof/>
          <w:lang w:eastAsia="en-AU"/>
        </w:rPr>
        <w:drawing>
          <wp:inline distT="0" distB="0" distL="0" distR="0" wp14:anchorId="5E75271B" wp14:editId="4F6A1644">
            <wp:extent cx="2847764" cy="1658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aw means.png"/>
                    <pic:cNvPicPr/>
                  </pic:nvPicPr>
                  <pic:blipFill>
                    <a:blip r:embed="rId9">
                      <a:extLst>
                        <a:ext uri="{28A0092B-C50C-407E-A947-70E740481C1C}">
                          <a14:useLocalDpi xmlns:a14="http://schemas.microsoft.com/office/drawing/2010/main" val="0"/>
                        </a:ext>
                      </a:extLst>
                    </a:blip>
                    <a:stretch>
                      <a:fillRect/>
                    </a:stretch>
                  </pic:blipFill>
                  <pic:spPr>
                    <a:xfrm>
                      <a:off x="0" y="0"/>
                      <a:ext cx="2859164" cy="1665260"/>
                    </a:xfrm>
                    <a:prstGeom prst="rect">
                      <a:avLst/>
                    </a:prstGeom>
                  </pic:spPr>
                </pic:pic>
              </a:graphicData>
            </a:graphic>
          </wp:inline>
        </w:drawing>
      </w:r>
    </w:p>
    <w:p w14:paraId="469847F5" w14:textId="2207F574" w:rsidR="00B634E6" w:rsidRPr="00EA700F" w:rsidRDefault="00B634E6" w:rsidP="00A22B81">
      <w:pPr>
        <w:pStyle w:val="Caption"/>
        <w:spacing w:line="360" w:lineRule="auto"/>
        <w:jc w:val="both"/>
        <w:rPr>
          <w:sz w:val="22"/>
          <w:szCs w:val="22"/>
        </w:rPr>
      </w:pPr>
      <w:r w:rsidRPr="00EA700F">
        <w:rPr>
          <w:sz w:val="22"/>
          <w:szCs w:val="22"/>
        </w:rPr>
        <w:t xml:space="preserve">Figure </w:t>
      </w:r>
      <w:r w:rsidR="00335320" w:rsidRPr="00EA700F">
        <w:rPr>
          <w:sz w:val="22"/>
          <w:szCs w:val="22"/>
        </w:rPr>
        <w:t>2.</w:t>
      </w:r>
      <w:r w:rsidRPr="00EA700F">
        <w:rPr>
          <w:sz w:val="22"/>
          <w:szCs w:val="22"/>
        </w:rPr>
        <w:t xml:space="preserve"> Comparison of mean wood density between hydrological classes using a.) </w:t>
      </w:r>
      <w:proofErr w:type="gramStart"/>
      <w:r w:rsidRPr="00EA700F">
        <w:rPr>
          <w:sz w:val="22"/>
          <w:szCs w:val="22"/>
        </w:rPr>
        <w:t>abundance</w:t>
      </w:r>
      <w:proofErr w:type="gramEnd"/>
      <w:r w:rsidRPr="00EA700F">
        <w:rPr>
          <w:sz w:val="22"/>
          <w:szCs w:val="22"/>
        </w:rPr>
        <w:t xml:space="preserve"> weighted means, b.) </w:t>
      </w:r>
      <w:proofErr w:type="gramStart"/>
      <w:r w:rsidRPr="00EA700F">
        <w:rPr>
          <w:sz w:val="22"/>
          <w:szCs w:val="22"/>
        </w:rPr>
        <w:t>means</w:t>
      </w:r>
      <w:proofErr w:type="gramEnd"/>
      <w:r w:rsidRPr="00EA700F">
        <w:rPr>
          <w:sz w:val="22"/>
          <w:szCs w:val="22"/>
        </w:rPr>
        <w:t xml:space="preserve"> of raw wood density values. Error bars represent standard error of the mean.</w:t>
      </w:r>
      <w:r w:rsidR="00F42B80">
        <w:rPr>
          <w:sz w:val="22"/>
          <w:szCs w:val="22"/>
        </w:rPr>
        <w:t xml:space="preserve"> </w:t>
      </w:r>
    </w:p>
    <w:p w14:paraId="5B0D6A4E" w14:textId="77777777" w:rsidR="00B634E6" w:rsidRPr="00EA700F" w:rsidRDefault="00B634E6" w:rsidP="00A22B81">
      <w:pPr>
        <w:spacing w:line="360" w:lineRule="auto"/>
        <w:jc w:val="both"/>
      </w:pPr>
      <w:r w:rsidRPr="00EA700F">
        <w:rPr>
          <w:i/>
        </w:rPr>
        <w:lastRenderedPageBreak/>
        <w:t>How does wood density change over hydrological gradients?</w:t>
      </w:r>
    </w:p>
    <w:p w14:paraId="2CB4062F" w14:textId="57DB4C46" w:rsidR="00B634E6" w:rsidRPr="00EA700F" w:rsidRDefault="005779AB" w:rsidP="00A22B81">
      <w:pPr>
        <w:spacing w:line="360" w:lineRule="auto"/>
        <w:jc w:val="both"/>
      </w:pPr>
      <w:r w:rsidRPr="005779AB">
        <w:rPr>
          <w:rFonts w:cs="Arial"/>
        </w:rPr>
        <w:t>Metrics describing the largest, most intense flood events throughout a river’s hydrological record were found to be strong positive predictors of mean wood density</w:t>
      </w:r>
      <w:r>
        <w:rPr>
          <w:rFonts w:cs="Arial"/>
        </w:rPr>
        <w:t xml:space="preserve"> (Fig 3c</w:t>
      </w:r>
      <w:proofErr w:type="gramStart"/>
      <w:r>
        <w:rPr>
          <w:rFonts w:cs="Arial"/>
        </w:rPr>
        <w:t>,d,e</w:t>
      </w:r>
      <w:proofErr w:type="gramEnd"/>
      <w:r>
        <w:rPr>
          <w:rFonts w:cs="Arial"/>
        </w:rPr>
        <w:t>)</w:t>
      </w:r>
      <w:r w:rsidRPr="005779AB">
        <w:rPr>
          <w:rFonts w:cs="Arial"/>
        </w:rPr>
        <w:t>.</w:t>
      </w:r>
      <w:r>
        <w:rPr>
          <w:rFonts w:cs="Arial"/>
        </w:rPr>
        <w:t xml:space="preserve"> F</w:t>
      </w:r>
      <w:r w:rsidR="00B634E6" w:rsidRPr="00EA700F">
        <w:t>looding frequency</w:t>
      </w:r>
      <w:r>
        <w:t xml:space="preserve"> had no influence on wood density</w:t>
      </w:r>
      <w:r w:rsidR="00B634E6" w:rsidRPr="00EA700F">
        <w:t xml:space="preserve">. </w:t>
      </w:r>
      <w:proofErr w:type="spellStart"/>
      <w:r w:rsidR="00B634E6" w:rsidRPr="00EA700F">
        <w:t>Interannual</w:t>
      </w:r>
      <w:proofErr w:type="spellEnd"/>
      <w:r w:rsidR="00B634E6" w:rsidRPr="00EA700F">
        <w:t xml:space="preserve"> variability</w:t>
      </w:r>
      <w:r w:rsidR="00980EC2">
        <w:t xml:space="preserve"> (Fig 3d)</w:t>
      </w:r>
      <w:r w:rsidR="00B634E6" w:rsidRPr="00EA700F">
        <w:t xml:space="preserve"> in flood magnitude did not show a significant relationship with wood density after </w:t>
      </w:r>
      <w:proofErr w:type="spellStart"/>
      <w:r w:rsidR="00B634E6" w:rsidRPr="00EA700F">
        <w:t>Benjamini</w:t>
      </w:r>
      <w:proofErr w:type="spellEnd"/>
      <w:r w:rsidR="00B634E6" w:rsidRPr="00EA700F">
        <w:t>-Hochberg adjustment, although a trend is apparent. Removing the Snowy Creek site as an outlier, due to its high mean wood density (0.66 g/cm</w:t>
      </w:r>
      <w:r w:rsidR="00B634E6" w:rsidRPr="00EA700F">
        <w:rPr>
          <w:vertAlign w:val="superscript"/>
        </w:rPr>
        <w:t>3</w:t>
      </w:r>
      <w:r w:rsidR="00B634E6" w:rsidRPr="00EA700F">
        <w:t xml:space="preserve">) relative to other stable winter </w:t>
      </w:r>
      <w:proofErr w:type="spellStart"/>
      <w:r w:rsidR="00B634E6" w:rsidRPr="00EA700F">
        <w:t>baseflow</w:t>
      </w:r>
      <w:proofErr w:type="spellEnd"/>
      <w:r w:rsidR="00B634E6" w:rsidRPr="00EA700F">
        <w:t xml:space="preserve"> sites, produces a tight relationship (R</w:t>
      </w:r>
      <w:r w:rsidR="00B634E6" w:rsidRPr="00EA700F">
        <w:rPr>
          <w:vertAlign w:val="superscript"/>
        </w:rPr>
        <w:t>2</w:t>
      </w:r>
      <w:r w:rsidR="00B634E6" w:rsidRPr="00EA700F">
        <w:t xml:space="preserve"> = 75.4, p &gt; 0.001). Variability in flood rise and fall rates</w:t>
      </w:r>
      <w:r w:rsidR="00980EC2">
        <w:t xml:space="preserve"> (Fig3a</w:t>
      </w:r>
      <w:proofErr w:type="gramStart"/>
      <w:r w:rsidR="00980EC2">
        <w:t>,b</w:t>
      </w:r>
      <w:proofErr w:type="gramEnd"/>
      <w:r w:rsidR="00980EC2">
        <w:t>)</w:t>
      </w:r>
      <w:r w:rsidR="00B634E6" w:rsidRPr="00EA700F">
        <w:t xml:space="preserve"> were also significant positive predictors of wood density, while mean flood rise and fall rates showed no significant relationship. This </w:t>
      </w:r>
      <w:r w:rsidR="00980EC2">
        <w:t xml:space="preserve">result </w:t>
      </w:r>
      <w:r w:rsidR="00B634E6" w:rsidRPr="00EA700F">
        <w:t>indicates that</w:t>
      </w:r>
      <w:r w:rsidR="00980EC2">
        <w:t xml:space="preserve"> large</w:t>
      </w:r>
      <w:r w:rsidR="00B634E6" w:rsidRPr="00EA700F">
        <w:t xml:space="preserve"> flow events </w:t>
      </w:r>
      <w:r w:rsidR="00980EC2">
        <w:t xml:space="preserve">not captured by the mean are </w:t>
      </w:r>
      <w:r w:rsidR="00B634E6" w:rsidRPr="00EA700F">
        <w:t xml:space="preserve">driving the observed patterns of wood density. </w:t>
      </w:r>
    </w:p>
    <w:p w14:paraId="115DF65E" w14:textId="77777777" w:rsidR="00B634E6" w:rsidRPr="00EA700F" w:rsidRDefault="00B634E6" w:rsidP="00A22B81">
      <w:pPr>
        <w:spacing w:line="360" w:lineRule="auto"/>
        <w:jc w:val="both"/>
      </w:pPr>
    </w:p>
    <w:p w14:paraId="5CC13DF4" w14:textId="77777777" w:rsidR="00B634E6" w:rsidRPr="00EA700F" w:rsidRDefault="00B634E6" w:rsidP="00A22B81">
      <w:pPr>
        <w:spacing w:line="360" w:lineRule="auto"/>
        <w:jc w:val="both"/>
      </w:pPr>
    </w:p>
    <w:p w14:paraId="7C729041" w14:textId="77777777" w:rsidR="00B634E6" w:rsidRPr="00EA700F" w:rsidRDefault="00B634E6" w:rsidP="00A22B81">
      <w:pPr>
        <w:spacing w:line="360" w:lineRule="auto"/>
        <w:jc w:val="both"/>
      </w:pPr>
    </w:p>
    <w:p w14:paraId="59577023" w14:textId="77777777" w:rsidR="00B634E6" w:rsidRPr="00EA700F" w:rsidRDefault="00B634E6" w:rsidP="00A22B81">
      <w:pPr>
        <w:spacing w:line="360" w:lineRule="auto"/>
        <w:jc w:val="both"/>
      </w:pPr>
    </w:p>
    <w:p w14:paraId="0A75E51B" w14:textId="755071D6" w:rsidR="00B634E6" w:rsidRPr="00EA700F" w:rsidRDefault="00B634E6" w:rsidP="00A22B81">
      <w:pPr>
        <w:spacing w:line="360" w:lineRule="auto"/>
        <w:jc w:val="both"/>
      </w:pPr>
      <w:r w:rsidRPr="00EA700F">
        <w:rPr>
          <w:noProof/>
          <w:lang w:eastAsia="en-AU"/>
        </w:rPr>
        <w:drawing>
          <wp:inline distT="0" distB="0" distL="0" distR="0" wp14:anchorId="386EBE0D" wp14:editId="0B7DC8F9">
            <wp:extent cx="2811780" cy="234315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VAnnMRateRise_p-0.0432_r2-0.51454.png"/>
                    <pic:cNvPicPr/>
                  </pic:nvPicPr>
                  <pic:blipFill>
                    <a:blip r:embed="rId10">
                      <a:extLst>
                        <a:ext uri="{28A0092B-C50C-407E-A947-70E740481C1C}">
                          <a14:useLocalDpi xmlns:a14="http://schemas.microsoft.com/office/drawing/2010/main" val="0"/>
                        </a:ext>
                      </a:extLst>
                    </a:blip>
                    <a:stretch>
                      <a:fillRect/>
                    </a:stretch>
                  </pic:blipFill>
                  <pic:spPr>
                    <a:xfrm>
                      <a:off x="0" y="0"/>
                      <a:ext cx="2833246" cy="2361038"/>
                    </a:xfrm>
                    <a:prstGeom prst="rect">
                      <a:avLst/>
                    </a:prstGeom>
                  </pic:spPr>
                </pic:pic>
              </a:graphicData>
            </a:graphic>
          </wp:inline>
        </w:drawing>
      </w:r>
      <w:r w:rsidR="00980EC2" w:rsidRPr="00EA700F">
        <w:rPr>
          <w:noProof/>
          <w:lang w:eastAsia="en-AU"/>
        </w:rPr>
        <w:drawing>
          <wp:inline distT="0" distB="0" distL="0" distR="0" wp14:anchorId="2A2C2816" wp14:editId="7B0AABE1">
            <wp:extent cx="2734056" cy="2278380"/>
            <wp:effectExtent l="0" t="0" r="952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VAnnMRateFall_p-0.0432_r2-0.43363.png"/>
                    <pic:cNvPicPr/>
                  </pic:nvPicPr>
                  <pic:blipFill>
                    <a:blip r:embed="rId11">
                      <a:extLst>
                        <a:ext uri="{28A0092B-C50C-407E-A947-70E740481C1C}">
                          <a14:useLocalDpi xmlns:a14="http://schemas.microsoft.com/office/drawing/2010/main" val="0"/>
                        </a:ext>
                      </a:extLst>
                    </a:blip>
                    <a:stretch>
                      <a:fillRect/>
                    </a:stretch>
                  </pic:blipFill>
                  <pic:spPr>
                    <a:xfrm>
                      <a:off x="0" y="0"/>
                      <a:ext cx="2751027" cy="2292523"/>
                    </a:xfrm>
                    <a:prstGeom prst="rect">
                      <a:avLst/>
                    </a:prstGeom>
                  </pic:spPr>
                </pic:pic>
              </a:graphicData>
            </a:graphic>
          </wp:inline>
        </w:drawing>
      </w:r>
    </w:p>
    <w:p w14:paraId="67E2EFFC" w14:textId="77777777" w:rsidR="00B634E6" w:rsidRPr="00EA700F" w:rsidRDefault="00B634E6" w:rsidP="00A22B81">
      <w:pPr>
        <w:spacing w:line="360" w:lineRule="auto"/>
        <w:jc w:val="both"/>
      </w:pPr>
      <w:r w:rsidRPr="00EA700F">
        <w:rPr>
          <w:noProof/>
          <w:lang w:eastAsia="en-AU"/>
        </w:rPr>
        <w:lastRenderedPageBreak/>
        <w:drawing>
          <wp:inline distT="0" distB="0" distL="0" distR="0" wp14:anchorId="7393C089" wp14:editId="064E3DEF">
            <wp:extent cx="2770631" cy="23088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SPeaknorm_p-0.0432_r2-0.41546.png"/>
                    <pic:cNvPicPr/>
                  </pic:nvPicPr>
                  <pic:blipFill>
                    <a:blip r:embed="rId12">
                      <a:extLst>
                        <a:ext uri="{28A0092B-C50C-407E-A947-70E740481C1C}">
                          <a14:useLocalDpi xmlns:a14="http://schemas.microsoft.com/office/drawing/2010/main" val="0"/>
                        </a:ext>
                      </a:extLst>
                    </a:blip>
                    <a:stretch>
                      <a:fillRect/>
                    </a:stretch>
                  </pic:blipFill>
                  <pic:spPr>
                    <a:xfrm>
                      <a:off x="0" y="0"/>
                      <a:ext cx="2789772" cy="2324811"/>
                    </a:xfrm>
                    <a:prstGeom prst="rect">
                      <a:avLst/>
                    </a:prstGeom>
                  </pic:spPr>
                </pic:pic>
              </a:graphicData>
            </a:graphic>
          </wp:inline>
        </w:drawing>
      </w:r>
      <w:r w:rsidRPr="00EA700F">
        <w:rPr>
          <w:noProof/>
          <w:lang w:eastAsia="en-AU"/>
        </w:rPr>
        <w:drawing>
          <wp:inline distT="0" distB="0" distL="0" distR="0" wp14:anchorId="02AABE8A" wp14:editId="6B5C56E6">
            <wp:extent cx="2872740" cy="2393950"/>
            <wp:effectExtent l="0" t="0" r="381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VAnnHSPeak_p-0.13518_r2-0.29335.png"/>
                    <pic:cNvPicPr/>
                  </pic:nvPicPr>
                  <pic:blipFill>
                    <a:blip r:embed="rId13">
                      <a:extLst>
                        <a:ext uri="{28A0092B-C50C-407E-A947-70E740481C1C}">
                          <a14:useLocalDpi xmlns:a14="http://schemas.microsoft.com/office/drawing/2010/main" val="0"/>
                        </a:ext>
                      </a:extLst>
                    </a:blip>
                    <a:stretch>
                      <a:fillRect/>
                    </a:stretch>
                  </pic:blipFill>
                  <pic:spPr>
                    <a:xfrm>
                      <a:off x="0" y="0"/>
                      <a:ext cx="2880315" cy="2400263"/>
                    </a:xfrm>
                    <a:prstGeom prst="rect">
                      <a:avLst/>
                    </a:prstGeom>
                  </pic:spPr>
                </pic:pic>
              </a:graphicData>
            </a:graphic>
          </wp:inline>
        </w:drawing>
      </w:r>
    </w:p>
    <w:p w14:paraId="081D72B6" w14:textId="77777777" w:rsidR="00B634E6" w:rsidRPr="00EA700F" w:rsidRDefault="00B634E6" w:rsidP="00A22B81">
      <w:pPr>
        <w:keepNext/>
        <w:spacing w:line="360" w:lineRule="auto"/>
        <w:jc w:val="both"/>
      </w:pPr>
      <w:r w:rsidRPr="00EA700F">
        <w:rPr>
          <w:noProof/>
          <w:lang w:eastAsia="en-AU"/>
        </w:rPr>
        <w:drawing>
          <wp:inline distT="0" distB="0" distL="0" distR="0" wp14:anchorId="507E9A2F" wp14:editId="23EDEBBF">
            <wp:extent cx="2781300" cy="2317751"/>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20YrARInorm_p-0.0279_r2-0.39318.png"/>
                    <pic:cNvPicPr/>
                  </pic:nvPicPr>
                  <pic:blipFill>
                    <a:blip r:embed="rId14">
                      <a:extLst>
                        <a:ext uri="{28A0092B-C50C-407E-A947-70E740481C1C}">
                          <a14:useLocalDpi xmlns:a14="http://schemas.microsoft.com/office/drawing/2010/main" val="0"/>
                        </a:ext>
                      </a:extLst>
                    </a:blip>
                    <a:stretch>
                      <a:fillRect/>
                    </a:stretch>
                  </pic:blipFill>
                  <pic:spPr>
                    <a:xfrm>
                      <a:off x="0" y="0"/>
                      <a:ext cx="2793815" cy="2328180"/>
                    </a:xfrm>
                    <a:prstGeom prst="rect">
                      <a:avLst/>
                    </a:prstGeom>
                  </pic:spPr>
                </pic:pic>
              </a:graphicData>
            </a:graphic>
          </wp:inline>
        </w:drawing>
      </w:r>
    </w:p>
    <w:p w14:paraId="6CC673A0" w14:textId="0AA9EB7F" w:rsidR="00B634E6" w:rsidRPr="001133BD" w:rsidRDefault="00B634E6" w:rsidP="00A22B81">
      <w:pPr>
        <w:pStyle w:val="Caption"/>
        <w:spacing w:line="360" w:lineRule="auto"/>
        <w:jc w:val="both"/>
        <w:rPr>
          <w:sz w:val="22"/>
          <w:szCs w:val="22"/>
        </w:rPr>
      </w:pPr>
      <w:r w:rsidRPr="00EA700F">
        <w:rPr>
          <w:sz w:val="22"/>
          <w:szCs w:val="22"/>
        </w:rPr>
        <w:t xml:space="preserve">Figure </w:t>
      </w:r>
      <w:r w:rsidR="00335320" w:rsidRPr="00EA700F">
        <w:rPr>
          <w:sz w:val="22"/>
          <w:szCs w:val="22"/>
        </w:rPr>
        <w:t>3</w:t>
      </w:r>
      <w:r w:rsidRPr="00EA700F">
        <w:rPr>
          <w:sz w:val="22"/>
          <w:szCs w:val="22"/>
        </w:rPr>
        <w:t xml:space="preserve">. Relationships between abundance weighted mean wood density and hydrological metrics describing a.) </w:t>
      </w:r>
      <w:proofErr w:type="spellStart"/>
      <w:proofErr w:type="gramStart"/>
      <w:r w:rsidR="00D0402B">
        <w:rPr>
          <w:sz w:val="22"/>
          <w:szCs w:val="22"/>
        </w:rPr>
        <w:t>interannual</w:t>
      </w:r>
      <w:proofErr w:type="spellEnd"/>
      <w:proofErr w:type="gramEnd"/>
      <w:r w:rsidR="00D0402B">
        <w:rPr>
          <w:sz w:val="22"/>
          <w:szCs w:val="22"/>
        </w:rPr>
        <w:t xml:space="preserve"> </w:t>
      </w:r>
      <w:r w:rsidRPr="00EA700F">
        <w:rPr>
          <w:sz w:val="22"/>
          <w:szCs w:val="22"/>
        </w:rPr>
        <w:t>variability in flood fall rates</w:t>
      </w:r>
      <w:r w:rsidR="006A025A">
        <w:rPr>
          <w:sz w:val="22"/>
          <w:szCs w:val="22"/>
        </w:rPr>
        <w:t xml:space="preserve"> (</w:t>
      </w:r>
      <w:proofErr w:type="spellStart"/>
      <w:r w:rsidR="006A025A">
        <w:rPr>
          <w:sz w:val="22"/>
          <w:szCs w:val="22"/>
        </w:rPr>
        <w:t>CVAnnMRateRise</w:t>
      </w:r>
      <w:proofErr w:type="spellEnd"/>
      <w:r w:rsidR="006A025A">
        <w:rPr>
          <w:sz w:val="22"/>
          <w:szCs w:val="22"/>
        </w:rPr>
        <w:t>)</w:t>
      </w:r>
      <w:r w:rsidRPr="00EA700F">
        <w:rPr>
          <w:sz w:val="22"/>
          <w:szCs w:val="22"/>
        </w:rPr>
        <w:t xml:space="preserve">, b.) </w:t>
      </w:r>
      <w:proofErr w:type="spellStart"/>
      <w:proofErr w:type="gramStart"/>
      <w:r w:rsidR="00D0402B">
        <w:rPr>
          <w:sz w:val="22"/>
          <w:szCs w:val="22"/>
        </w:rPr>
        <w:t>interannual</w:t>
      </w:r>
      <w:proofErr w:type="spellEnd"/>
      <w:proofErr w:type="gramEnd"/>
      <w:r w:rsidR="00D0402B">
        <w:rPr>
          <w:sz w:val="22"/>
          <w:szCs w:val="22"/>
        </w:rPr>
        <w:t xml:space="preserve"> </w:t>
      </w:r>
      <w:r w:rsidRPr="00EA700F">
        <w:rPr>
          <w:sz w:val="22"/>
          <w:szCs w:val="22"/>
        </w:rPr>
        <w:t>variability in flood rise rate</w:t>
      </w:r>
      <w:r w:rsidR="006A025A">
        <w:rPr>
          <w:sz w:val="22"/>
          <w:szCs w:val="22"/>
        </w:rPr>
        <w:t>s (</w:t>
      </w:r>
      <w:proofErr w:type="spellStart"/>
      <w:r w:rsidR="006A025A">
        <w:rPr>
          <w:sz w:val="22"/>
          <w:szCs w:val="22"/>
        </w:rPr>
        <w:t>CVAnnMRateFall</w:t>
      </w:r>
      <w:proofErr w:type="spellEnd"/>
      <w:r w:rsidR="006A025A">
        <w:rPr>
          <w:sz w:val="22"/>
          <w:szCs w:val="22"/>
        </w:rPr>
        <w:t>)</w:t>
      </w:r>
      <w:r w:rsidRPr="00EA700F">
        <w:rPr>
          <w:sz w:val="22"/>
          <w:szCs w:val="22"/>
        </w:rPr>
        <w:t xml:space="preserve">, c.) </w:t>
      </w:r>
      <w:proofErr w:type="gramStart"/>
      <w:r w:rsidRPr="00EA700F">
        <w:rPr>
          <w:sz w:val="22"/>
          <w:szCs w:val="22"/>
        </w:rPr>
        <w:t>mean</w:t>
      </w:r>
      <w:proofErr w:type="gramEnd"/>
      <w:r w:rsidRPr="00EA700F">
        <w:rPr>
          <w:sz w:val="22"/>
          <w:szCs w:val="22"/>
        </w:rPr>
        <w:t xml:space="preserve"> high flow magnitude</w:t>
      </w:r>
      <w:r w:rsidR="006A025A">
        <w:rPr>
          <w:sz w:val="22"/>
          <w:szCs w:val="22"/>
        </w:rPr>
        <w:t xml:space="preserve"> (</w:t>
      </w:r>
      <w:proofErr w:type="spellStart"/>
      <w:r w:rsidR="006A025A">
        <w:rPr>
          <w:sz w:val="22"/>
          <w:szCs w:val="22"/>
        </w:rPr>
        <w:t>HSPeaknorm</w:t>
      </w:r>
      <w:proofErr w:type="spellEnd"/>
      <w:r w:rsidR="006A025A">
        <w:rPr>
          <w:sz w:val="22"/>
          <w:szCs w:val="22"/>
        </w:rPr>
        <w:t>)</w:t>
      </w:r>
      <w:r w:rsidRPr="00EA700F">
        <w:rPr>
          <w:sz w:val="22"/>
          <w:szCs w:val="22"/>
        </w:rPr>
        <w:t xml:space="preserve">, d.) </w:t>
      </w:r>
      <w:proofErr w:type="spellStart"/>
      <w:proofErr w:type="gramStart"/>
      <w:r w:rsidR="00625ED2">
        <w:rPr>
          <w:sz w:val="22"/>
          <w:szCs w:val="22"/>
        </w:rPr>
        <w:t>interannual</w:t>
      </w:r>
      <w:proofErr w:type="spellEnd"/>
      <w:proofErr w:type="gramEnd"/>
      <w:r w:rsidR="00625ED2">
        <w:rPr>
          <w:sz w:val="22"/>
          <w:szCs w:val="22"/>
        </w:rPr>
        <w:t xml:space="preserve"> </w:t>
      </w:r>
      <w:r w:rsidRPr="00EA700F">
        <w:rPr>
          <w:sz w:val="22"/>
          <w:szCs w:val="22"/>
        </w:rPr>
        <w:t>variability in high flow magnitude</w:t>
      </w:r>
      <w:r w:rsidR="006A025A">
        <w:rPr>
          <w:sz w:val="22"/>
          <w:szCs w:val="22"/>
        </w:rPr>
        <w:t xml:space="preserve"> (</w:t>
      </w:r>
      <w:proofErr w:type="spellStart"/>
      <w:r w:rsidR="006A025A">
        <w:rPr>
          <w:sz w:val="22"/>
          <w:szCs w:val="22"/>
        </w:rPr>
        <w:t>CVAnnHSPeak</w:t>
      </w:r>
      <w:proofErr w:type="spellEnd"/>
      <w:r w:rsidR="006A025A">
        <w:rPr>
          <w:sz w:val="22"/>
          <w:szCs w:val="22"/>
        </w:rPr>
        <w:t>)</w:t>
      </w:r>
      <w:r w:rsidRPr="00EA700F">
        <w:rPr>
          <w:sz w:val="22"/>
          <w:szCs w:val="22"/>
        </w:rPr>
        <w:t xml:space="preserve">, e.) </w:t>
      </w:r>
      <w:proofErr w:type="gramStart"/>
      <w:r w:rsidRPr="00EA700F">
        <w:rPr>
          <w:sz w:val="22"/>
          <w:szCs w:val="22"/>
        </w:rPr>
        <w:t>magnitude</w:t>
      </w:r>
      <w:proofErr w:type="gramEnd"/>
      <w:r w:rsidRPr="00EA700F">
        <w:rPr>
          <w:sz w:val="22"/>
          <w:szCs w:val="22"/>
        </w:rPr>
        <w:t xml:space="preserve"> of the 20 year average return interval flood</w:t>
      </w:r>
      <w:r w:rsidR="006A025A">
        <w:rPr>
          <w:sz w:val="22"/>
          <w:szCs w:val="22"/>
        </w:rPr>
        <w:t xml:space="preserve"> (AS20YrARInorm)</w:t>
      </w:r>
      <w:r w:rsidRPr="00EA700F">
        <w:rPr>
          <w:sz w:val="22"/>
          <w:szCs w:val="22"/>
        </w:rPr>
        <w:t xml:space="preserve">. Fit lines depict ordinary least squares regression models. a. – d. are quadratic fits, e. is an exponential fit. Shaded areas depict the </w:t>
      </w:r>
      <w:r w:rsidR="00980EC2">
        <w:rPr>
          <w:sz w:val="22"/>
          <w:szCs w:val="22"/>
        </w:rPr>
        <w:t xml:space="preserve">smoothed </w:t>
      </w:r>
      <w:r w:rsidRPr="00EA700F">
        <w:rPr>
          <w:sz w:val="22"/>
          <w:szCs w:val="22"/>
        </w:rPr>
        <w:t xml:space="preserve">95% confidence interval around the regression model. </w:t>
      </w:r>
      <w:proofErr w:type="spellStart"/>
      <w:proofErr w:type="gramStart"/>
      <w:r w:rsidR="001133BD">
        <w:rPr>
          <w:sz w:val="22"/>
          <w:szCs w:val="22"/>
        </w:rPr>
        <w:t>p.adj</w:t>
      </w:r>
      <w:proofErr w:type="spellEnd"/>
      <w:proofErr w:type="gramEnd"/>
      <w:r w:rsidR="001133BD">
        <w:rPr>
          <w:sz w:val="22"/>
          <w:szCs w:val="22"/>
        </w:rPr>
        <w:t xml:space="preserve"> refers to </w:t>
      </w:r>
      <w:proofErr w:type="spellStart"/>
      <w:r w:rsidR="001133BD">
        <w:rPr>
          <w:sz w:val="22"/>
          <w:szCs w:val="22"/>
        </w:rPr>
        <w:t>Benjamini</w:t>
      </w:r>
      <w:proofErr w:type="spellEnd"/>
      <w:r w:rsidR="001133BD">
        <w:rPr>
          <w:sz w:val="22"/>
          <w:szCs w:val="22"/>
        </w:rPr>
        <w:t>-Hochberg adjusted p values.</w:t>
      </w:r>
    </w:p>
    <w:p w14:paraId="6BEEF8F5" w14:textId="011D2E4B" w:rsidR="00B634E6" w:rsidRPr="00EA700F" w:rsidRDefault="00B634E6" w:rsidP="00A22B81">
      <w:pPr>
        <w:spacing w:line="360" w:lineRule="auto"/>
        <w:jc w:val="both"/>
      </w:pPr>
      <w:r w:rsidRPr="00EA700F">
        <w:t xml:space="preserve">We found denser woody tissues were increasingly favoured as </w:t>
      </w:r>
      <w:proofErr w:type="spellStart"/>
      <w:r w:rsidR="00617ABD">
        <w:t>baseflow</w:t>
      </w:r>
      <w:proofErr w:type="spellEnd"/>
      <w:r w:rsidR="00617ABD">
        <w:t xml:space="preserve"> index decreased (Fig 4a). </w:t>
      </w:r>
      <w:r w:rsidRPr="00EA700F">
        <w:t xml:space="preserve">Wood density increased as patterns of average flow conditions became a.) </w:t>
      </w:r>
      <w:proofErr w:type="gramStart"/>
      <w:r w:rsidRPr="00EA700F">
        <w:t>less</w:t>
      </w:r>
      <w:proofErr w:type="gramEnd"/>
      <w:r w:rsidRPr="00EA700F">
        <w:t xml:space="preserve"> uniforml</w:t>
      </w:r>
      <w:r w:rsidR="00617ABD">
        <w:t>y distributed across seasons (Fig 4c</w:t>
      </w:r>
      <w:r w:rsidRPr="00EA700F">
        <w:t xml:space="preserve">), and b.) </w:t>
      </w:r>
      <w:proofErr w:type="gramStart"/>
      <w:r w:rsidRPr="00EA700F">
        <w:t>less</w:t>
      </w:r>
      <w:proofErr w:type="gramEnd"/>
      <w:r w:rsidRPr="00EA700F">
        <w:t xml:space="preserve"> uniformly distributed year to year</w:t>
      </w:r>
      <w:r w:rsidR="00617ABD">
        <w:t xml:space="preserve"> (Fig 4d)</w:t>
      </w:r>
      <w:r w:rsidRPr="00EA700F">
        <w:t xml:space="preserve">. Thus mean wood density is maximised when average flows patterns are highly seasonal, but the season with which they are associated is not consistent throughout the record. </w:t>
      </w:r>
      <w:r w:rsidR="00617ABD" w:rsidRPr="00EA700F">
        <w:t xml:space="preserve">A similar relationship was observed for inter-annual </w:t>
      </w:r>
      <w:r w:rsidR="00617ABD">
        <w:t xml:space="preserve">(Fig 4e) </w:t>
      </w:r>
      <w:r w:rsidR="00617ABD" w:rsidRPr="00EA700F">
        <w:t>but not inter-seasonal uniformity of minimum flows.</w:t>
      </w:r>
      <w:r w:rsidR="00617ABD">
        <w:t xml:space="preserve"> </w:t>
      </w:r>
      <w:r w:rsidRPr="00EA700F">
        <w:t xml:space="preserve">That is to say, it was not important how strongly minimum flows were associated with particular seasons, but whether the seasonal </w:t>
      </w:r>
      <w:r w:rsidRPr="00EA700F">
        <w:lastRenderedPageBreak/>
        <w:t>pattern of flows was the sam</w:t>
      </w:r>
      <w:r w:rsidR="00617ABD">
        <w:t xml:space="preserve">e across years of the record.  </w:t>
      </w:r>
      <w:r w:rsidRPr="00EA700F">
        <w:t xml:space="preserve">Mean wood density also increased with increasing </w:t>
      </w:r>
      <w:proofErr w:type="spellStart"/>
      <w:r w:rsidRPr="00EA700F">
        <w:t>interannual</w:t>
      </w:r>
      <w:proofErr w:type="spellEnd"/>
      <w:r w:rsidRPr="00EA700F">
        <w:t xml:space="preserve"> variability in </w:t>
      </w:r>
      <w:proofErr w:type="spellStart"/>
      <w:r w:rsidRPr="00EA700F">
        <w:t>baseflow</w:t>
      </w:r>
      <w:proofErr w:type="spellEnd"/>
      <w:r w:rsidRPr="00EA700F">
        <w:t xml:space="preserve"> index</w:t>
      </w:r>
      <w:r w:rsidR="00617ABD">
        <w:t xml:space="preserve"> (Fig 4b)</w:t>
      </w:r>
      <w:r w:rsidRPr="00EA700F">
        <w:t xml:space="preserve">, pointing to a strong effect from years in which </w:t>
      </w:r>
      <w:proofErr w:type="spellStart"/>
      <w:r w:rsidRPr="00EA700F">
        <w:t>ba</w:t>
      </w:r>
      <w:r w:rsidR="00617ABD">
        <w:t>seflow</w:t>
      </w:r>
      <w:proofErr w:type="spellEnd"/>
      <w:r w:rsidR="00617ABD">
        <w:t xml:space="preserve"> deviated from the mean. </w:t>
      </w:r>
      <w:r w:rsidRPr="00EA700F">
        <w:t>Wood density also decreased with mean low spell flow</w:t>
      </w:r>
      <w:r w:rsidR="00617ABD">
        <w:t xml:space="preserve"> (Fig 4f)</w:t>
      </w:r>
      <w:r w:rsidRPr="00EA700F">
        <w:t>, and with removal of Snowy Creek as an outlier, the mean 7 day minimum flow</w:t>
      </w:r>
      <w:r w:rsidR="00617ABD">
        <w:t xml:space="preserve"> (Fig 4g),</w:t>
      </w:r>
      <w:r w:rsidRPr="00EA700F">
        <w:t xml:space="preserve"> </w:t>
      </w:r>
      <w:r w:rsidR="00617ABD">
        <w:t>for both of which  higher value</w:t>
      </w:r>
      <w:r w:rsidRPr="00EA700F">
        <w:t xml:space="preserve"> indicate</w:t>
      </w:r>
      <w:r w:rsidR="00617ABD">
        <w:t>s</w:t>
      </w:r>
      <w:r w:rsidRPr="00EA700F">
        <w:t xml:space="preserve"> wetter minimum flow conditions).  Metrics of low flow duration did not significantly predict wood density. </w:t>
      </w:r>
    </w:p>
    <w:p w14:paraId="49D1CEC2" w14:textId="77777777" w:rsidR="00B634E6" w:rsidRPr="00EA700F" w:rsidRDefault="00B634E6" w:rsidP="00A22B81">
      <w:pPr>
        <w:spacing w:line="360" w:lineRule="auto"/>
        <w:jc w:val="both"/>
      </w:pPr>
      <w:r w:rsidRPr="00EA700F">
        <w:rPr>
          <w:noProof/>
          <w:lang w:eastAsia="en-AU"/>
        </w:rPr>
        <w:drawing>
          <wp:inline distT="0" distB="0" distL="0" distR="0" wp14:anchorId="7979BCB9" wp14:editId="4E4A0A34">
            <wp:extent cx="2578608" cy="21488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FI_p-0.045_r2-0.43362.png"/>
                    <pic:cNvPicPr/>
                  </pic:nvPicPr>
                  <pic:blipFill>
                    <a:blip r:embed="rId15">
                      <a:extLst>
                        <a:ext uri="{28A0092B-C50C-407E-A947-70E740481C1C}">
                          <a14:useLocalDpi xmlns:a14="http://schemas.microsoft.com/office/drawing/2010/main" val="0"/>
                        </a:ext>
                      </a:extLst>
                    </a:blip>
                    <a:stretch>
                      <a:fillRect/>
                    </a:stretch>
                  </pic:blipFill>
                  <pic:spPr>
                    <a:xfrm>
                      <a:off x="0" y="0"/>
                      <a:ext cx="2580477" cy="2150398"/>
                    </a:xfrm>
                    <a:prstGeom prst="rect">
                      <a:avLst/>
                    </a:prstGeom>
                  </pic:spPr>
                </pic:pic>
              </a:graphicData>
            </a:graphic>
          </wp:inline>
        </w:drawing>
      </w:r>
      <w:r w:rsidRPr="00EA700F">
        <w:rPr>
          <w:noProof/>
          <w:lang w:eastAsia="en-AU"/>
        </w:rPr>
        <w:drawing>
          <wp:inline distT="0" distB="0" distL="0" distR="0" wp14:anchorId="0976569E" wp14:editId="1BE5AA31">
            <wp:extent cx="2514600" cy="209550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VAnnBFI_p-0.03675_r2-0.55709.png"/>
                    <pic:cNvPicPr/>
                  </pic:nvPicPr>
                  <pic:blipFill>
                    <a:blip r:embed="rId16">
                      <a:extLst>
                        <a:ext uri="{28A0092B-C50C-407E-A947-70E740481C1C}">
                          <a14:useLocalDpi xmlns:a14="http://schemas.microsoft.com/office/drawing/2010/main" val="0"/>
                        </a:ext>
                      </a:extLst>
                    </a:blip>
                    <a:stretch>
                      <a:fillRect/>
                    </a:stretch>
                  </pic:blipFill>
                  <pic:spPr>
                    <a:xfrm>
                      <a:off x="0" y="0"/>
                      <a:ext cx="2520389" cy="2100325"/>
                    </a:xfrm>
                    <a:prstGeom prst="rect">
                      <a:avLst/>
                    </a:prstGeom>
                  </pic:spPr>
                </pic:pic>
              </a:graphicData>
            </a:graphic>
          </wp:inline>
        </w:drawing>
      </w:r>
      <w:r w:rsidRPr="00EA700F">
        <w:rPr>
          <w:noProof/>
          <w:lang w:eastAsia="en-AU"/>
        </w:rPr>
        <w:drawing>
          <wp:inline distT="0" distB="0" distL="0" distR="0" wp14:anchorId="54BED585" wp14:editId="3812203D">
            <wp:extent cx="2606040" cy="21717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_MDFM_p-0.0342_r2-0.44315.png"/>
                    <pic:cNvPicPr/>
                  </pic:nvPicPr>
                  <pic:blipFill>
                    <a:blip r:embed="rId17">
                      <a:extLst>
                        <a:ext uri="{28A0092B-C50C-407E-A947-70E740481C1C}">
                          <a14:useLocalDpi xmlns:a14="http://schemas.microsoft.com/office/drawing/2010/main" val="0"/>
                        </a:ext>
                      </a:extLst>
                    </a:blip>
                    <a:stretch>
                      <a:fillRect/>
                    </a:stretch>
                  </pic:blipFill>
                  <pic:spPr>
                    <a:xfrm>
                      <a:off x="0" y="0"/>
                      <a:ext cx="2610311" cy="2175259"/>
                    </a:xfrm>
                    <a:prstGeom prst="rect">
                      <a:avLst/>
                    </a:prstGeom>
                  </pic:spPr>
                </pic:pic>
              </a:graphicData>
            </a:graphic>
          </wp:inline>
        </w:drawing>
      </w:r>
      <w:r w:rsidRPr="00EA700F">
        <w:rPr>
          <w:noProof/>
          <w:lang w:eastAsia="en-AU"/>
        </w:rPr>
        <w:drawing>
          <wp:inline distT="0" distB="0" distL="0" distR="0" wp14:anchorId="2A6BA498" wp14:editId="7E962C4A">
            <wp:extent cx="2621280" cy="2184401"/>
            <wp:effectExtent l="0" t="0" r="762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_MDFM_p-0.03675_r2-0.44976.png"/>
                    <pic:cNvPicPr/>
                  </pic:nvPicPr>
                  <pic:blipFill>
                    <a:blip r:embed="rId18">
                      <a:extLst>
                        <a:ext uri="{28A0092B-C50C-407E-A947-70E740481C1C}">
                          <a14:useLocalDpi xmlns:a14="http://schemas.microsoft.com/office/drawing/2010/main" val="0"/>
                        </a:ext>
                      </a:extLst>
                    </a:blip>
                    <a:stretch>
                      <a:fillRect/>
                    </a:stretch>
                  </pic:blipFill>
                  <pic:spPr>
                    <a:xfrm>
                      <a:off x="0" y="0"/>
                      <a:ext cx="2623594" cy="2186329"/>
                    </a:xfrm>
                    <a:prstGeom prst="rect">
                      <a:avLst/>
                    </a:prstGeom>
                  </pic:spPr>
                </pic:pic>
              </a:graphicData>
            </a:graphic>
          </wp:inline>
        </w:drawing>
      </w:r>
    </w:p>
    <w:p w14:paraId="10F5B6C8" w14:textId="77777777" w:rsidR="00B634E6" w:rsidRPr="00EA700F" w:rsidRDefault="00B634E6" w:rsidP="00A22B81">
      <w:pPr>
        <w:spacing w:line="360" w:lineRule="auto"/>
        <w:jc w:val="both"/>
      </w:pPr>
      <w:r w:rsidRPr="00EA700F">
        <w:rPr>
          <w:noProof/>
          <w:lang w:eastAsia="en-AU"/>
        </w:rPr>
        <w:drawing>
          <wp:inline distT="0" distB="0" distL="0" distR="0" wp14:anchorId="622E0140" wp14:editId="19F2E385">
            <wp:extent cx="2575560" cy="2146301"/>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_MinM_p-0.03675_r2-0.55156.png"/>
                    <pic:cNvPicPr/>
                  </pic:nvPicPr>
                  <pic:blipFill>
                    <a:blip r:embed="rId19">
                      <a:extLst>
                        <a:ext uri="{28A0092B-C50C-407E-A947-70E740481C1C}">
                          <a14:useLocalDpi xmlns:a14="http://schemas.microsoft.com/office/drawing/2010/main" val="0"/>
                        </a:ext>
                      </a:extLst>
                    </a:blip>
                    <a:stretch>
                      <a:fillRect/>
                    </a:stretch>
                  </pic:blipFill>
                  <pic:spPr>
                    <a:xfrm>
                      <a:off x="0" y="0"/>
                      <a:ext cx="2580864" cy="2150721"/>
                    </a:xfrm>
                    <a:prstGeom prst="rect">
                      <a:avLst/>
                    </a:prstGeom>
                  </pic:spPr>
                </pic:pic>
              </a:graphicData>
            </a:graphic>
          </wp:inline>
        </w:drawing>
      </w:r>
      <w:r w:rsidRPr="00EA700F">
        <w:rPr>
          <w:noProof/>
          <w:lang w:eastAsia="en-AU"/>
        </w:rPr>
        <w:drawing>
          <wp:inline distT="0" distB="0" distL="0" distR="0" wp14:anchorId="160F350B" wp14:editId="6072A4A9">
            <wp:extent cx="2584704" cy="215392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SPeaknorm_p-0.0342_r2-0.40785.png"/>
                    <pic:cNvPicPr/>
                  </pic:nvPicPr>
                  <pic:blipFill>
                    <a:blip r:embed="rId20">
                      <a:extLst>
                        <a:ext uri="{28A0092B-C50C-407E-A947-70E740481C1C}">
                          <a14:useLocalDpi xmlns:a14="http://schemas.microsoft.com/office/drawing/2010/main" val="0"/>
                        </a:ext>
                      </a:extLst>
                    </a:blip>
                    <a:stretch>
                      <a:fillRect/>
                    </a:stretch>
                  </pic:blipFill>
                  <pic:spPr>
                    <a:xfrm>
                      <a:off x="0" y="0"/>
                      <a:ext cx="2586300" cy="2155250"/>
                    </a:xfrm>
                    <a:prstGeom prst="rect">
                      <a:avLst/>
                    </a:prstGeom>
                  </pic:spPr>
                </pic:pic>
              </a:graphicData>
            </a:graphic>
          </wp:inline>
        </w:drawing>
      </w:r>
    </w:p>
    <w:p w14:paraId="31B794FF" w14:textId="21D104CC" w:rsidR="00335320" w:rsidRPr="00EA700F" w:rsidRDefault="00B634E6" w:rsidP="00A22B81">
      <w:pPr>
        <w:keepNext/>
        <w:spacing w:line="360" w:lineRule="auto"/>
        <w:jc w:val="both"/>
      </w:pPr>
      <w:r w:rsidRPr="00EA700F">
        <w:rPr>
          <w:noProof/>
          <w:lang w:eastAsia="en-AU"/>
        </w:rPr>
        <w:lastRenderedPageBreak/>
        <w:drawing>
          <wp:inline distT="0" distB="0" distL="0" distR="0" wp14:anchorId="2923D40B" wp14:editId="5E8A6C02">
            <wp:extent cx="2509520" cy="2091267"/>
            <wp:effectExtent l="0" t="0" r="508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7days.MinMeannorm_p-0.0760714285714286_r2-0.32789.png"/>
                    <pic:cNvPicPr/>
                  </pic:nvPicPr>
                  <pic:blipFill>
                    <a:blip r:embed="rId21">
                      <a:extLst>
                        <a:ext uri="{28A0092B-C50C-407E-A947-70E740481C1C}">
                          <a14:useLocalDpi xmlns:a14="http://schemas.microsoft.com/office/drawing/2010/main" val="0"/>
                        </a:ext>
                      </a:extLst>
                    </a:blip>
                    <a:stretch>
                      <a:fillRect/>
                    </a:stretch>
                  </pic:blipFill>
                  <pic:spPr>
                    <a:xfrm>
                      <a:off x="0" y="0"/>
                      <a:ext cx="2514457" cy="2095381"/>
                    </a:xfrm>
                    <a:prstGeom prst="rect">
                      <a:avLst/>
                    </a:prstGeom>
                  </pic:spPr>
                </pic:pic>
              </a:graphicData>
            </a:graphic>
          </wp:inline>
        </w:drawing>
      </w:r>
    </w:p>
    <w:p w14:paraId="3D71C304" w14:textId="2A7E7CCA" w:rsidR="00B634E6" w:rsidRPr="00EA700F" w:rsidRDefault="00335320" w:rsidP="00A22B81">
      <w:pPr>
        <w:pStyle w:val="Caption"/>
        <w:spacing w:line="360" w:lineRule="auto"/>
        <w:jc w:val="both"/>
        <w:rPr>
          <w:sz w:val="22"/>
          <w:szCs w:val="22"/>
        </w:rPr>
      </w:pPr>
      <w:r w:rsidRPr="007760E7">
        <w:rPr>
          <w:sz w:val="22"/>
          <w:szCs w:val="22"/>
        </w:rPr>
        <w:t>Figure 4. Relationships between abundance weighted mean wood density and hydrological metrics describing a</w:t>
      </w:r>
      <w:r w:rsidR="00980EC2" w:rsidRPr="007760E7">
        <w:rPr>
          <w:sz w:val="22"/>
          <w:szCs w:val="22"/>
        </w:rPr>
        <w:t>.)</w:t>
      </w:r>
      <w:r w:rsidR="00625ED2" w:rsidRPr="007760E7">
        <w:rPr>
          <w:sz w:val="22"/>
          <w:szCs w:val="22"/>
        </w:rPr>
        <w:t xml:space="preserve"> </w:t>
      </w:r>
      <w:proofErr w:type="spellStart"/>
      <w:proofErr w:type="gramStart"/>
      <w:r w:rsidR="00625ED2" w:rsidRPr="007760E7">
        <w:rPr>
          <w:sz w:val="22"/>
          <w:szCs w:val="22"/>
        </w:rPr>
        <w:t>baseflow</w:t>
      </w:r>
      <w:proofErr w:type="spellEnd"/>
      <w:proofErr w:type="gramEnd"/>
      <w:r w:rsidR="00625ED2" w:rsidRPr="007760E7">
        <w:rPr>
          <w:sz w:val="22"/>
          <w:szCs w:val="22"/>
        </w:rPr>
        <w:t xml:space="preserve"> index (BFI)</w:t>
      </w:r>
      <w:r w:rsidR="00980EC2" w:rsidRPr="007760E7">
        <w:rPr>
          <w:sz w:val="22"/>
          <w:szCs w:val="22"/>
        </w:rPr>
        <w:t xml:space="preserve">, b.) </w:t>
      </w:r>
      <w:proofErr w:type="spellStart"/>
      <w:proofErr w:type="gramStart"/>
      <w:r w:rsidR="00625ED2" w:rsidRPr="007760E7">
        <w:rPr>
          <w:sz w:val="22"/>
          <w:szCs w:val="22"/>
        </w:rPr>
        <w:t>interannual</w:t>
      </w:r>
      <w:proofErr w:type="spellEnd"/>
      <w:proofErr w:type="gramEnd"/>
      <w:r w:rsidR="00625ED2" w:rsidRPr="007760E7">
        <w:rPr>
          <w:sz w:val="22"/>
          <w:szCs w:val="22"/>
        </w:rPr>
        <w:t xml:space="preserve"> variability in </w:t>
      </w:r>
      <w:proofErr w:type="spellStart"/>
      <w:r w:rsidR="00625ED2" w:rsidRPr="007760E7">
        <w:rPr>
          <w:sz w:val="22"/>
          <w:szCs w:val="22"/>
        </w:rPr>
        <w:t>baseflow</w:t>
      </w:r>
      <w:proofErr w:type="spellEnd"/>
      <w:r w:rsidR="00625ED2" w:rsidRPr="007760E7">
        <w:rPr>
          <w:sz w:val="22"/>
          <w:szCs w:val="22"/>
        </w:rPr>
        <w:t xml:space="preserve"> index (</w:t>
      </w:r>
      <w:proofErr w:type="spellStart"/>
      <w:r w:rsidR="00625ED2" w:rsidRPr="007760E7">
        <w:rPr>
          <w:sz w:val="22"/>
          <w:szCs w:val="22"/>
        </w:rPr>
        <w:t>CVAnnBFI</w:t>
      </w:r>
      <w:proofErr w:type="spellEnd"/>
      <w:r w:rsidR="00625ED2" w:rsidRPr="007760E7">
        <w:rPr>
          <w:sz w:val="22"/>
          <w:szCs w:val="22"/>
        </w:rPr>
        <w:t>)</w:t>
      </w:r>
      <w:r w:rsidR="00980EC2" w:rsidRPr="007760E7">
        <w:rPr>
          <w:sz w:val="22"/>
          <w:szCs w:val="22"/>
        </w:rPr>
        <w:t xml:space="preserve">, c.) </w:t>
      </w:r>
      <w:proofErr w:type="gramStart"/>
      <w:r w:rsidR="00625ED2" w:rsidRPr="007760E7">
        <w:rPr>
          <w:sz w:val="22"/>
          <w:szCs w:val="22"/>
        </w:rPr>
        <w:t>contingency</w:t>
      </w:r>
      <w:proofErr w:type="gramEnd"/>
      <w:r w:rsidR="00625ED2" w:rsidRPr="007760E7">
        <w:rPr>
          <w:sz w:val="22"/>
          <w:szCs w:val="22"/>
        </w:rPr>
        <w:t xml:space="preserve"> of monthly mean daily flow (</w:t>
      </w:r>
      <w:r w:rsidR="00980EC2" w:rsidRPr="007760E7">
        <w:rPr>
          <w:sz w:val="22"/>
          <w:szCs w:val="22"/>
        </w:rPr>
        <w:t>M_MDFM</w:t>
      </w:r>
      <w:r w:rsidR="00625ED2" w:rsidRPr="007760E7">
        <w:rPr>
          <w:sz w:val="22"/>
          <w:szCs w:val="22"/>
        </w:rPr>
        <w:t>)</w:t>
      </w:r>
      <w:r w:rsidR="00980EC2" w:rsidRPr="007760E7">
        <w:rPr>
          <w:sz w:val="22"/>
          <w:szCs w:val="22"/>
        </w:rPr>
        <w:t xml:space="preserve">, d.) </w:t>
      </w:r>
      <w:proofErr w:type="gramStart"/>
      <w:r w:rsidR="00625ED2" w:rsidRPr="007760E7">
        <w:rPr>
          <w:sz w:val="22"/>
          <w:szCs w:val="22"/>
        </w:rPr>
        <w:t>contingency</w:t>
      </w:r>
      <w:proofErr w:type="gramEnd"/>
      <w:r w:rsidR="00625ED2" w:rsidRPr="007760E7">
        <w:rPr>
          <w:sz w:val="22"/>
          <w:szCs w:val="22"/>
        </w:rPr>
        <w:t xml:space="preserve"> of monthly mean daily flow (</w:t>
      </w:r>
      <w:r w:rsidR="00980EC2" w:rsidRPr="007760E7">
        <w:rPr>
          <w:sz w:val="22"/>
          <w:szCs w:val="22"/>
        </w:rPr>
        <w:t>C_MDFM</w:t>
      </w:r>
      <w:r w:rsidR="00625ED2" w:rsidRPr="007760E7">
        <w:rPr>
          <w:sz w:val="22"/>
          <w:szCs w:val="22"/>
        </w:rPr>
        <w:t>)</w:t>
      </w:r>
      <w:r w:rsidR="00980EC2" w:rsidRPr="007760E7">
        <w:rPr>
          <w:sz w:val="22"/>
          <w:szCs w:val="22"/>
        </w:rPr>
        <w:t>, e.)</w:t>
      </w:r>
      <w:r w:rsidR="007760E7">
        <w:rPr>
          <w:sz w:val="22"/>
          <w:szCs w:val="22"/>
        </w:rPr>
        <w:t xml:space="preserve"> </w:t>
      </w:r>
      <w:proofErr w:type="gramStart"/>
      <w:r w:rsidR="007760E7" w:rsidRPr="007760E7">
        <w:rPr>
          <w:sz w:val="22"/>
          <w:szCs w:val="22"/>
        </w:rPr>
        <w:t>contingency</w:t>
      </w:r>
      <w:proofErr w:type="gramEnd"/>
      <w:r w:rsidR="007760E7" w:rsidRPr="007760E7">
        <w:rPr>
          <w:sz w:val="22"/>
          <w:szCs w:val="22"/>
        </w:rPr>
        <w:t xml:space="preserve"> of monthly </w:t>
      </w:r>
      <w:r w:rsidR="007760E7">
        <w:rPr>
          <w:sz w:val="22"/>
          <w:szCs w:val="22"/>
        </w:rPr>
        <w:t>minimum</w:t>
      </w:r>
      <w:r w:rsidR="007760E7" w:rsidRPr="007760E7">
        <w:rPr>
          <w:sz w:val="22"/>
          <w:szCs w:val="22"/>
        </w:rPr>
        <w:t xml:space="preserve"> daily flow (</w:t>
      </w:r>
      <w:proofErr w:type="spellStart"/>
      <w:r w:rsidR="007760E7">
        <w:rPr>
          <w:sz w:val="22"/>
          <w:szCs w:val="22"/>
        </w:rPr>
        <w:t>M_MinM</w:t>
      </w:r>
      <w:proofErr w:type="spellEnd"/>
      <w:r w:rsidR="007760E7" w:rsidRPr="007760E7">
        <w:rPr>
          <w:sz w:val="22"/>
          <w:szCs w:val="22"/>
        </w:rPr>
        <w:t>)</w:t>
      </w:r>
      <w:r w:rsidR="00980EC2" w:rsidRPr="007760E7">
        <w:rPr>
          <w:sz w:val="22"/>
          <w:szCs w:val="22"/>
        </w:rPr>
        <w:t xml:space="preserve">, f.) </w:t>
      </w:r>
      <w:proofErr w:type="gramStart"/>
      <w:r w:rsidR="007760E7">
        <w:rPr>
          <w:sz w:val="22"/>
          <w:szCs w:val="22"/>
        </w:rPr>
        <w:t>mean</w:t>
      </w:r>
      <w:proofErr w:type="gramEnd"/>
      <w:r w:rsidR="007760E7">
        <w:rPr>
          <w:sz w:val="22"/>
          <w:szCs w:val="22"/>
        </w:rPr>
        <w:t xml:space="preserve"> low flow magnitude (</w:t>
      </w:r>
      <w:proofErr w:type="spellStart"/>
      <w:r w:rsidR="00980EC2" w:rsidRPr="007760E7">
        <w:rPr>
          <w:sz w:val="22"/>
          <w:szCs w:val="22"/>
        </w:rPr>
        <w:t>LSPeaknorm</w:t>
      </w:r>
      <w:proofErr w:type="spellEnd"/>
      <w:r w:rsidR="007760E7">
        <w:rPr>
          <w:sz w:val="22"/>
          <w:szCs w:val="22"/>
        </w:rPr>
        <w:t>)</w:t>
      </w:r>
      <w:r w:rsidR="00980EC2" w:rsidRPr="007760E7">
        <w:rPr>
          <w:sz w:val="22"/>
          <w:szCs w:val="22"/>
        </w:rPr>
        <w:t xml:space="preserve">, g.) </w:t>
      </w:r>
      <w:r w:rsidR="007760E7">
        <w:rPr>
          <w:sz w:val="22"/>
          <w:szCs w:val="22"/>
        </w:rPr>
        <w:t>Mean flow during driest week of the year (</w:t>
      </w:r>
      <w:r w:rsidR="00980EC2" w:rsidRPr="007760E7">
        <w:rPr>
          <w:sz w:val="22"/>
          <w:szCs w:val="22"/>
        </w:rPr>
        <w:t>MA.7days.MinMeannorm</w:t>
      </w:r>
      <w:r w:rsidR="007760E7">
        <w:rPr>
          <w:sz w:val="22"/>
          <w:szCs w:val="22"/>
        </w:rPr>
        <w:t>).</w:t>
      </w:r>
      <w:r w:rsidRPr="007760E7">
        <w:rPr>
          <w:sz w:val="22"/>
          <w:szCs w:val="22"/>
        </w:rPr>
        <w:t xml:space="preserve"> Shaded areas depict the 95% confidence interval around the regression model.</w:t>
      </w:r>
      <w:r w:rsidRPr="00EA700F">
        <w:rPr>
          <w:sz w:val="22"/>
          <w:szCs w:val="22"/>
        </w:rPr>
        <w:t xml:space="preserve"> </w:t>
      </w:r>
      <w:proofErr w:type="spellStart"/>
      <w:proofErr w:type="gramStart"/>
      <w:r w:rsidR="001133BD">
        <w:rPr>
          <w:sz w:val="22"/>
          <w:szCs w:val="22"/>
        </w:rPr>
        <w:t>p.adj</w:t>
      </w:r>
      <w:proofErr w:type="spellEnd"/>
      <w:proofErr w:type="gramEnd"/>
      <w:r w:rsidR="001133BD">
        <w:rPr>
          <w:sz w:val="22"/>
          <w:szCs w:val="22"/>
        </w:rPr>
        <w:t xml:space="preserve"> refers to </w:t>
      </w:r>
      <w:proofErr w:type="spellStart"/>
      <w:r w:rsidR="001133BD">
        <w:rPr>
          <w:sz w:val="22"/>
          <w:szCs w:val="22"/>
        </w:rPr>
        <w:t>Benjamini</w:t>
      </w:r>
      <w:proofErr w:type="spellEnd"/>
      <w:r w:rsidR="001133BD">
        <w:rPr>
          <w:sz w:val="22"/>
          <w:szCs w:val="22"/>
        </w:rPr>
        <w:t>-Hochberg adjusted p values.</w:t>
      </w:r>
    </w:p>
    <w:tbl>
      <w:tblPr>
        <w:tblW w:w="8602" w:type="dxa"/>
        <w:tblLook w:val="04A0" w:firstRow="1" w:lastRow="0" w:firstColumn="1" w:lastColumn="0" w:noHBand="0" w:noVBand="1"/>
      </w:tblPr>
      <w:tblGrid>
        <w:gridCol w:w="2462"/>
        <w:gridCol w:w="1040"/>
        <w:gridCol w:w="1040"/>
        <w:gridCol w:w="960"/>
        <w:gridCol w:w="1097"/>
        <w:gridCol w:w="1097"/>
        <w:gridCol w:w="906"/>
      </w:tblGrid>
      <w:tr w:rsidR="00B634E6" w:rsidRPr="00EA700F" w14:paraId="774E3A5E" w14:textId="77777777" w:rsidTr="00630B93">
        <w:trPr>
          <w:trHeight w:val="288"/>
        </w:trPr>
        <w:tc>
          <w:tcPr>
            <w:tcW w:w="2462" w:type="dxa"/>
            <w:tcBorders>
              <w:top w:val="single" w:sz="4" w:space="0" w:color="auto"/>
              <w:left w:val="single" w:sz="4" w:space="0" w:color="auto"/>
              <w:bottom w:val="nil"/>
              <w:right w:val="nil"/>
            </w:tcBorders>
            <w:shd w:val="clear" w:color="auto" w:fill="auto"/>
            <w:noWrap/>
            <w:vAlign w:val="bottom"/>
            <w:hideMark/>
          </w:tcPr>
          <w:p w14:paraId="5053384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 </w:t>
            </w:r>
          </w:p>
        </w:tc>
        <w:tc>
          <w:tcPr>
            <w:tcW w:w="2080" w:type="dxa"/>
            <w:gridSpan w:val="2"/>
            <w:tcBorders>
              <w:top w:val="single" w:sz="4" w:space="0" w:color="auto"/>
              <w:left w:val="single" w:sz="4" w:space="0" w:color="auto"/>
              <w:bottom w:val="nil"/>
              <w:right w:val="nil"/>
            </w:tcBorders>
            <w:shd w:val="clear" w:color="auto" w:fill="auto"/>
            <w:noWrap/>
            <w:vAlign w:val="bottom"/>
            <w:hideMark/>
          </w:tcPr>
          <w:p w14:paraId="23A40FF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All values included</w:t>
            </w:r>
          </w:p>
        </w:tc>
        <w:tc>
          <w:tcPr>
            <w:tcW w:w="960" w:type="dxa"/>
            <w:tcBorders>
              <w:top w:val="single" w:sz="4" w:space="0" w:color="auto"/>
              <w:left w:val="nil"/>
              <w:bottom w:val="nil"/>
              <w:right w:val="single" w:sz="4" w:space="0" w:color="auto"/>
            </w:tcBorders>
            <w:shd w:val="clear" w:color="auto" w:fill="auto"/>
            <w:noWrap/>
            <w:vAlign w:val="bottom"/>
            <w:hideMark/>
          </w:tcPr>
          <w:p w14:paraId="6804FB00"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 </w:t>
            </w:r>
          </w:p>
        </w:tc>
        <w:tc>
          <w:tcPr>
            <w:tcW w:w="3100" w:type="dxa"/>
            <w:gridSpan w:val="3"/>
            <w:tcBorders>
              <w:top w:val="single" w:sz="4" w:space="0" w:color="auto"/>
              <w:left w:val="single" w:sz="4" w:space="0" w:color="auto"/>
              <w:bottom w:val="nil"/>
              <w:right w:val="single" w:sz="4" w:space="0" w:color="000000"/>
            </w:tcBorders>
            <w:shd w:val="clear" w:color="auto" w:fill="auto"/>
            <w:noWrap/>
            <w:vAlign w:val="bottom"/>
            <w:hideMark/>
          </w:tcPr>
          <w:p w14:paraId="221E1667"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Snowy Creek value removed</w:t>
            </w:r>
          </w:p>
        </w:tc>
      </w:tr>
      <w:tr w:rsidR="00B634E6" w:rsidRPr="00EA700F" w14:paraId="6162B037" w14:textId="77777777" w:rsidTr="00630B93">
        <w:trPr>
          <w:trHeight w:val="288"/>
        </w:trPr>
        <w:tc>
          <w:tcPr>
            <w:tcW w:w="2462" w:type="dxa"/>
            <w:tcBorders>
              <w:top w:val="single" w:sz="4" w:space="0" w:color="auto"/>
              <w:left w:val="single" w:sz="4" w:space="0" w:color="auto"/>
              <w:bottom w:val="single" w:sz="4" w:space="0" w:color="auto"/>
              <w:right w:val="nil"/>
            </w:tcBorders>
            <w:shd w:val="clear" w:color="auto" w:fill="auto"/>
            <w:noWrap/>
            <w:vAlign w:val="bottom"/>
            <w:hideMark/>
          </w:tcPr>
          <w:p w14:paraId="0F2216E5" w14:textId="77777777" w:rsidR="00B634E6" w:rsidRPr="009546E2" w:rsidRDefault="00B634E6" w:rsidP="00A22B81">
            <w:pPr>
              <w:spacing w:after="0" w:line="276" w:lineRule="auto"/>
              <w:jc w:val="both"/>
              <w:rPr>
                <w:rFonts w:eastAsia="Times New Roman" w:cs="Times New Roman"/>
                <w:i/>
                <w:iCs/>
                <w:color w:val="000000"/>
                <w:sz w:val="20"/>
                <w:szCs w:val="20"/>
                <w:lang w:eastAsia="en-AU"/>
              </w:rPr>
            </w:pPr>
            <w:r w:rsidRPr="009546E2">
              <w:rPr>
                <w:rFonts w:eastAsia="Times New Roman" w:cs="Times New Roman"/>
                <w:i/>
                <w:iCs/>
                <w:color w:val="000000"/>
                <w:sz w:val="20"/>
                <w:szCs w:val="20"/>
                <w:lang w:eastAsia="en-AU"/>
              </w:rPr>
              <w:t>Metric</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D514A7" w14:textId="77777777" w:rsidR="00B634E6" w:rsidRPr="009546E2" w:rsidRDefault="00B634E6" w:rsidP="00A22B81">
            <w:pPr>
              <w:spacing w:after="0" w:line="276" w:lineRule="auto"/>
              <w:jc w:val="both"/>
              <w:rPr>
                <w:rFonts w:eastAsia="Times New Roman" w:cs="Times New Roman"/>
                <w:i/>
                <w:iCs/>
                <w:color w:val="000000"/>
                <w:sz w:val="20"/>
                <w:szCs w:val="20"/>
                <w:lang w:eastAsia="en-AU"/>
              </w:rPr>
            </w:pPr>
            <w:r w:rsidRPr="009546E2">
              <w:rPr>
                <w:rFonts w:eastAsia="Times New Roman" w:cs="Times New Roman"/>
                <w:i/>
                <w:iCs/>
                <w:color w:val="000000"/>
                <w:sz w:val="20"/>
                <w:szCs w:val="20"/>
                <w:lang w:eastAsia="en-AU"/>
              </w:rPr>
              <w:t>p</w:t>
            </w:r>
          </w:p>
        </w:tc>
        <w:tc>
          <w:tcPr>
            <w:tcW w:w="1040" w:type="dxa"/>
            <w:tcBorders>
              <w:top w:val="single" w:sz="4" w:space="0" w:color="auto"/>
              <w:left w:val="nil"/>
              <w:bottom w:val="single" w:sz="4" w:space="0" w:color="auto"/>
              <w:right w:val="single" w:sz="4" w:space="0" w:color="auto"/>
            </w:tcBorders>
            <w:shd w:val="clear" w:color="auto" w:fill="auto"/>
            <w:noWrap/>
            <w:vAlign w:val="bottom"/>
            <w:hideMark/>
          </w:tcPr>
          <w:p w14:paraId="6E860CC1" w14:textId="77777777" w:rsidR="00B634E6" w:rsidRPr="009546E2" w:rsidRDefault="00B634E6" w:rsidP="00A22B81">
            <w:pPr>
              <w:spacing w:after="0" w:line="276" w:lineRule="auto"/>
              <w:jc w:val="both"/>
              <w:rPr>
                <w:rFonts w:eastAsia="Times New Roman" w:cs="Times New Roman"/>
                <w:i/>
                <w:iCs/>
                <w:color w:val="000000"/>
                <w:sz w:val="20"/>
                <w:szCs w:val="20"/>
                <w:lang w:eastAsia="en-AU"/>
              </w:rPr>
            </w:pPr>
            <w:proofErr w:type="spellStart"/>
            <w:r w:rsidRPr="009546E2">
              <w:rPr>
                <w:rFonts w:eastAsia="Times New Roman" w:cs="Times New Roman"/>
                <w:i/>
                <w:iCs/>
                <w:color w:val="000000"/>
                <w:sz w:val="20"/>
                <w:szCs w:val="20"/>
                <w:lang w:eastAsia="en-AU"/>
              </w:rPr>
              <w:t>p.adj</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7A429E6" w14:textId="77777777" w:rsidR="00B634E6" w:rsidRPr="009546E2" w:rsidRDefault="00B634E6" w:rsidP="00A22B81">
            <w:pPr>
              <w:spacing w:after="0" w:line="276" w:lineRule="auto"/>
              <w:jc w:val="both"/>
              <w:rPr>
                <w:rFonts w:eastAsia="Times New Roman" w:cs="Times New Roman"/>
                <w:i/>
                <w:iCs/>
                <w:color w:val="000000"/>
                <w:sz w:val="20"/>
                <w:szCs w:val="20"/>
                <w:lang w:eastAsia="en-AU"/>
              </w:rPr>
            </w:pPr>
            <w:r w:rsidRPr="009546E2">
              <w:rPr>
                <w:rFonts w:eastAsia="Times New Roman" w:cs="Times New Roman"/>
                <w:i/>
                <w:iCs/>
                <w:color w:val="000000"/>
                <w:sz w:val="20"/>
                <w:szCs w:val="20"/>
                <w:lang w:eastAsia="en-AU"/>
              </w:rPr>
              <w:t>R2</w:t>
            </w:r>
          </w:p>
        </w:tc>
        <w:tc>
          <w:tcPr>
            <w:tcW w:w="1097" w:type="dxa"/>
            <w:tcBorders>
              <w:top w:val="single" w:sz="4" w:space="0" w:color="auto"/>
              <w:left w:val="nil"/>
              <w:bottom w:val="single" w:sz="4" w:space="0" w:color="auto"/>
              <w:right w:val="single" w:sz="4" w:space="0" w:color="auto"/>
            </w:tcBorders>
            <w:shd w:val="clear" w:color="auto" w:fill="auto"/>
            <w:noWrap/>
            <w:vAlign w:val="bottom"/>
            <w:hideMark/>
          </w:tcPr>
          <w:p w14:paraId="5FE811AD" w14:textId="77777777" w:rsidR="00B634E6" w:rsidRPr="009546E2" w:rsidRDefault="00B634E6" w:rsidP="00A22B81">
            <w:pPr>
              <w:spacing w:after="0" w:line="276" w:lineRule="auto"/>
              <w:jc w:val="both"/>
              <w:rPr>
                <w:rFonts w:eastAsia="Times New Roman" w:cs="Times New Roman"/>
                <w:i/>
                <w:iCs/>
                <w:color w:val="000000"/>
                <w:sz w:val="20"/>
                <w:szCs w:val="20"/>
                <w:lang w:eastAsia="en-AU"/>
              </w:rPr>
            </w:pPr>
            <w:r w:rsidRPr="009546E2">
              <w:rPr>
                <w:rFonts w:eastAsia="Times New Roman" w:cs="Times New Roman"/>
                <w:i/>
                <w:iCs/>
                <w:color w:val="000000"/>
                <w:sz w:val="20"/>
                <w:szCs w:val="20"/>
                <w:lang w:eastAsia="en-AU"/>
              </w:rPr>
              <w:t>p</w:t>
            </w:r>
          </w:p>
        </w:tc>
        <w:tc>
          <w:tcPr>
            <w:tcW w:w="1097" w:type="dxa"/>
            <w:tcBorders>
              <w:top w:val="single" w:sz="4" w:space="0" w:color="auto"/>
              <w:left w:val="nil"/>
              <w:bottom w:val="single" w:sz="4" w:space="0" w:color="auto"/>
              <w:right w:val="single" w:sz="4" w:space="0" w:color="auto"/>
            </w:tcBorders>
            <w:shd w:val="clear" w:color="auto" w:fill="auto"/>
            <w:noWrap/>
            <w:vAlign w:val="bottom"/>
            <w:hideMark/>
          </w:tcPr>
          <w:p w14:paraId="64FB11BB" w14:textId="77777777" w:rsidR="00B634E6" w:rsidRPr="009546E2" w:rsidRDefault="00B634E6" w:rsidP="00A22B81">
            <w:pPr>
              <w:spacing w:after="0" w:line="276" w:lineRule="auto"/>
              <w:jc w:val="both"/>
              <w:rPr>
                <w:rFonts w:eastAsia="Times New Roman" w:cs="Times New Roman"/>
                <w:i/>
                <w:iCs/>
                <w:color w:val="000000"/>
                <w:sz w:val="20"/>
                <w:szCs w:val="20"/>
                <w:lang w:eastAsia="en-AU"/>
              </w:rPr>
            </w:pPr>
            <w:proofErr w:type="spellStart"/>
            <w:r w:rsidRPr="009546E2">
              <w:rPr>
                <w:rFonts w:eastAsia="Times New Roman" w:cs="Times New Roman"/>
                <w:i/>
                <w:iCs/>
                <w:color w:val="000000"/>
                <w:sz w:val="20"/>
                <w:szCs w:val="20"/>
                <w:lang w:eastAsia="en-AU"/>
              </w:rPr>
              <w:t>p.adj</w:t>
            </w:r>
            <w:proofErr w:type="spellEnd"/>
          </w:p>
        </w:tc>
        <w:tc>
          <w:tcPr>
            <w:tcW w:w="906" w:type="dxa"/>
            <w:tcBorders>
              <w:top w:val="single" w:sz="4" w:space="0" w:color="auto"/>
              <w:left w:val="nil"/>
              <w:bottom w:val="single" w:sz="4" w:space="0" w:color="auto"/>
              <w:right w:val="single" w:sz="4" w:space="0" w:color="auto"/>
            </w:tcBorders>
            <w:shd w:val="clear" w:color="auto" w:fill="auto"/>
            <w:noWrap/>
            <w:vAlign w:val="bottom"/>
            <w:hideMark/>
          </w:tcPr>
          <w:p w14:paraId="0EE424C1" w14:textId="77777777" w:rsidR="00B634E6" w:rsidRPr="009546E2" w:rsidRDefault="00B634E6" w:rsidP="00A22B81">
            <w:pPr>
              <w:spacing w:after="0" w:line="276" w:lineRule="auto"/>
              <w:jc w:val="both"/>
              <w:rPr>
                <w:rFonts w:eastAsia="Times New Roman" w:cs="Times New Roman"/>
                <w:i/>
                <w:iCs/>
                <w:color w:val="000000"/>
                <w:sz w:val="20"/>
                <w:szCs w:val="20"/>
                <w:lang w:eastAsia="en-AU"/>
              </w:rPr>
            </w:pPr>
            <w:r w:rsidRPr="009546E2">
              <w:rPr>
                <w:rFonts w:eastAsia="Times New Roman" w:cs="Times New Roman"/>
                <w:i/>
                <w:iCs/>
                <w:color w:val="000000"/>
                <w:sz w:val="20"/>
                <w:szCs w:val="20"/>
                <w:lang w:eastAsia="en-AU"/>
              </w:rPr>
              <w:t>R2</w:t>
            </w:r>
          </w:p>
        </w:tc>
      </w:tr>
      <w:tr w:rsidR="00B634E6" w:rsidRPr="00EA700F" w14:paraId="64CFB97C" w14:textId="77777777" w:rsidTr="00630B93">
        <w:trPr>
          <w:trHeight w:val="288"/>
        </w:trPr>
        <w:tc>
          <w:tcPr>
            <w:tcW w:w="2462" w:type="dxa"/>
            <w:tcBorders>
              <w:top w:val="single" w:sz="4" w:space="0" w:color="auto"/>
              <w:left w:val="single" w:sz="4" w:space="0" w:color="auto"/>
              <w:bottom w:val="nil"/>
              <w:right w:val="single" w:sz="4" w:space="0" w:color="auto"/>
            </w:tcBorders>
            <w:shd w:val="clear" w:color="auto" w:fill="auto"/>
            <w:noWrap/>
            <w:vAlign w:val="bottom"/>
            <w:hideMark/>
          </w:tcPr>
          <w:p w14:paraId="220F1F59"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M_MinM</w:t>
            </w:r>
            <w:proofErr w:type="spellEnd"/>
          </w:p>
        </w:tc>
        <w:tc>
          <w:tcPr>
            <w:tcW w:w="1040" w:type="dxa"/>
            <w:tcBorders>
              <w:top w:val="single" w:sz="4" w:space="0" w:color="auto"/>
              <w:left w:val="nil"/>
              <w:bottom w:val="nil"/>
              <w:right w:val="single" w:sz="4" w:space="0" w:color="auto"/>
            </w:tcBorders>
            <w:shd w:val="clear" w:color="auto" w:fill="auto"/>
            <w:noWrap/>
            <w:vAlign w:val="bottom"/>
            <w:hideMark/>
          </w:tcPr>
          <w:p w14:paraId="39326C5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0.0038</w:t>
            </w:r>
          </w:p>
        </w:tc>
        <w:tc>
          <w:tcPr>
            <w:tcW w:w="1040" w:type="dxa"/>
            <w:tcBorders>
              <w:top w:val="single" w:sz="4" w:space="0" w:color="auto"/>
              <w:left w:val="nil"/>
              <w:bottom w:val="nil"/>
              <w:right w:val="single" w:sz="4" w:space="0" w:color="auto"/>
            </w:tcBorders>
            <w:shd w:val="clear" w:color="auto" w:fill="auto"/>
            <w:noWrap/>
            <w:vAlign w:val="bottom"/>
            <w:hideMark/>
          </w:tcPr>
          <w:p w14:paraId="5E739C6C"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0.0432</w:t>
            </w:r>
          </w:p>
        </w:tc>
        <w:tc>
          <w:tcPr>
            <w:tcW w:w="960" w:type="dxa"/>
            <w:tcBorders>
              <w:top w:val="single" w:sz="4" w:space="0" w:color="auto"/>
              <w:left w:val="nil"/>
              <w:bottom w:val="nil"/>
              <w:right w:val="single" w:sz="4" w:space="0" w:color="auto"/>
            </w:tcBorders>
            <w:shd w:val="clear" w:color="auto" w:fill="auto"/>
            <w:noWrap/>
            <w:vAlign w:val="bottom"/>
            <w:hideMark/>
          </w:tcPr>
          <w:p w14:paraId="1444D260"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0.552</w:t>
            </w:r>
          </w:p>
        </w:tc>
        <w:tc>
          <w:tcPr>
            <w:tcW w:w="1097" w:type="dxa"/>
            <w:tcBorders>
              <w:top w:val="single" w:sz="4" w:space="0" w:color="auto"/>
              <w:left w:val="nil"/>
              <w:bottom w:val="nil"/>
              <w:right w:val="single" w:sz="4" w:space="0" w:color="auto"/>
            </w:tcBorders>
            <w:shd w:val="clear" w:color="auto" w:fill="auto"/>
            <w:noWrap/>
            <w:vAlign w:val="bottom"/>
            <w:hideMark/>
          </w:tcPr>
          <w:p w14:paraId="2F475902"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0.0002</w:t>
            </w:r>
          </w:p>
        </w:tc>
        <w:tc>
          <w:tcPr>
            <w:tcW w:w="1097" w:type="dxa"/>
            <w:tcBorders>
              <w:top w:val="single" w:sz="4" w:space="0" w:color="auto"/>
              <w:left w:val="nil"/>
              <w:bottom w:val="nil"/>
              <w:right w:val="single" w:sz="4" w:space="0" w:color="auto"/>
            </w:tcBorders>
            <w:shd w:val="clear" w:color="auto" w:fill="auto"/>
            <w:noWrap/>
            <w:vAlign w:val="bottom"/>
            <w:hideMark/>
          </w:tcPr>
          <w:p w14:paraId="5F2E7B0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0.0008</w:t>
            </w:r>
          </w:p>
        </w:tc>
        <w:tc>
          <w:tcPr>
            <w:tcW w:w="906" w:type="dxa"/>
            <w:tcBorders>
              <w:top w:val="single" w:sz="4" w:space="0" w:color="auto"/>
              <w:left w:val="nil"/>
              <w:bottom w:val="nil"/>
              <w:right w:val="single" w:sz="4" w:space="0" w:color="auto"/>
            </w:tcBorders>
            <w:shd w:val="clear" w:color="auto" w:fill="auto"/>
            <w:noWrap/>
            <w:vAlign w:val="bottom"/>
            <w:hideMark/>
          </w:tcPr>
          <w:p w14:paraId="15331C41"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0.740</w:t>
            </w:r>
          </w:p>
        </w:tc>
      </w:tr>
      <w:tr w:rsidR="00B634E6" w:rsidRPr="00EA700F" w14:paraId="7F4D8D69"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100BBC04"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CVAnnBFI</w:t>
            </w:r>
            <w:proofErr w:type="spellEnd"/>
          </w:p>
        </w:tc>
        <w:tc>
          <w:tcPr>
            <w:tcW w:w="1040" w:type="dxa"/>
            <w:tcBorders>
              <w:top w:val="nil"/>
              <w:left w:val="nil"/>
              <w:bottom w:val="nil"/>
              <w:right w:val="single" w:sz="4" w:space="0" w:color="auto"/>
            </w:tcBorders>
            <w:shd w:val="clear" w:color="auto" w:fill="auto"/>
            <w:noWrap/>
            <w:vAlign w:val="bottom"/>
            <w:hideMark/>
          </w:tcPr>
          <w:p w14:paraId="2D38A37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0.0064</w:t>
            </w:r>
          </w:p>
        </w:tc>
        <w:tc>
          <w:tcPr>
            <w:tcW w:w="1040" w:type="dxa"/>
            <w:tcBorders>
              <w:top w:val="nil"/>
              <w:left w:val="nil"/>
              <w:bottom w:val="nil"/>
              <w:right w:val="single" w:sz="4" w:space="0" w:color="auto"/>
            </w:tcBorders>
            <w:shd w:val="clear" w:color="auto" w:fill="auto"/>
            <w:noWrap/>
            <w:vAlign w:val="bottom"/>
            <w:hideMark/>
          </w:tcPr>
          <w:p w14:paraId="70E501E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1C86A85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0.557</w:t>
            </w:r>
          </w:p>
        </w:tc>
        <w:tc>
          <w:tcPr>
            <w:tcW w:w="1097" w:type="dxa"/>
            <w:tcBorders>
              <w:top w:val="nil"/>
              <w:left w:val="nil"/>
              <w:bottom w:val="nil"/>
              <w:right w:val="single" w:sz="4" w:space="0" w:color="auto"/>
            </w:tcBorders>
            <w:shd w:val="clear" w:color="auto" w:fill="auto"/>
            <w:noWrap/>
            <w:vAlign w:val="bottom"/>
            <w:hideMark/>
          </w:tcPr>
          <w:p w14:paraId="74F454FC"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0.0001</w:t>
            </w:r>
          </w:p>
        </w:tc>
        <w:tc>
          <w:tcPr>
            <w:tcW w:w="1097" w:type="dxa"/>
            <w:tcBorders>
              <w:top w:val="nil"/>
              <w:left w:val="nil"/>
              <w:bottom w:val="nil"/>
              <w:right w:val="single" w:sz="4" w:space="0" w:color="auto"/>
            </w:tcBorders>
            <w:shd w:val="clear" w:color="auto" w:fill="auto"/>
            <w:noWrap/>
            <w:vAlign w:val="bottom"/>
            <w:hideMark/>
          </w:tcPr>
          <w:p w14:paraId="5C6D49C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0.0007</w:t>
            </w:r>
          </w:p>
        </w:tc>
        <w:tc>
          <w:tcPr>
            <w:tcW w:w="906" w:type="dxa"/>
            <w:tcBorders>
              <w:top w:val="nil"/>
              <w:left w:val="nil"/>
              <w:bottom w:val="nil"/>
              <w:right w:val="single" w:sz="4" w:space="0" w:color="auto"/>
            </w:tcBorders>
            <w:shd w:val="clear" w:color="auto" w:fill="auto"/>
            <w:noWrap/>
            <w:vAlign w:val="bottom"/>
            <w:hideMark/>
          </w:tcPr>
          <w:p w14:paraId="67B3FF1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0.838</w:t>
            </w:r>
          </w:p>
        </w:tc>
      </w:tr>
      <w:tr w:rsidR="00B634E6" w:rsidRPr="00EA700F" w14:paraId="3FC7B4DC"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5D36EB9B"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CVAnnMRateRise</w:t>
            </w:r>
            <w:proofErr w:type="spellEnd"/>
          </w:p>
        </w:tc>
        <w:tc>
          <w:tcPr>
            <w:tcW w:w="1040" w:type="dxa"/>
            <w:tcBorders>
              <w:top w:val="nil"/>
              <w:left w:val="nil"/>
              <w:bottom w:val="nil"/>
              <w:right w:val="single" w:sz="4" w:space="0" w:color="auto"/>
            </w:tcBorders>
            <w:shd w:val="clear" w:color="auto" w:fill="auto"/>
            <w:noWrap/>
            <w:vAlign w:val="bottom"/>
            <w:hideMark/>
          </w:tcPr>
          <w:p w14:paraId="1EF979E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0.0068</w:t>
            </w:r>
          </w:p>
        </w:tc>
        <w:tc>
          <w:tcPr>
            <w:tcW w:w="1040" w:type="dxa"/>
            <w:tcBorders>
              <w:top w:val="nil"/>
              <w:left w:val="nil"/>
              <w:bottom w:val="nil"/>
              <w:right w:val="single" w:sz="4" w:space="0" w:color="auto"/>
            </w:tcBorders>
            <w:shd w:val="clear" w:color="auto" w:fill="auto"/>
            <w:noWrap/>
            <w:vAlign w:val="bottom"/>
            <w:hideMark/>
          </w:tcPr>
          <w:p w14:paraId="63C5FED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3DCE3DD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0.515</w:t>
            </w:r>
          </w:p>
        </w:tc>
        <w:tc>
          <w:tcPr>
            <w:tcW w:w="1097" w:type="dxa"/>
            <w:tcBorders>
              <w:top w:val="nil"/>
              <w:left w:val="nil"/>
              <w:bottom w:val="nil"/>
              <w:right w:val="single" w:sz="4" w:space="0" w:color="auto"/>
            </w:tcBorders>
            <w:shd w:val="clear" w:color="auto" w:fill="auto"/>
            <w:noWrap/>
            <w:vAlign w:val="bottom"/>
            <w:hideMark/>
          </w:tcPr>
          <w:p w14:paraId="2C285D9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0.0001</w:t>
            </w:r>
          </w:p>
        </w:tc>
        <w:tc>
          <w:tcPr>
            <w:tcW w:w="1097" w:type="dxa"/>
            <w:tcBorders>
              <w:top w:val="nil"/>
              <w:left w:val="nil"/>
              <w:bottom w:val="nil"/>
              <w:right w:val="single" w:sz="4" w:space="0" w:color="auto"/>
            </w:tcBorders>
            <w:shd w:val="clear" w:color="auto" w:fill="auto"/>
            <w:noWrap/>
            <w:vAlign w:val="bottom"/>
            <w:hideMark/>
          </w:tcPr>
          <w:p w14:paraId="239B51E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0.0007</w:t>
            </w:r>
          </w:p>
        </w:tc>
        <w:tc>
          <w:tcPr>
            <w:tcW w:w="906" w:type="dxa"/>
            <w:tcBorders>
              <w:top w:val="nil"/>
              <w:left w:val="nil"/>
              <w:bottom w:val="nil"/>
              <w:right w:val="single" w:sz="4" w:space="0" w:color="auto"/>
            </w:tcBorders>
            <w:shd w:val="clear" w:color="auto" w:fill="auto"/>
            <w:noWrap/>
            <w:vAlign w:val="bottom"/>
            <w:hideMark/>
          </w:tcPr>
          <w:p w14:paraId="18A2FCC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0.787</w:t>
            </w:r>
          </w:p>
        </w:tc>
      </w:tr>
      <w:tr w:rsidR="00B634E6" w:rsidRPr="00EA700F" w14:paraId="28C656EC"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6B72249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M_MDFM</w:t>
            </w:r>
          </w:p>
        </w:tc>
        <w:tc>
          <w:tcPr>
            <w:tcW w:w="1040" w:type="dxa"/>
            <w:tcBorders>
              <w:top w:val="nil"/>
              <w:left w:val="nil"/>
              <w:bottom w:val="nil"/>
              <w:right w:val="single" w:sz="4" w:space="0" w:color="auto"/>
            </w:tcBorders>
            <w:shd w:val="clear" w:color="auto" w:fill="auto"/>
            <w:noWrap/>
            <w:vAlign w:val="bottom"/>
            <w:hideMark/>
          </w:tcPr>
          <w:p w14:paraId="14F30921"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0.0094</w:t>
            </w:r>
          </w:p>
        </w:tc>
        <w:tc>
          <w:tcPr>
            <w:tcW w:w="1040" w:type="dxa"/>
            <w:tcBorders>
              <w:top w:val="nil"/>
              <w:left w:val="nil"/>
              <w:bottom w:val="nil"/>
              <w:right w:val="single" w:sz="4" w:space="0" w:color="auto"/>
            </w:tcBorders>
            <w:shd w:val="clear" w:color="auto" w:fill="auto"/>
            <w:noWrap/>
            <w:vAlign w:val="bottom"/>
            <w:hideMark/>
          </w:tcPr>
          <w:p w14:paraId="4AB2011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29E0C1D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0.443</w:t>
            </w:r>
          </w:p>
        </w:tc>
        <w:tc>
          <w:tcPr>
            <w:tcW w:w="1097" w:type="dxa"/>
            <w:tcBorders>
              <w:top w:val="nil"/>
              <w:left w:val="nil"/>
              <w:bottom w:val="nil"/>
              <w:right w:val="single" w:sz="4" w:space="0" w:color="auto"/>
            </w:tcBorders>
            <w:shd w:val="clear" w:color="auto" w:fill="auto"/>
            <w:noWrap/>
            <w:vAlign w:val="bottom"/>
            <w:hideMark/>
          </w:tcPr>
          <w:p w14:paraId="2E796A4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0.0018</w:t>
            </w:r>
          </w:p>
        </w:tc>
        <w:tc>
          <w:tcPr>
            <w:tcW w:w="1097" w:type="dxa"/>
            <w:tcBorders>
              <w:top w:val="nil"/>
              <w:left w:val="nil"/>
              <w:bottom w:val="nil"/>
              <w:right w:val="single" w:sz="4" w:space="0" w:color="auto"/>
            </w:tcBorders>
            <w:shd w:val="clear" w:color="auto" w:fill="auto"/>
            <w:noWrap/>
            <w:vAlign w:val="bottom"/>
            <w:hideMark/>
          </w:tcPr>
          <w:p w14:paraId="02EF652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0.0039</w:t>
            </w:r>
          </w:p>
        </w:tc>
        <w:tc>
          <w:tcPr>
            <w:tcW w:w="906" w:type="dxa"/>
            <w:tcBorders>
              <w:top w:val="nil"/>
              <w:left w:val="nil"/>
              <w:bottom w:val="nil"/>
              <w:right w:val="single" w:sz="4" w:space="0" w:color="auto"/>
            </w:tcBorders>
            <w:shd w:val="clear" w:color="auto" w:fill="auto"/>
            <w:noWrap/>
            <w:vAlign w:val="bottom"/>
            <w:hideMark/>
          </w:tcPr>
          <w:p w14:paraId="3508AC4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0.606</w:t>
            </w:r>
          </w:p>
        </w:tc>
      </w:tr>
      <w:tr w:rsidR="00B634E6" w:rsidRPr="00EA700F" w14:paraId="75A81F16"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5C01638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C_MDFM</w:t>
            </w:r>
          </w:p>
        </w:tc>
        <w:tc>
          <w:tcPr>
            <w:tcW w:w="1040" w:type="dxa"/>
            <w:tcBorders>
              <w:top w:val="nil"/>
              <w:left w:val="nil"/>
              <w:bottom w:val="nil"/>
              <w:right w:val="single" w:sz="4" w:space="0" w:color="auto"/>
            </w:tcBorders>
            <w:shd w:val="clear" w:color="auto" w:fill="auto"/>
            <w:noWrap/>
            <w:vAlign w:val="bottom"/>
            <w:hideMark/>
          </w:tcPr>
          <w:p w14:paraId="3C53993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0.0098</w:t>
            </w:r>
          </w:p>
        </w:tc>
        <w:tc>
          <w:tcPr>
            <w:tcW w:w="1040" w:type="dxa"/>
            <w:tcBorders>
              <w:top w:val="nil"/>
              <w:left w:val="nil"/>
              <w:bottom w:val="nil"/>
              <w:right w:val="single" w:sz="4" w:space="0" w:color="auto"/>
            </w:tcBorders>
            <w:shd w:val="clear" w:color="auto" w:fill="auto"/>
            <w:noWrap/>
            <w:vAlign w:val="bottom"/>
            <w:hideMark/>
          </w:tcPr>
          <w:p w14:paraId="6E2AB4A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7760DE9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0.450</w:t>
            </w:r>
          </w:p>
        </w:tc>
        <w:tc>
          <w:tcPr>
            <w:tcW w:w="1097" w:type="dxa"/>
            <w:tcBorders>
              <w:top w:val="nil"/>
              <w:left w:val="nil"/>
              <w:bottom w:val="nil"/>
              <w:right w:val="single" w:sz="4" w:space="0" w:color="auto"/>
            </w:tcBorders>
            <w:shd w:val="clear" w:color="auto" w:fill="auto"/>
            <w:noWrap/>
            <w:vAlign w:val="bottom"/>
            <w:hideMark/>
          </w:tcPr>
          <w:p w14:paraId="5A48B0D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0.0001</w:t>
            </w:r>
          </w:p>
        </w:tc>
        <w:tc>
          <w:tcPr>
            <w:tcW w:w="1097" w:type="dxa"/>
            <w:tcBorders>
              <w:top w:val="nil"/>
              <w:left w:val="nil"/>
              <w:bottom w:val="nil"/>
              <w:right w:val="single" w:sz="4" w:space="0" w:color="auto"/>
            </w:tcBorders>
            <w:shd w:val="clear" w:color="auto" w:fill="auto"/>
            <w:noWrap/>
            <w:vAlign w:val="bottom"/>
            <w:hideMark/>
          </w:tcPr>
          <w:p w14:paraId="31B5A597"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0.0007</w:t>
            </w:r>
          </w:p>
        </w:tc>
        <w:tc>
          <w:tcPr>
            <w:tcW w:w="906" w:type="dxa"/>
            <w:tcBorders>
              <w:top w:val="nil"/>
              <w:left w:val="nil"/>
              <w:bottom w:val="nil"/>
              <w:right w:val="single" w:sz="4" w:space="0" w:color="auto"/>
            </w:tcBorders>
            <w:shd w:val="clear" w:color="auto" w:fill="auto"/>
            <w:noWrap/>
            <w:vAlign w:val="bottom"/>
            <w:hideMark/>
          </w:tcPr>
          <w:p w14:paraId="209E582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0.758</w:t>
            </w:r>
          </w:p>
        </w:tc>
      </w:tr>
      <w:tr w:rsidR="00B634E6" w:rsidRPr="00EA700F" w14:paraId="0E47A508"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4DBD902B"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CVAnnMRateFall</w:t>
            </w:r>
            <w:proofErr w:type="spellEnd"/>
          </w:p>
        </w:tc>
        <w:tc>
          <w:tcPr>
            <w:tcW w:w="1040" w:type="dxa"/>
            <w:tcBorders>
              <w:top w:val="nil"/>
              <w:left w:val="nil"/>
              <w:bottom w:val="nil"/>
              <w:right w:val="single" w:sz="4" w:space="0" w:color="auto"/>
            </w:tcBorders>
            <w:shd w:val="clear" w:color="auto" w:fill="auto"/>
            <w:noWrap/>
            <w:vAlign w:val="bottom"/>
            <w:hideMark/>
          </w:tcPr>
          <w:p w14:paraId="7C50A127"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0.0117</w:t>
            </w:r>
          </w:p>
        </w:tc>
        <w:tc>
          <w:tcPr>
            <w:tcW w:w="1040" w:type="dxa"/>
            <w:tcBorders>
              <w:top w:val="nil"/>
              <w:left w:val="nil"/>
              <w:bottom w:val="nil"/>
              <w:right w:val="single" w:sz="4" w:space="0" w:color="auto"/>
            </w:tcBorders>
            <w:shd w:val="clear" w:color="auto" w:fill="auto"/>
            <w:noWrap/>
            <w:vAlign w:val="bottom"/>
            <w:hideMark/>
          </w:tcPr>
          <w:p w14:paraId="3C4345B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7BD62A5C"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0.434</w:t>
            </w:r>
          </w:p>
        </w:tc>
        <w:tc>
          <w:tcPr>
            <w:tcW w:w="1097" w:type="dxa"/>
            <w:tcBorders>
              <w:top w:val="nil"/>
              <w:left w:val="nil"/>
              <w:bottom w:val="nil"/>
              <w:right w:val="single" w:sz="4" w:space="0" w:color="auto"/>
            </w:tcBorders>
            <w:shd w:val="clear" w:color="auto" w:fill="auto"/>
            <w:noWrap/>
            <w:vAlign w:val="bottom"/>
            <w:hideMark/>
          </w:tcPr>
          <w:p w14:paraId="6224040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0.0001</w:t>
            </w:r>
          </w:p>
        </w:tc>
        <w:tc>
          <w:tcPr>
            <w:tcW w:w="1097" w:type="dxa"/>
            <w:tcBorders>
              <w:top w:val="nil"/>
              <w:left w:val="nil"/>
              <w:bottom w:val="nil"/>
              <w:right w:val="single" w:sz="4" w:space="0" w:color="auto"/>
            </w:tcBorders>
            <w:shd w:val="clear" w:color="auto" w:fill="auto"/>
            <w:noWrap/>
            <w:vAlign w:val="bottom"/>
            <w:hideMark/>
          </w:tcPr>
          <w:p w14:paraId="1ABC7803"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0.0007</w:t>
            </w:r>
          </w:p>
        </w:tc>
        <w:tc>
          <w:tcPr>
            <w:tcW w:w="906" w:type="dxa"/>
            <w:tcBorders>
              <w:top w:val="nil"/>
              <w:left w:val="nil"/>
              <w:bottom w:val="nil"/>
              <w:right w:val="single" w:sz="4" w:space="0" w:color="auto"/>
            </w:tcBorders>
            <w:shd w:val="clear" w:color="auto" w:fill="auto"/>
            <w:noWrap/>
            <w:vAlign w:val="bottom"/>
            <w:hideMark/>
          </w:tcPr>
          <w:p w14:paraId="4B54C64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0.783</w:t>
            </w:r>
          </w:p>
        </w:tc>
      </w:tr>
      <w:tr w:rsidR="00B634E6" w:rsidRPr="00EA700F" w14:paraId="63760159"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tcPr>
          <w:p w14:paraId="6D92D47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AS20YrARInorm</w:t>
            </w:r>
          </w:p>
        </w:tc>
        <w:tc>
          <w:tcPr>
            <w:tcW w:w="1040" w:type="dxa"/>
            <w:tcBorders>
              <w:top w:val="nil"/>
              <w:left w:val="nil"/>
              <w:bottom w:val="nil"/>
              <w:right w:val="single" w:sz="4" w:space="0" w:color="auto"/>
            </w:tcBorders>
            <w:shd w:val="clear" w:color="auto" w:fill="auto"/>
            <w:noWrap/>
            <w:vAlign w:val="bottom"/>
          </w:tcPr>
          <w:p w14:paraId="34ED8151"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0.0124</w:t>
            </w:r>
          </w:p>
        </w:tc>
        <w:tc>
          <w:tcPr>
            <w:tcW w:w="1040" w:type="dxa"/>
            <w:tcBorders>
              <w:top w:val="nil"/>
              <w:left w:val="nil"/>
              <w:bottom w:val="nil"/>
              <w:right w:val="single" w:sz="4" w:space="0" w:color="auto"/>
            </w:tcBorders>
            <w:shd w:val="clear" w:color="auto" w:fill="auto"/>
            <w:noWrap/>
            <w:vAlign w:val="bottom"/>
          </w:tcPr>
          <w:p w14:paraId="1686E12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0.0279</w:t>
            </w:r>
          </w:p>
        </w:tc>
        <w:tc>
          <w:tcPr>
            <w:tcW w:w="960" w:type="dxa"/>
            <w:tcBorders>
              <w:top w:val="nil"/>
              <w:left w:val="nil"/>
              <w:bottom w:val="nil"/>
              <w:right w:val="single" w:sz="4" w:space="0" w:color="auto"/>
            </w:tcBorders>
            <w:shd w:val="clear" w:color="auto" w:fill="auto"/>
            <w:noWrap/>
            <w:vAlign w:val="bottom"/>
          </w:tcPr>
          <w:p w14:paraId="4F78A87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0.393</w:t>
            </w:r>
          </w:p>
        </w:tc>
        <w:tc>
          <w:tcPr>
            <w:tcW w:w="1097" w:type="dxa"/>
            <w:tcBorders>
              <w:top w:val="nil"/>
              <w:left w:val="nil"/>
              <w:bottom w:val="nil"/>
              <w:right w:val="single" w:sz="4" w:space="0" w:color="auto"/>
            </w:tcBorders>
            <w:shd w:val="clear" w:color="auto" w:fill="auto"/>
            <w:noWrap/>
            <w:vAlign w:val="bottom"/>
          </w:tcPr>
          <w:p w14:paraId="62E42E3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0.0057</w:t>
            </w:r>
          </w:p>
        </w:tc>
        <w:tc>
          <w:tcPr>
            <w:tcW w:w="1097" w:type="dxa"/>
            <w:tcBorders>
              <w:top w:val="nil"/>
              <w:left w:val="nil"/>
              <w:bottom w:val="nil"/>
              <w:right w:val="single" w:sz="4" w:space="0" w:color="auto"/>
            </w:tcBorders>
            <w:shd w:val="clear" w:color="auto" w:fill="auto"/>
            <w:noWrap/>
            <w:vAlign w:val="bottom"/>
          </w:tcPr>
          <w:p w14:paraId="66CD719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0.0114</w:t>
            </w:r>
          </w:p>
        </w:tc>
        <w:tc>
          <w:tcPr>
            <w:tcW w:w="906" w:type="dxa"/>
            <w:tcBorders>
              <w:top w:val="nil"/>
              <w:left w:val="nil"/>
              <w:bottom w:val="nil"/>
              <w:right w:val="single" w:sz="4" w:space="0" w:color="auto"/>
            </w:tcBorders>
            <w:shd w:val="clear" w:color="auto" w:fill="auto"/>
            <w:noWrap/>
            <w:vAlign w:val="bottom"/>
          </w:tcPr>
          <w:p w14:paraId="728B422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0.668</w:t>
            </w:r>
          </w:p>
        </w:tc>
      </w:tr>
      <w:tr w:rsidR="00B634E6" w:rsidRPr="00EA700F" w14:paraId="4A5726FF"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411EA73F"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LSPeaknorm</w:t>
            </w:r>
            <w:proofErr w:type="spellEnd"/>
          </w:p>
        </w:tc>
        <w:tc>
          <w:tcPr>
            <w:tcW w:w="1040" w:type="dxa"/>
            <w:tcBorders>
              <w:top w:val="nil"/>
              <w:left w:val="nil"/>
              <w:bottom w:val="nil"/>
              <w:right w:val="single" w:sz="4" w:space="0" w:color="auto"/>
            </w:tcBorders>
            <w:shd w:val="clear" w:color="auto" w:fill="auto"/>
            <w:noWrap/>
            <w:vAlign w:val="bottom"/>
            <w:hideMark/>
          </w:tcPr>
          <w:p w14:paraId="5002F5A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0.0128</w:t>
            </w:r>
          </w:p>
        </w:tc>
        <w:tc>
          <w:tcPr>
            <w:tcW w:w="1040" w:type="dxa"/>
            <w:tcBorders>
              <w:top w:val="nil"/>
              <w:left w:val="nil"/>
              <w:bottom w:val="nil"/>
              <w:right w:val="single" w:sz="4" w:space="0" w:color="auto"/>
            </w:tcBorders>
            <w:shd w:val="clear" w:color="auto" w:fill="auto"/>
            <w:noWrap/>
            <w:vAlign w:val="bottom"/>
            <w:hideMark/>
          </w:tcPr>
          <w:p w14:paraId="1C96D260"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6111640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0.427</w:t>
            </w:r>
          </w:p>
        </w:tc>
        <w:tc>
          <w:tcPr>
            <w:tcW w:w="1097" w:type="dxa"/>
            <w:tcBorders>
              <w:top w:val="nil"/>
              <w:left w:val="nil"/>
              <w:bottom w:val="nil"/>
              <w:right w:val="single" w:sz="4" w:space="0" w:color="auto"/>
            </w:tcBorders>
            <w:shd w:val="clear" w:color="auto" w:fill="auto"/>
            <w:noWrap/>
            <w:vAlign w:val="bottom"/>
            <w:hideMark/>
          </w:tcPr>
          <w:p w14:paraId="73370807"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0.0002</w:t>
            </w:r>
          </w:p>
        </w:tc>
        <w:tc>
          <w:tcPr>
            <w:tcW w:w="1097" w:type="dxa"/>
            <w:tcBorders>
              <w:top w:val="nil"/>
              <w:left w:val="nil"/>
              <w:bottom w:val="nil"/>
              <w:right w:val="single" w:sz="4" w:space="0" w:color="auto"/>
            </w:tcBorders>
            <w:shd w:val="clear" w:color="auto" w:fill="auto"/>
            <w:noWrap/>
            <w:vAlign w:val="bottom"/>
            <w:hideMark/>
          </w:tcPr>
          <w:p w14:paraId="213BEA2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0.0008</w:t>
            </w:r>
          </w:p>
        </w:tc>
        <w:tc>
          <w:tcPr>
            <w:tcW w:w="906" w:type="dxa"/>
            <w:tcBorders>
              <w:top w:val="nil"/>
              <w:left w:val="nil"/>
              <w:bottom w:val="nil"/>
              <w:right w:val="single" w:sz="4" w:space="0" w:color="auto"/>
            </w:tcBorders>
            <w:shd w:val="clear" w:color="auto" w:fill="auto"/>
            <w:noWrap/>
            <w:vAlign w:val="bottom"/>
            <w:hideMark/>
          </w:tcPr>
          <w:p w14:paraId="1293C772"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0.724</w:t>
            </w:r>
          </w:p>
        </w:tc>
      </w:tr>
      <w:tr w:rsidR="00B634E6" w:rsidRPr="00EA700F" w14:paraId="72638D42"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0C7FE286"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HSPeaknorm</w:t>
            </w:r>
            <w:proofErr w:type="spellEnd"/>
          </w:p>
        </w:tc>
        <w:tc>
          <w:tcPr>
            <w:tcW w:w="1040" w:type="dxa"/>
            <w:tcBorders>
              <w:top w:val="nil"/>
              <w:left w:val="nil"/>
              <w:bottom w:val="nil"/>
              <w:right w:val="single" w:sz="4" w:space="0" w:color="auto"/>
            </w:tcBorders>
            <w:shd w:val="clear" w:color="auto" w:fill="auto"/>
            <w:noWrap/>
            <w:vAlign w:val="bottom"/>
            <w:hideMark/>
          </w:tcPr>
          <w:p w14:paraId="2121F903"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0.0144</w:t>
            </w:r>
          </w:p>
        </w:tc>
        <w:tc>
          <w:tcPr>
            <w:tcW w:w="1040" w:type="dxa"/>
            <w:tcBorders>
              <w:top w:val="nil"/>
              <w:left w:val="nil"/>
              <w:bottom w:val="nil"/>
              <w:right w:val="single" w:sz="4" w:space="0" w:color="auto"/>
            </w:tcBorders>
            <w:shd w:val="clear" w:color="auto" w:fill="auto"/>
            <w:noWrap/>
            <w:vAlign w:val="bottom"/>
            <w:hideMark/>
          </w:tcPr>
          <w:p w14:paraId="2F5AA2C3"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4322CEE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0.415</w:t>
            </w:r>
          </w:p>
        </w:tc>
        <w:tc>
          <w:tcPr>
            <w:tcW w:w="1097" w:type="dxa"/>
            <w:tcBorders>
              <w:top w:val="nil"/>
              <w:left w:val="nil"/>
              <w:bottom w:val="nil"/>
              <w:right w:val="single" w:sz="4" w:space="0" w:color="auto"/>
            </w:tcBorders>
            <w:shd w:val="clear" w:color="auto" w:fill="auto"/>
            <w:noWrap/>
            <w:vAlign w:val="bottom"/>
            <w:hideMark/>
          </w:tcPr>
          <w:p w14:paraId="2969743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0.0005</w:t>
            </w:r>
          </w:p>
        </w:tc>
        <w:tc>
          <w:tcPr>
            <w:tcW w:w="1097" w:type="dxa"/>
            <w:tcBorders>
              <w:top w:val="nil"/>
              <w:left w:val="nil"/>
              <w:bottom w:val="nil"/>
              <w:right w:val="single" w:sz="4" w:space="0" w:color="auto"/>
            </w:tcBorders>
            <w:shd w:val="clear" w:color="auto" w:fill="auto"/>
            <w:noWrap/>
            <w:vAlign w:val="bottom"/>
            <w:hideMark/>
          </w:tcPr>
          <w:p w14:paraId="4D9CA0E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0.0013</w:t>
            </w:r>
          </w:p>
        </w:tc>
        <w:tc>
          <w:tcPr>
            <w:tcW w:w="906" w:type="dxa"/>
            <w:tcBorders>
              <w:top w:val="nil"/>
              <w:left w:val="nil"/>
              <w:bottom w:val="nil"/>
              <w:right w:val="single" w:sz="4" w:space="0" w:color="auto"/>
            </w:tcBorders>
            <w:shd w:val="clear" w:color="auto" w:fill="auto"/>
            <w:noWrap/>
            <w:vAlign w:val="bottom"/>
            <w:hideMark/>
          </w:tcPr>
          <w:p w14:paraId="0CD56A81"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0.708</w:t>
            </w:r>
          </w:p>
        </w:tc>
      </w:tr>
      <w:tr w:rsidR="00B634E6" w:rsidRPr="00EA700F" w14:paraId="7644F20E"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702F183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BFI</w:t>
            </w:r>
          </w:p>
        </w:tc>
        <w:tc>
          <w:tcPr>
            <w:tcW w:w="1040" w:type="dxa"/>
            <w:tcBorders>
              <w:top w:val="nil"/>
              <w:left w:val="nil"/>
              <w:bottom w:val="nil"/>
              <w:right w:val="single" w:sz="4" w:space="0" w:color="auto"/>
            </w:tcBorders>
            <w:shd w:val="clear" w:color="auto" w:fill="auto"/>
            <w:noWrap/>
            <w:vAlign w:val="bottom"/>
            <w:hideMark/>
          </w:tcPr>
          <w:p w14:paraId="59C187F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0.0180</w:t>
            </w:r>
          </w:p>
        </w:tc>
        <w:tc>
          <w:tcPr>
            <w:tcW w:w="1040" w:type="dxa"/>
            <w:tcBorders>
              <w:top w:val="nil"/>
              <w:left w:val="nil"/>
              <w:bottom w:val="nil"/>
              <w:right w:val="single" w:sz="4" w:space="0" w:color="auto"/>
            </w:tcBorders>
            <w:shd w:val="clear" w:color="auto" w:fill="auto"/>
            <w:noWrap/>
            <w:vAlign w:val="bottom"/>
            <w:hideMark/>
          </w:tcPr>
          <w:p w14:paraId="708AFF2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0.0480</w:t>
            </w:r>
          </w:p>
        </w:tc>
        <w:tc>
          <w:tcPr>
            <w:tcW w:w="960" w:type="dxa"/>
            <w:tcBorders>
              <w:top w:val="nil"/>
              <w:left w:val="nil"/>
              <w:bottom w:val="nil"/>
              <w:right w:val="single" w:sz="4" w:space="0" w:color="auto"/>
            </w:tcBorders>
            <w:shd w:val="clear" w:color="auto" w:fill="auto"/>
            <w:noWrap/>
            <w:vAlign w:val="bottom"/>
            <w:hideMark/>
          </w:tcPr>
          <w:p w14:paraId="1F6B59E1"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0.434</w:t>
            </w:r>
          </w:p>
        </w:tc>
        <w:tc>
          <w:tcPr>
            <w:tcW w:w="1097" w:type="dxa"/>
            <w:tcBorders>
              <w:top w:val="nil"/>
              <w:left w:val="nil"/>
              <w:bottom w:val="nil"/>
              <w:right w:val="single" w:sz="4" w:space="0" w:color="auto"/>
            </w:tcBorders>
            <w:shd w:val="clear" w:color="auto" w:fill="auto"/>
            <w:noWrap/>
            <w:vAlign w:val="bottom"/>
            <w:hideMark/>
          </w:tcPr>
          <w:p w14:paraId="7463D6FD"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0.0001</w:t>
            </w:r>
          </w:p>
        </w:tc>
        <w:tc>
          <w:tcPr>
            <w:tcW w:w="1097" w:type="dxa"/>
            <w:tcBorders>
              <w:top w:val="nil"/>
              <w:left w:val="nil"/>
              <w:bottom w:val="nil"/>
              <w:right w:val="single" w:sz="4" w:space="0" w:color="auto"/>
            </w:tcBorders>
            <w:shd w:val="clear" w:color="auto" w:fill="auto"/>
            <w:noWrap/>
            <w:vAlign w:val="bottom"/>
            <w:hideMark/>
          </w:tcPr>
          <w:p w14:paraId="353BA857"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0.0007</w:t>
            </w:r>
          </w:p>
        </w:tc>
        <w:tc>
          <w:tcPr>
            <w:tcW w:w="906" w:type="dxa"/>
            <w:tcBorders>
              <w:top w:val="nil"/>
              <w:left w:val="nil"/>
              <w:bottom w:val="nil"/>
              <w:right w:val="single" w:sz="4" w:space="0" w:color="auto"/>
            </w:tcBorders>
            <w:shd w:val="clear" w:color="auto" w:fill="auto"/>
            <w:noWrap/>
            <w:vAlign w:val="bottom"/>
            <w:hideMark/>
          </w:tcPr>
          <w:p w14:paraId="4CB5D1F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0.816</w:t>
            </w:r>
          </w:p>
        </w:tc>
      </w:tr>
      <w:tr w:rsidR="00B634E6" w:rsidRPr="00EA700F" w14:paraId="1A997A0F"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4E06F08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MA.7daysMinMeannorm</w:t>
            </w:r>
          </w:p>
        </w:tc>
        <w:tc>
          <w:tcPr>
            <w:tcW w:w="1040" w:type="dxa"/>
            <w:tcBorders>
              <w:top w:val="nil"/>
              <w:left w:val="nil"/>
              <w:bottom w:val="nil"/>
              <w:right w:val="single" w:sz="4" w:space="0" w:color="auto"/>
            </w:tcBorders>
            <w:shd w:val="clear" w:color="auto" w:fill="auto"/>
            <w:noWrap/>
            <w:vAlign w:val="bottom"/>
            <w:hideMark/>
          </w:tcPr>
          <w:p w14:paraId="7B475FF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0.0355</w:t>
            </w:r>
          </w:p>
        </w:tc>
        <w:tc>
          <w:tcPr>
            <w:tcW w:w="1040" w:type="dxa"/>
            <w:tcBorders>
              <w:top w:val="nil"/>
              <w:left w:val="nil"/>
              <w:bottom w:val="nil"/>
              <w:right w:val="single" w:sz="4" w:space="0" w:color="auto"/>
            </w:tcBorders>
            <w:shd w:val="clear" w:color="auto" w:fill="auto"/>
            <w:noWrap/>
            <w:vAlign w:val="bottom"/>
            <w:hideMark/>
          </w:tcPr>
          <w:p w14:paraId="7C393B2D"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0.0852</w:t>
            </w:r>
          </w:p>
        </w:tc>
        <w:tc>
          <w:tcPr>
            <w:tcW w:w="960" w:type="dxa"/>
            <w:tcBorders>
              <w:top w:val="nil"/>
              <w:left w:val="nil"/>
              <w:bottom w:val="nil"/>
              <w:right w:val="single" w:sz="4" w:space="0" w:color="auto"/>
            </w:tcBorders>
            <w:shd w:val="clear" w:color="auto" w:fill="auto"/>
            <w:noWrap/>
            <w:vAlign w:val="bottom"/>
            <w:hideMark/>
          </w:tcPr>
          <w:p w14:paraId="3AA0333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0.328</w:t>
            </w:r>
          </w:p>
        </w:tc>
        <w:tc>
          <w:tcPr>
            <w:tcW w:w="1097" w:type="dxa"/>
            <w:tcBorders>
              <w:top w:val="nil"/>
              <w:left w:val="nil"/>
              <w:bottom w:val="nil"/>
              <w:right w:val="single" w:sz="4" w:space="0" w:color="auto"/>
            </w:tcBorders>
            <w:shd w:val="clear" w:color="auto" w:fill="auto"/>
            <w:noWrap/>
            <w:vAlign w:val="bottom"/>
            <w:hideMark/>
          </w:tcPr>
          <w:p w14:paraId="2EDAC22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0.0003</w:t>
            </w:r>
          </w:p>
        </w:tc>
        <w:tc>
          <w:tcPr>
            <w:tcW w:w="1097" w:type="dxa"/>
            <w:tcBorders>
              <w:top w:val="nil"/>
              <w:left w:val="nil"/>
              <w:bottom w:val="nil"/>
              <w:right w:val="single" w:sz="4" w:space="0" w:color="auto"/>
            </w:tcBorders>
            <w:shd w:val="clear" w:color="auto" w:fill="auto"/>
            <w:noWrap/>
            <w:vAlign w:val="bottom"/>
            <w:hideMark/>
          </w:tcPr>
          <w:p w14:paraId="1956B92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0.0009</w:t>
            </w:r>
          </w:p>
        </w:tc>
        <w:tc>
          <w:tcPr>
            <w:tcW w:w="906" w:type="dxa"/>
            <w:tcBorders>
              <w:top w:val="nil"/>
              <w:left w:val="nil"/>
              <w:bottom w:val="nil"/>
              <w:right w:val="single" w:sz="4" w:space="0" w:color="auto"/>
            </w:tcBorders>
            <w:shd w:val="clear" w:color="auto" w:fill="auto"/>
            <w:noWrap/>
            <w:vAlign w:val="bottom"/>
            <w:hideMark/>
          </w:tcPr>
          <w:p w14:paraId="2F0980A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0.755</w:t>
            </w:r>
          </w:p>
        </w:tc>
      </w:tr>
      <w:tr w:rsidR="00B634E6" w:rsidRPr="00EA700F" w14:paraId="50DE3F3E" w14:textId="77777777" w:rsidTr="00630B93">
        <w:trPr>
          <w:trHeight w:val="288"/>
        </w:trPr>
        <w:tc>
          <w:tcPr>
            <w:tcW w:w="2462" w:type="dxa"/>
            <w:tcBorders>
              <w:top w:val="nil"/>
              <w:left w:val="single" w:sz="4" w:space="0" w:color="auto"/>
              <w:bottom w:val="single" w:sz="4" w:space="0" w:color="auto"/>
              <w:right w:val="single" w:sz="4" w:space="0" w:color="auto"/>
            </w:tcBorders>
            <w:shd w:val="clear" w:color="auto" w:fill="auto"/>
            <w:noWrap/>
            <w:vAlign w:val="bottom"/>
          </w:tcPr>
          <w:p w14:paraId="0CEC60CD"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CVAnnHSPeak</w:t>
            </w:r>
            <w:proofErr w:type="spellEnd"/>
          </w:p>
        </w:tc>
        <w:tc>
          <w:tcPr>
            <w:tcW w:w="1040" w:type="dxa"/>
            <w:tcBorders>
              <w:top w:val="nil"/>
              <w:left w:val="nil"/>
              <w:bottom w:val="single" w:sz="4" w:space="0" w:color="auto"/>
              <w:right w:val="single" w:sz="4" w:space="0" w:color="auto"/>
            </w:tcBorders>
            <w:shd w:val="clear" w:color="auto" w:fill="auto"/>
            <w:noWrap/>
            <w:vAlign w:val="bottom"/>
          </w:tcPr>
          <w:p w14:paraId="634A59A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0.0751</w:t>
            </w:r>
          </w:p>
        </w:tc>
        <w:tc>
          <w:tcPr>
            <w:tcW w:w="1040" w:type="dxa"/>
            <w:tcBorders>
              <w:top w:val="nil"/>
              <w:left w:val="nil"/>
              <w:bottom w:val="single" w:sz="4" w:space="0" w:color="auto"/>
              <w:right w:val="single" w:sz="4" w:space="0" w:color="auto"/>
            </w:tcBorders>
            <w:shd w:val="clear" w:color="auto" w:fill="auto"/>
            <w:noWrap/>
            <w:vAlign w:val="bottom"/>
          </w:tcPr>
          <w:p w14:paraId="365E834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0.1502</w:t>
            </w:r>
          </w:p>
        </w:tc>
        <w:tc>
          <w:tcPr>
            <w:tcW w:w="960" w:type="dxa"/>
            <w:tcBorders>
              <w:top w:val="nil"/>
              <w:left w:val="nil"/>
              <w:bottom w:val="single" w:sz="4" w:space="0" w:color="auto"/>
              <w:right w:val="single" w:sz="4" w:space="0" w:color="auto"/>
            </w:tcBorders>
            <w:shd w:val="clear" w:color="auto" w:fill="auto"/>
            <w:noWrap/>
            <w:vAlign w:val="bottom"/>
          </w:tcPr>
          <w:p w14:paraId="62DF47A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0.293</w:t>
            </w:r>
          </w:p>
        </w:tc>
        <w:tc>
          <w:tcPr>
            <w:tcW w:w="1097" w:type="dxa"/>
            <w:tcBorders>
              <w:top w:val="nil"/>
              <w:left w:val="nil"/>
              <w:bottom w:val="single" w:sz="4" w:space="0" w:color="auto"/>
              <w:right w:val="single" w:sz="4" w:space="0" w:color="auto"/>
            </w:tcBorders>
            <w:shd w:val="clear" w:color="auto" w:fill="auto"/>
            <w:noWrap/>
            <w:vAlign w:val="bottom"/>
          </w:tcPr>
          <w:p w14:paraId="2ACCE47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0.0017</w:t>
            </w:r>
          </w:p>
        </w:tc>
        <w:tc>
          <w:tcPr>
            <w:tcW w:w="1097" w:type="dxa"/>
            <w:tcBorders>
              <w:top w:val="nil"/>
              <w:left w:val="nil"/>
              <w:bottom w:val="single" w:sz="4" w:space="0" w:color="auto"/>
              <w:right w:val="single" w:sz="4" w:space="0" w:color="auto"/>
            </w:tcBorders>
            <w:shd w:val="clear" w:color="auto" w:fill="auto"/>
            <w:noWrap/>
            <w:vAlign w:val="bottom"/>
          </w:tcPr>
          <w:p w14:paraId="1165099D"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0.0039</w:t>
            </w:r>
          </w:p>
        </w:tc>
        <w:tc>
          <w:tcPr>
            <w:tcW w:w="906" w:type="dxa"/>
            <w:tcBorders>
              <w:top w:val="nil"/>
              <w:left w:val="nil"/>
              <w:bottom w:val="single" w:sz="4" w:space="0" w:color="auto"/>
              <w:right w:val="single" w:sz="4" w:space="0" w:color="auto"/>
            </w:tcBorders>
            <w:shd w:val="clear" w:color="auto" w:fill="auto"/>
            <w:noWrap/>
            <w:vAlign w:val="bottom"/>
          </w:tcPr>
          <w:p w14:paraId="6C2E8CD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0.754</w:t>
            </w:r>
          </w:p>
        </w:tc>
      </w:tr>
      <w:tr w:rsidR="00B634E6" w:rsidRPr="00EA700F" w14:paraId="52507BF7" w14:textId="77777777" w:rsidTr="00630B93">
        <w:trPr>
          <w:trHeight w:val="288"/>
        </w:trPr>
        <w:tc>
          <w:tcPr>
            <w:tcW w:w="2462" w:type="dxa"/>
            <w:tcBorders>
              <w:top w:val="single" w:sz="4" w:space="0" w:color="auto"/>
              <w:left w:val="single" w:sz="4" w:space="0" w:color="auto"/>
              <w:bottom w:val="nil"/>
              <w:right w:val="single" w:sz="4" w:space="0" w:color="auto"/>
            </w:tcBorders>
            <w:shd w:val="clear" w:color="auto" w:fill="auto"/>
            <w:noWrap/>
            <w:vAlign w:val="bottom"/>
            <w:hideMark/>
          </w:tcPr>
          <w:p w14:paraId="792D0244"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MRateRisenorm</w:t>
            </w:r>
            <w:proofErr w:type="spellEnd"/>
          </w:p>
        </w:tc>
        <w:tc>
          <w:tcPr>
            <w:tcW w:w="1040" w:type="dxa"/>
            <w:tcBorders>
              <w:top w:val="single" w:sz="4" w:space="0" w:color="auto"/>
              <w:left w:val="nil"/>
              <w:bottom w:val="nil"/>
              <w:right w:val="single" w:sz="4" w:space="0" w:color="auto"/>
            </w:tcBorders>
            <w:shd w:val="clear" w:color="auto" w:fill="auto"/>
            <w:noWrap/>
            <w:vAlign w:val="bottom"/>
            <w:hideMark/>
          </w:tcPr>
          <w:p w14:paraId="4EBCD540"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0.1631</w:t>
            </w:r>
          </w:p>
        </w:tc>
        <w:tc>
          <w:tcPr>
            <w:tcW w:w="1040" w:type="dxa"/>
            <w:tcBorders>
              <w:top w:val="single" w:sz="4" w:space="0" w:color="auto"/>
              <w:left w:val="nil"/>
              <w:bottom w:val="nil"/>
              <w:right w:val="single" w:sz="4" w:space="0" w:color="auto"/>
            </w:tcBorders>
            <w:shd w:val="clear" w:color="auto" w:fill="auto"/>
            <w:noWrap/>
            <w:vAlign w:val="bottom"/>
            <w:hideMark/>
          </w:tcPr>
          <w:p w14:paraId="3D4DDD7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0.2899</w:t>
            </w:r>
          </w:p>
        </w:tc>
        <w:tc>
          <w:tcPr>
            <w:tcW w:w="960" w:type="dxa"/>
            <w:tcBorders>
              <w:top w:val="single" w:sz="4" w:space="0" w:color="auto"/>
              <w:left w:val="nil"/>
              <w:bottom w:val="nil"/>
              <w:right w:val="single" w:sz="4" w:space="0" w:color="auto"/>
            </w:tcBorders>
            <w:shd w:val="clear" w:color="auto" w:fill="auto"/>
            <w:noWrap/>
            <w:vAlign w:val="bottom"/>
            <w:hideMark/>
          </w:tcPr>
          <w:p w14:paraId="6F367A5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0.348</w:t>
            </w:r>
          </w:p>
        </w:tc>
        <w:tc>
          <w:tcPr>
            <w:tcW w:w="1097" w:type="dxa"/>
            <w:tcBorders>
              <w:top w:val="single" w:sz="4" w:space="0" w:color="auto"/>
              <w:left w:val="nil"/>
              <w:bottom w:val="nil"/>
              <w:right w:val="single" w:sz="4" w:space="0" w:color="auto"/>
            </w:tcBorders>
            <w:shd w:val="clear" w:color="auto" w:fill="auto"/>
            <w:noWrap/>
            <w:vAlign w:val="bottom"/>
            <w:hideMark/>
          </w:tcPr>
          <w:p w14:paraId="18015B51"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0.0730</w:t>
            </w:r>
          </w:p>
        </w:tc>
        <w:tc>
          <w:tcPr>
            <w:tcW w:w="1097" w:type="dxa"/>
            <w:tcBorders>
              <w:top w:val="single" w:sz="4" w:space="0" w:color="auto"/>
              <w:left w:val="nil"/>
              <w:bottom w:val="nil"/>
              <w:right w:val="single" w:sz="4" w:space="0" w:color="auto"/>
            </w:tcBorders>
            <w:shd w:val="clear" w:color="auto" w:fill="auto"/>
            <w:noWrap/>
            <w:vAlign w:val="bottom"/>
            <w:hideMark/>
          </w:tcPr>
          <w:p w14:paraId="0718ECF3"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0.1348</w:t>
            </w:r>
          </w:p>
        </w:tc>
        <w:tc>
          <w:tcPr>
            <w:tcW w:w="906" w:type="dxa"/>
            <w:tcBorders>
              <w:top w:val="single" w:sz="4" w:space="0" w:color="auto"/>
              <w:left w:val="nil"/>
              <w:bottom w:val="nil"/>
              <w:right w:val="single" w:sz="4" w:space="0" w:color="auto"/>
            </w:tcBorders>
            <w:shd w:val="clear" w:color="auto" w:fill="auto"/>
            <w:noWrap/>
            <w:vAlign w:val="bottom"/>
            <w:hideMark/>
          </w:tcPr>
          <w:p w14:paraId="6246D46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0.528</w:t>
            </w:r>
          </w:p>
        </w:tc>
      </w:tr>
      <w:tr w:rsidR="00B634E6" w:rsidRPr="00EA700F" w14:paraId="377CCD11"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74B0A42B"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CVAnnHSNum</w:t>
            </w:r>
            <w:proofErr w:type="spellEnd"/>
          </w:p>
        </w:tc>
        <w:tc>
          <w:tcPr>
            <w:tcW w:w="1040" w:type="dxa"/>
            <w:tcBorders>
              <w:top w:val="nil"/>
              <w:left w:val="nil"/>
              <w:bottom w:val="nil"/>
              <w:right w:val="single" w:sz="4" w:space="0" w:color="auto"/>
            </w:tcBorders>
            <w:shd w:val="clear" w:color="auto" w:fill="auto"/>
            <w:noWrap/>
            <w:vAlign w:val="bottom"/>
            <w:hideMark/>
          </w:tcPr>
          <w:p w14:paraId="379705F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0.1691</w:t>
            </w:r>
          </w:p>
        </w:tc>
        <w:tc>
          <w:tcPr>
            <w:tcW w:w="1040" w:type="dxa"/>
            <w:tcBorders>
              <w:top w:val="nil"/>
              <w:left w:val="nil"/>
              <w:bottom w:val="nil"/>
              <w:right w:val="single" w:sz="4" w:space="0" w:color="auto"/>
            </w:tcBorders>
            <w:shd w:val="clear" w:color="auto" w:fill="auto"/>
            <w:noWrap/>
            <w:vAlign w:val="bottom"/>
            <w:hideMark/>
          </w:tcPr>
          <w:p w14:paraId="37CD012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0.2899</w:t>
            </w:r>
          </w:p>
        </w:tc>
        <w:tc>
          <w:tcPr>
            <w:tcW w:w="960" w:type="dxa"/>
            <w:tcBorders>
              <w:top w:val="nil"/>
              <w:left w:val="nil"/>
              <w:bottom w:val="nil"/>
              <w:right w:val="single" w:sz="4" w:space="0" w:color="auto"/>
            </w:tcBorders>
            <w:shd w:val="clear" w:color="auto" w:fill="auto"/>
            <w:noWrap/>
            <w:vAlign w:val="bottom"/>
            <w:hideMark/>
          </w:tcPr>
          <w:p w14:paraId="4EB19A31"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0.164</w:t>
            </w:r>
          </w:p>
        </w:tc>
        <w:tc>
          <w:tcPr>
            <w:tcW w:w="1097" w:type="dxa"/>
            <w:tcBorders>
              <w:top w:val="nil"/>
              <w:left w:val="nil"/>
              <w:bottom w:val="nil"/>
              <w:right w:val="single" w:sz="4" w:space="0" w:color="auto"/>
            </w:tcBorders>
            <w:shd w:val="clear" w:color="auto" w:fill="auto"/>
            <w:noWrap/>
            <w:vAlign w:val="bottom"/>
            <w:hideMark/>
          </w:tcPr>
          <w:p w14:paraId="0E753B0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0.2300</w:t>
            </w:r>
          </w:p>
        </w:tc>
        <w:tc>
          <w:tcPr>
            <w:tcW w:w="1097" w:type="dxa"/>
            <w:tcBorders>
              <w:top w:val="nil"/>
              <w:left w:val="nil"/>
              <w:bottom w:val="nil"/>
              <w:right w:val="single" w:sz="4" w:space="0" w:color="auto"/>
            </w:tcBorders>
            <w:shd w:val="clear" w:color="auto" w:fill="auto"/>
            <w:noWrap/>
            <w:vAlign w:val="bottom"/>
            <w:hideMark/>
          </w:tcPr>
          <w:p w14:paraId="4265F3E7"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0.3450</w:t>
            </w:r>
          </w:p>
        </w:tc>
        <w:tc>
          <w:tcPr>
            <w:tcW w:w="906" w:type="dxa"/>
            <w:tcBorders>
              <w:top w:val="nil"/>
              <w:left w:val="nil"/>
              <w:bottom w:val="nil"/>
              <w:right w:val="single" w:sz="4" w:space="0" w:color="auto"/>
            </w:tcBorders>
            <w:shd w:val="clear" w:color="auto" w:fill="auto"/>
            <w:noWrap/>
            <w:vAlign w:val="bottom"/>
            <w:hideMark/>
          </w:tcPr>
          <w:p w14:paraId="5C4AAA8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0.135</w:t>
            </w:r>
          </w:p>
        </w:tc>
      </w:tr>
      <w:tr w:rsidR="00B634E6" w:rsidRPr="00EA700F" w14:paraId="43E5010B"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49D3DEB7"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MDFAnnLSNum</w:t>
            </w:r>
            <w:proofErr w:type="spellEnd"/>
          </w:p>
        </w:tc>
        <w:tc>
          <w:tcPr>
            <w:tcW w:w="1040" w:type="dxa"/>
            <w:tcBorders>
              <w:top w:val="nil"/>
              <w:left w:val="nil"/>
              <w:bottom w:val="nil"/>
              <w:right w:val="single" w:sz="4" w:space="0" w:color="auto"/>
            </w:tcBorders>
            <w:shd w:val="clear" w:color="auto" w:fill="auto"/>
            <w:noWrap/>
            <w:vAlign w:val="bottom"/>
            <w:hideMark/>
          </w:tcPr>
          <w:p w14:paraId="6013EEA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0.1908</w:t>
            </w:r>
          </w:p>
        </w:tc>
        <w:tc>
          <w:tcPr>
            <w:tcW w:w="1040" w:type="dxa"/>
            <w:tcBorders>
              <w:top w:val="nil"/>
              <w:left w:val="nil"/>
              <w:bottom w:val="nil"/>
              <w:right w:val="single" w:sz="4" w:space="0" w:color="auto"/>
            </w:tcBorders>
            <w:shd w:val="clear" w:color="auto" w:fill="auto"/>
            <w:noWrap/>
            <w:vAlign w:val="bottom"/>
            <w:hideMark/>
          </w:tcPr>
          <w:p w14:paraId="77B6F373"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0.3053</w:t>
            </w:r>
          </w:p>
        </w:tc>
        <w:tc>
          <w:tcPr>
            <w:tcW w:w="960" w:type="dxa"/>
            <w:tcBorders>
              <w:top w:val="nil"/>
              <w:left w:val="nil"/>
              <w:bottom w:val="nil"/>
              <w:right w:val="single" w:sz="4" w:space="0" w:color="auto"/>
            </w:tcBorders>
            <w:shd w:val="clear" w:color="auto" w:fill="auto"/>
            <w:noWrap/>
            <w:vAlign w:val="bottom"/>
            <w:hideMark/>
          </w:tcPr>
          <w:p w14:paraId="40A675D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0.208</w:t>
            </w:r>
          </w:p>
        </w:tc>
        <w:tc>
          <w:tcPr>
            <w:tcW w:w="1097" w:type="dxa"/>
            <w:tcBorders>
              <w:top w:val="nil"/>
              <w:left w:val="nil"/>
              <w:bottom w:val="nil"/>
              <w:right w:val="single" w:sz="4" w:space="0" w:color="auto"/>
            </w:tcBorders>
            <w:shd w:val="clear" w:color="auto" w:fill="auto"/>
            <w:noWrap/>
            <w:vAlign w:val="bottom"/>
            <w:hideMark/>
          </w:tcPr>
          <w:p w14:paraId="4D049F7D"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0.2600</w:t>
            </w:r>
          </w:p>
        </w:tc>
        <w:tc>
          <w:tcPr>
            <w:tcW w:w="1097" w:type="dxa"/>
            <w:tcBorders>
              <w:top w:val="nil"/>
              <w:left w:val="nil"/>
              <w:bottom w:val="nil"/>
              <w:right w:val="single" w:sz="4" w:space="0" w:color="auto"/>
            </w:tcBorders>
            <w:shd w:val="clear" w:color="auto" w:fill="auto"/>
            <w:noWrap/>
            <w:vAlign w:val="bottom"/>
            <w:hideMark/>
          </w:tcPr>
          <w:p w14:paraId="4567501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0.3671</w:t>
            </w:r>
          </w:p>
        </w:tc>
        <w:tc>
          <w:tcPr>
            <w:tcW w:w="906" w:type="dxa"/>
            <w:tcBorders>
              <w:top w:val="nil"/>
              <w:left w:val="nil"/>
              <w:bottom w:val="nil"/>
              <w:right w:val="single" w:sz="4" w:space="0" w:color="auto"/>
            </w:tcBorders>
            <w:shd w:val="clear" w:color="auto" w:fill="auto"/>
            <w:noWrap/>
            <w:vAlign w:val="bottom"/>
            <w:hideMark/>
          </w:tcPr>
          <w:p w14:paraId="27780F0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0.183</w:t>
            </w:r>
          </w:p>
        </w:tc>
      </w:tr>
      <w:tr w:rsidR="00B634E6" w:rsidRPr="00EA700F" w14:paraId="61EE576A"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4365CEC0"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MRateFallnorm</w:t>
            </w:r>
            <w:proofErr w:type="spellEnd"/>
          </w:p>
        </w:tc>
        <w:tc>
          <w:tcPr>
            <w:tcW w:w="1040" w:type="dxa"/>
            <w:tcBorders>
              <w:top w:val="nil"/>
              <w:left w:val="nil"/>
              <w:bottom w:val="nil"/>
              <w:right w:val="single" w:sz="4" w:space="0" w:color="auto"/>
            </w:tcBorders>
            <w:shd w:val="clear" w:color="auto" w:fill="auto"/>
            <w:noWrap/>
            <w:vAlign w:val="bottom"/>
            <w:hideMark/>
          </w:tcPr>
          <w:p w14:paraId="33B967B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0.2098</w:t>
            </w:r>
          </w:p>
        </w:tc>
        <w:tc>
          <w:tcPr>
            <w:tcW w:w="1040" w:type="dxa"/>
            <w:tcBorders>
              <w:top w:val="nil"/>
              <w:left w:val="nil"/>
              <w:bottom w:val="nil"/>
              <w:right w:val="single" w:sz="4" w:space="0" w:color="auto"/>
            </w:tcBorders>
            <w:shd w:val="clear" w:color="auto" w:fill="auto"/>
            <w:noWrap/>
            <w:vAlign w:val="bottom"/>
            <w:hideMark/>
          </w:tcPr>
          <w:p w14:paraId="6ACD2B73"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0.3061</w:t>
            </w:r>
          </w:p>
        </w:tc>
        <w:tc>
          <w:tcPr>
            <w:tcW w:w="960" w:type="dxa"/>
            <w:tcBorders>
              <w:top w:val="nil"/>
              <w:left w:val="nil"/>
              <w:bottom w:val="nil"/>
              <w:right w:val="single" w:sz="4" w:space="0" w:color="auto"/>
            </w:tcBorders>
            <w:shd w:val="clear" w:color="auto" w:fill="auto"/>
            <w:noWrap/>
            <w:vAlign w:val="bottom"/>
            <w:hideMark/>
          </w:tcPr>
          <w:p w14:paraId="5C08D5A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0.283</w:t>
            </w:r>
          </w:p>
        </w:tc>
        <w:tc>
          <w:tcPr>
            <w:tcW w:w="1097" w:type="dxa"/>
            <w:tcBorders>
              <w:top w:val="nil"/>
              <w:left w:val="nil"/>
              <w:bottom w:val="nil"/>
              <w:right w:val="single" w:sz="4" w:space="0" w:color="auto"/>
            </w:tcBorders>
            <w:shd w:val="clear" w:color="auto" w:fill="auto"/>
            <w:noWrap/>
            <w:vAlign w:val="bottom"/>
            <w:hideMark/>
          </w:tcPr>
          <w:p w14:paraId="59F98A0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0.1100</w:t>
            </w:r>
          </w:p>
        </w:tc>
        <w:tc>
          <w:tcPr>
            <w:tcW w:w="1097" w:type="dxa"/>
            <w:tcBorders>
              <w:top w:val="nil"/>
              <w:left w:val="nil"/>
              <w:bottom w:val="nil"/>
              <w:right w:val="single" w:sz="4" w:space="0" w:color="auto"/>
            </w:tcBorders>
            <w:shd w:val="clear" w:color="auto" w:fill="auto"/>
            <w:noWrap/>
            <w:vAlign w:val="bottom"/>
            <w:hideMark/>
          </w:tcPr>
          <w:p w14:paraId="55316CB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0.1886</w:t>
            </w:r>
          </w:p>
        </w:tc>
        <w:tc>
          <w:tcPr>
            <w:tcW w:w="906" w:type="dxa"/>
            <w:tcBorders>
              <w:top w:val="nil"/>
              <w:left w:val="nil"/>
              <w:bottom w:val="nil"/>
              <w:right w:val="single" w:sz="4" w:space="0" w:color="auto"/>
            </w:tcBorders>
            <w:shd w:val="clear" w:color="auto" w:fill="auto"/>
            <w:noWrap/>
            <w:vAlign w:val="bottom"/>
            <w:hideMark/>
          </w:tcPr>
          <w:p w14:paraId="64245C1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0.443</w:t>
            </w:r>
          </w:p>
        </w:tc>
      </w:tr>
      <w:tr w:rsidR="00B634E6" w:rsidRPr="00EA700F" w14:paraId="436EFB7D"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0F9C7506"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CVAnnLSPeak</w:t>
            </w:r>
            <w:proofErr w:type="spellEnd"/>
          </w:p>
        </w:tc>
        <w:tc>
          <w:tcPr>
            <w:tcW w:w="1040" w:type="dxa"/>
            <w:tcBorders>
              <w:top w:val="nil"/>
              <w:left w:val="nil"/>
              <w:bottom w:val="nil"/>
              <w:right w:val="single" w:sz="4" w:space="0" w:color="auto"/>
            </w:tcBorders>
            <w:shd w:val="clear" w:color="auto" w:fill="auto"/>
            <w:noWrap/>
            <w:vAlign w:val="bottom"/>
            <w:hideMark/>
          </w:tcPr>
          <w:p w14:paraId="00420FCC"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0.2168</w:t>
            </w:r>
          </w:p>
        </w:tc>
        <w:tc>
          <w:tcPr>
            <w:tcW w:w="1040" w:type="dxa"/>
            <w:tcBorders>
              <w:top w:val="nil"/>
              <w:left w:val="nil"/>
              <w:bottom w:val="nil"/>
              <w:right w:val="single" w:sz="4" w:space="0" w:color="auto"/>
            </w:tcBorders>
            <w:shd w:val="clear" w:color="auto" w:fill="auto"/>
            <w:noWrap/>
            <w:vAlign w:val="bottom"/>
            <w:hideMark/>
          </w:tcPr>
          <w:p w14:paraId="0164A37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0.3061</w:t>
            </w:r>
          </w:p>
        </w:tc>
        <w:tc>
          <w:tcPr>
            <w:tcW w:w="960" w:type="dxa"/>
            <w:tcBorders>
              <w:top w:val="nil"/>
              <w:left w:val="nil"/>
              <w:bottom w:val="nil"/>
              <w:right w:val="single" w:sz="4" w:space="0" w:color="auto"/>
            </w:tcBorders>
            <w:shd w:val="clear" w:color="auto" w:fill="auto"/>
            <w:noWrap/>
            <w:vAlign w:val="bottom"/>
            <w:hideMark/>
          </w:tcPr>
          <w:p w14:paraId="0CDF88A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0.245</w:t>
            </w:r>
          </w:p>
        </w:tc>
        <w:tc>
          <w:tcPr>
            <w:tcW w:w="1097" w:type="dxa"/>
            <w:tcBorders>
              <w:top w:val="nil"/>
              <w:left w:val="nil"/>
              <w:bottom w:val="nil"/>
              <w:right w:val="single" w:sz="4" w:space="0" w:color="auto"/>
            </w:tcBorders>
            <w:shd w:val="clear" w:color="auto" w:fill="auto"/>
            <w:noWrap/>
            <w:vAlign w:val="bottom"/>
            <w:hideMark/>
          </w:tcPr>
          <w:p w14:paraId="7689A1D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0.1500</w:t>
            </w:r>
          </w:p>
        </w:tc>
        <w:tc>
          <w:tcPr>
            <w:tcW w:w="1097" w:type="dxa"/>
            <w:tcBorders>
              <w:top w:val="nil"/>
              <w:left w:val="nil"/>
              <w:bottom w:val="nil"/>
              <w:right w:val="single" w:sz="4" w:space="0" w:color="auto"/>
            </w:tcBorders>
            <w:shd w:val="clear" w:color="auto" w:fill="auto"/>
            <w:noWrap/>
            <w:vAlign w:val="bottom"/>
            <w:hideMark/>
          </w:tcPr>
          <w:p w14:paraId="1913160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0.2400</w:t>
            </w:r>
          </w:p>
        </w:tc>
        <w:tc>
          <w:tcPr>
            <w:tcW w:w="906" w:type="dxa"/>
            <w:tcBorders>
              <w:top w:val="nil"/>
              <w:left w:val="nil"/>
              <w:bottom w:val="nil"/>
              <w:right w:val="single" w:sz="4" w:space="0" w:color="auto"/>
            </w:tcBorders>
            <w:shd w:val="clear" w:color="auto" w:fill="auto"/>
            <w:noWrap/>
            <w:vAlign w:val="bottom"/>
            <w:hideMark/>
          </w:tcPr>
          <w:p w14:paraId="0C416291"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0.339</w:t>
            </w:r>
          </w:p>
        </w:tc>
      </w:tr>
      <w:tr w:rsidR="00B634E6" w:rsidRPr="00EA700F" w14:paraId="7EFB191D"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13B2C7B3"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LSMeanDur</w:t>
            </w:r>
            <w:proofErr w:type="spellEnd"/>
          </w:p>
        </w:tc>
        <w:tc>
          <w:tcPr>
            <w:tcW w:w="1040" w:type="dxa"/>
            <w:tcBorders>
              <w:top w:val="nil"/>
              <w:left w:val="nil"/>
              <w:bottom w:val="nil"/>
              <w:right w:val="single" w:sz="4" w:space="0" w:color="auto"/>
            </w:tcBorders>
            <w:shd w:val="clear" w:color="auto" w:fill="auto"/>
            <w:noWrap/>
            <w:vAlign w:val="bottom"/>
            <w:hideMark/>
          </w:tcPr>
          <w:p w14:paraId="4CA3D6F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0.4115</w:t>
            </w:r>
          </w:p>
        </w:tc>
        <w:tc>
          <w:tcPr>
            <w:tcW w:w="1040" w:type="dxa"/>
            <w:tcBorders>
              <w:top w:val="nil"/>
              <w:left w:val="nil"/>
              <w:bottom w:val="nil"/>
              <w:right w:val="single" w:sz="4" w:space="0" w:color="auto"/>
            </w:tcBorders>
            <w:shd w:val="clear" w:color="auto" w:fill="auto"/>
            <w:noWrap/>
            <w:vAlign w:val="bottom"/>
            <w:hideMark/>
          </w:tcPr>
          <w:p w14:paraId="447AEA1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0.5487</w:t>
            </w:r>
          </w:p>
        </w:tc>
        <w:tc>
          <w:tcPr>
            <w:tcW w:w="960" w:type="dxa"/>
            <w:tcBorders>
              <w:top w:val="nil"/>
              <w:left w:val="nil"/>
              <w:bottom w:val="nil"/>
              <w:right w:val="single" w:sz="4" w:space="0" w:color="auto"/>
            </w:tcBorders>
            <w:shd w:val="clear" w:color="auto" w:fill="auto"/>
            <w:noWrap/>
            <w:vAlign w:val="bottom"/>
            <w:hideMark/>
          </w:tcPr>
          <w:p w14:paraId="3A737A2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0.180</w:t>
            </w:r>
          </w:p>
        </w:tc>
        <w:tc>
          <w:tcPr>
            <w:tcW w:w="1097" w:type="dxa"/>
            <w:tcBorders>
              <w:top w:val="nil"/>
              <w:left w:val="nil"/>
              <w:bottom w:val="nil"/>
              <w:right w:val="single" w:sz="4" w:space="0" w:color="auto"/>
            </w:tcBorders>
            <w:shd w:val="clear" w:color="auto" w:fill="auto"/>
            <w:noWrap/>
            <w:vAlign w:val="bottom"/>
            <w:hideMark/>
          </w:tcPr>
          <w:p w14:paraId="7B22F9E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0.4300</w:t>
            </w:r>
          </w:p>
        </w:tc>
        <w:tc>
          <w:tcPr>
            <w:tcW w:w="1097" w:type="dxa"/>
            <w:tcBorders>
              <w:top w:val="nil"/>
              <w:left w:val="nil"/>
              <w:bottom w:val="nil"/>
              <w:right w:val="single" w:sz="4" w:space="0" w:color="auto"/>
            </w:tcBorders>
            <w:shd w:val="clear" w:color="auto" w:fill="auto"/>
            <w:noWrap/>
            <w:vAlign w:val="bottom"/>
            <w:hideMark/>
          </w:tcPr>
          <w:p w14:paraId="07DAA9F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0.5280</w:t>
            </w:r>
          </w:p>
        </w:tc>
        <w:tc>
          <w:tcPr>
            <w:tcW w:w="906" w:type="dxa"/>
            <w:tcBorders>
              <w:top w:val="nil"/>
              <w:left w:val="nil"/>
              <w:bottom w:val="nil"/>
              <w:right w:val="single" w:sz="4" w:space="0" w:color="auto"/>
            </w:tcBorders>
            <w:shd w:val="clear" w:color="auto" w:fill="auto"/>
            <w:noWrap/>
            <w:vAlign w:val="bottom"/>
            <w:hideMark/>
          </w:tcPr>
          <w:p w14:paraId="6AB6B99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0.159</w:t>
            </w:r>
          </w:p>
        </w:tc>
      </w:tr>
      <w:tr w:rsidR="00B634E6" w:rsidRPr="00EA700F" w14:paraId="4F68900D"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01FF7B61"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CVAnnLSNum</w:t>
            </w:r>
            <w:proofErr w:type="spellEnd"/>
          </w:p>
        </w:tc>
        <w:tc>
          <w:tcPr>
            <w:tcW w:w="1040" w:type="dxa"/>
            <w:tcBorders>
              <w:top w:val="nil"/>
              <w:left w:val="nil"/>
              <w:bottom w:val="nil"/>
              <w:right w:val="single" w:sz="4" w:space="0" w:color="auto"/>
            </w:tcBorders>
            <w:shd w:val="clear" w:color="auto" w:fill="auto"/>
            <w:noWrap/>
            <w:vAlign w:val="bottom"/>
            <w:hideMark/>
          </w:tcPr>
          <w:p w14:paraId="412CE5D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0.4417</w:t>
            </w:r>
          </w:p>
        </w:tc>
        <w:tc>
          <w:tcPr>
            <w:tcW w:w="1040" w:type="dxa"/>
            <w:tcBorders>
              <w:top w:val="nil"/>
              <w:left w:val="nil"/>
              <w:bottom w:val="nil"/>
              <w:right w:val="single" w:sz="4" w:space="0" w:color="auto"/>
            </w:tcBorders>
            <w:shd w:val="clear" w:color="auto" w:fill="auto"/>
            <w:noWrap/>
            <w:vAlign w:val="bottom"/>
            <w:hideMark/>
          </w:tcPr>
          <w:p w14:paraId="727B673D"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0.5579</w:t>
            </w:r>
          </w:p>
        </w:tc>
        <w:tc>
          <w:tcPr>
            <w:tcW w:w="960" w:type="dxa"/>
            <w:tcBorders>
              <w:top w:val="nil"/>
              <w:left w:val="nil"/>
              <w:bottom w:val="nil"/>
              <w:right w:val="single" w:sz="4" w:space="0" w:color="auto"/>
            </w:tcBorders>
            <w:shd w:val="clear" w:color="auto" w:fill="auto"/>
            <w:noWrap/>
            <w:vAlign w:val="bottom"/>
            <w:hideMark/>
          </w:tcPr>
          <w:p w14:paraId="03348E1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0.052</w:t>
            </w:r>
          </w:p>
        </w:tc>
        <w:tc>
          <w:tcPr>
            <w:tcW w:w="1097" w:type="dxa"/>
            <w:tcBorders>
              <w:top w:val="nil"/>
              <w:left w:val="nil"/>
              <w:bottom w:val="nil"/>
              <w:right w:val="single" w:sz="4" w:space="0" w:color="auto"/>
            </w:tcBorders>
            <w:shd w:val="clear" w:color="auto" w:fill="auto"/>
            <w:noWrap/>
            <w:vAlign w:val="bottom"/>
            <w:hideMark/>
          </w:tcPr>
          <w:p w14:paraId="123BD6C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0.4400</w:t>
            </w:r>
          </w:p>
        </w:tc>
        <w:tc>
          <w:tcPr>
            <w:tcW w:w="1097" w:type="dxa"/>
            <w:tcBorders>
              <w:top w:val="nil"/>
              <w:left w:val="nil"/>
              <w:bottom w:val="nil"/>
              <w:right w:val="single" w:sz="4" w:space="0" w:color="auto"/>
            </w:tcBorders>
            <w:shd w:val="clear" w:color="auto" w:fill="auto"/>
            <w:noWrap/>
            <w:vAlign w:val="bottom"/>
            <w:hideMark/>
          </w:tcPr>
          <w:p w14:paraId="1CAC7D80"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0.5280</w:t>
            </w:r>
          </w:p>
        </w:tc>
        <w:tc>
          <w:tcPr>
            <w:tcW w:w="906" w:type="dxa"/>
            <w:tcBorders>
              <w:top w:val="nil"/>
              <w:left w:val="nil"/>
              <w:bottom w:val="nil"/>
              <w:right w:val="single" w:sz="4" w:space="0" w:color="auto"/>
            </w:tcBorders>
            <w:shd w:val="clear" w:color="auto" w:fill="auto"/>
            <w:noWrap/>
            <w:vAlign w:val="bottom"/>
            <w:hideMark/>
          </w:tcPr>
          <w:p w14:paraId="205747C2"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0.054</w:t>
            </w:r>
          </w:p>
        </w:tc>
      </w:tr>
      <w:tr w:rsidR="00B634E6" w:rsidRPr="00EA700F" w14:paraId="2DFB4B36"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796B33DC"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C_MinM</w:t>
            </w:r>
            <w:proofErr w:type="spellEnd"/>
          </w:p>
        </w:tc>
        <w:tc>
          <w:tcPr>
            <w:tcW w:w="1040" w:type="dxa"/>
            <w:tcBorders>
              <w:top w:val="nil"/>
              <w:left w:val="nil"/>
              <w:bottom w:val="nil"/>
              <w:right w:val="single" w:sz="4" w:space="0" w:color="auto"/>
            </w:tcBorders>
            <w:shd w:val="clear" w:color="auto" w:fill="auto"/>
            <w:noWrap/>
            <w:vAlign w:val="bottom"/>
            <w:hideMark/>
          </w:tcPr>
          <w:p w14:paraId="20B189C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0.4919</w:t>
            </w:r>
          </w:p>
        </w:tc>
        <w:tc>
          <w:tcPr>
            <w:tcW w:w="1040" w:type="dxa"/>
            <w:tcBorders>
              <w:top w:val="nil"/>
              <w:left w:val="nil"/>
              <w:bottom w:val="nil"/>
              <w:right w:val="single" w:sz="4" w:space="0" w:color="auto"/>
            </w:tcBorders>
            <w:shd w:val="clear" w:color="auto" w:fill="auto"/>
            <w:noWrap/>
            <w:vAlign w:val="bottom"/>
            <w:hideMark/>
          </w:tcPr>
          <w:p w14:paraId="55FEEE02"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0.5903</w:t>
            </w:r>
          </w:p>
        </w:tc>
        <w:tc>
          <w:tcPr>
            <w:tcW w:w="960" w:type="dxa"/>
            <w:tcBorders>
              <w:top w:val="nil"/>
              <w:left w:val="nil"/>
              <w:bottom w:val="nil"/>
              <w:right w:val="single" w:sz="4" w:space="0" w:color="auto"/>
            </w:tcBorders>
            <w:shd w:val="clear" w:color="auto" w:fill="auto"/>
            <w:noWrap/>
            <w:vAlign w:val="bottom"/>
            <w:hideMark/>
          </w:tcPr>
          <w:p w14:paraId="2FFD995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0.259</w:t>
            </w:r>
          </w:p>
        </w:tc>
        <w:tc>
          <w:tcPr>
            <w:tcW w:w="1097" w:type="dxa"/>
            <w:tcBorders>
              <w:top w:val="nil"/>
              <w:left w:val="nil"/>
              <w:bottom w:val="nil"/>
              <w:right w:val="single" w:sz="4" w:space="0" w:color="auto"/>
            </w:tcBorders>
            <w:shd w:val="clear" w:color="auto" w:fill="auto"/>
            <w:noWrap/>
            <w:vAlign w:val="bottom"/>
            <w:hideMark/>
          </w:tcPr>
          <w:p w14:paraId="2EF09DE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0.3700</w:t>
            </w:r>
          </w:p>
        </w:tc>
        <w:tc>
          <w:tcPr>
            <w:tcW w:w="1097" w:type="dxa"/>
            <w:tcBorders>
              <w:top w:val="nil"/>
              <w:left w:val="nil"/>
              <w:bottom w:val="nil"/>
              <w:right w:val="single" w:sz="4" w:space="0" w:color="auto"/>
            </w:tcBorders>
            <w:shd w:val="clear" w:color="auto" w:fill="auto"/>
            <w:noWrap/>
            <w:vAlign w:val="bottom"/>
            <w:hideMark/>
          </w:tcPr>
          <w:p w14:paraId="5FE6BE6C"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0.4933</w:t>
            </w:r>
          </w:p>
        </w:tc>
        <w:tc>
          <w:tcPr>
            <w:tcW w:w="906" w:type="dxa"/>
            <w:tcBorders>
              <w:top w:val="nil"/>
              <w:left w:val="nil"/>
              <w:bottom w:val="nil"/>
              <w:right w:val="single" w:sz="4" w:space="0" w:color="auto"/>
            </w:tcBorders>
            <w:shd w:val="clear" w:color="auto" w:fill="auto"/>
            <w:noWrap/>
            <w:vAlign w:val="bottom"/>
            <w:hideMark/>
          </w:tcPr>
          <w:p w14:paraId="322419B7"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0.427</w:t>
            </w:r>
          </w:p>
        </w:tc>
      </w:tr>
      <w:tr w:rsidR="00B634E6" w:rsidRPr="00EA700F" w14:paraId="13EFCE5B"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1C81264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MDFAnnUnder0.1</w:t>
            </w:r>
          </w:p>
        </w:tc>
        <w:tc>
          <w:tcPr>
            <w:tcW w:w="1040" w:type="dxa"/>
            <w:tcBorders>
              <w:top w:val="nil"/>
              <w:left w:val="nil"/>
              <w:bottom w:val="nil"/>
              <w:right w:val="single" w:sz="4" w:space="0" w:color="auto"/>
            </w:tcBorders>
            <w:shd w:val="clear" w:color="auto" w:fill="auto"/>
            <w:noWrap/>
            <w:vAlign w:val="bottom"/>
            <w:hideMark/>
          </w:tcPr>
          <w:p w14:paraId="21A5DBC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0.5904</w:t>
            </w:r>
          </w:p>
        </w:tc>
        <w:tc>
          <w:tcPr>
            <w:tcW w:w="1040" w:type="dxa"/>
            <w:tcBorders>
              <w:top w:val="nil"/>
              <w:left w:val="nil"/>
              <w:bottom w:val="nil"/>
              <w:right w:val="single" w:sz="4" w:space="0" w:color="auto"/>
            </w:tcBorders>
            <w:shd w:val="clear" w:color="auto" w:fill="auto"/>
            <w:noWrap/>
            <w:vAlign w:val="bottom"/>
            <w:hideMark/>
          </w:tcPr>
          <w:p w14:paraId="72ECB89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0.6747</w:t>
            </w:r>
          </w:p>
        </w:tc>
        <w:tc>
          <w:tcPr>
            <w:tcW w:w="960" w:type="dxa"/>
            <w:tcBorders>
              <w:top w:val="nil"/>
              <w:left w:val="nil"/>
              <w:bottom w:val="nil"/>
              <w:right w:val="single" w:sz="4" w:space="0" w:color="auto"/>
            </w:tcBorders>
            <w:shd w:val="clear" w:color="auto" w:fill="auto"/>
            <w:noWrap/>
            <w:vAlign w:val="bottom"/>
            <w:hideMark/>
          </w:tcPr>
          <w:p w14:paraId="7E72FA4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0.071</w:t>
            </w:r>
          </w:p>
        </w:tc>
        <w:tc>
          <w:tcPr>
            <w:tcW w:w="1097" w:type="dxa"/>
            <w:tcBorders>
              <w:top w:val="nil"/>
              <w:left w:val="nil"/>
              <w:bottom w:val="nil"/>
              <w:right w:val="single" w:sz="4" w:space="0" w:color="auto"/>
            </w:tcBorders>
            <w:shd w:val="clear" w:color="auto" w:fill="auto"/>
            <w:noWrap/>
            <w:vAlign w:val="bottom"/>
            <w:hideMark/>
          </w:tcPr>
          <w:p w14:paraId="1BF9870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0.5100</w:t>
            </w:r>
          </w:p>
        </w:tc>
        <w:tc>
          <w:tcPr>
            <w:tcW w:w="1097" w:type="dxa"/>
            <w:tcBorders>
              <w:top w:val="nil"/>
              <w:left w:val="nil"/>
              <w:bottom w:val="nil"/>
              <w:right w:val="single" w:sz="4" w:space="0" w:color="auto"/>
            </w:tcBorders>
            <w:shd w:val="clear" w:color="auto" w:fill="auto"/>
            <w:noWrap/>
            <w:vAlign w:val="bottom"/>
            <w:hideMark/>
          </w:tcPr>
          <w:p w14:paraId="4EBE321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0.5829</w:t>
            </w:r>
          </w:p>
        </w:tc>
        <w:tc>
          <w:tcPr>
            <w:tcW w:w="906" w:type="dxa"/>
            <w:tcBorders>
              <w:top w:val="nil"/>
              <w:left w:val="nil"/>
              <w:bottom w:val="nil"/>
              <w:right w:val="single" w:sz="4" w:space="0" w:color="auto"/>
            </w:tcBorders>
            <w:shd w:val="clear" w:color="auto" w:fill="auto"/>
            <w:noWrap/>
            <w:vAlign w:val="bottom"/>
            <w:hideMark/>
          </w:tcPr>
          <w:p w14:paraId="71959E8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0.105</w:t>
            </w:r>
          </w:p>
        </w:tc>
      </w:tr>
      <w:tr w:rsidR="00B634E6" w:rsidRPr="00EA700F" w14:paraId="73D004AB"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71CC31C7"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MDFAnnZer</w:t>
            </w:r>
            <w:proofErr w:type="spellEnd"/>
          </w:p>
        </w:tc>
        <w:tc>
          <w:tcPr>
            <w:tcW w:w="1040" w:type="dxa"/>
            <w:tcBorders>
              <w:top w:val="nil"/>
              <w:left w:val="nil"/>
              <w:bottom w:val="nil"/>
              <w:right w:val="single" w:sz="4" w:space="0" w:color="auto"/>
            </w:tcBorders>
            <w:shd w:val="clear" w:color="auto" w:fill="auto"/>
            <w:noWrap/>
            <w:vAlign w:val="bottom"/>
            <w:hideMark/>
          </w:tcPr>
          <w:p w14:paraId="419E8C6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0.6360</w:t>
            </w:r>
          </w:p>
        </w:tc>
        <w:tc>
          <w:tcPr>
            <w:tcW w:w="1040" w:type="dxa"/>
            <w:tcBorders>
              <w:top w:val="nil"/>
              <w:left w:val="nil"/>
              <w:bottom w:val="nil"/>
              <w:right w:val="single" w:sz="4" w:space="0" w:color="auto"/>
            </w:tcBorders>
            <w:shd w:val="clear" w:color="auto" w:fill="auto"/>
            <w:noWrap/>
            <w:vAlign w:val="bottom"/>
            <w:hideMark/>
          </w:tcPr>
          <w:p w14:paraId="7A7C9DC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0.6938</w:t>
            </w:r>
          </w:p>
        </w:tc>
        <w:tc>
          <w:tcPr>
            <w:tcW w:w="960" w:type="dxa"/>
            <w:tcBorders>
              <w:top w:val="nil"/>
              <w:left w:val="nil"/>
              <w:bottom w:val="nil"/>
              <w:right w:val="single" w:sz="4" w:space="0" w:color="auto"/>
            </w:tcBorders>
            <w:shd w:val="clear" w:color="auto" w:fill="auto"/>
            <w:noWrap/>
            <w:vAlign w:val="bottom"/>
            <w:hideMark/>
          </w:tcPr>
          <w:p w14:paraId="19BE107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0.092</w:t>
            </w:r>
          </w:p>
        </w:tc>
        <w:tc>
          <w:tcPr>
            <w:tcW w:w="1097" w:type="dxa"/>
            <w:tcBorders>
              <w:top w:val="nil"/>
              <w:left w:val="nil"/>
              <w:bottom w:val="nil"/>
              <w:right w:val="single" w:sz="4" w:space="0" w:color="auto"/>
            </w:tcBorders>
            <w:shd w:val="clear" w:color="auto" w:fill="auto"/>
            <w:noWrap/>
            <w:vAlign w:val="bottom"/>
            <w:hideMark/>
          </w:tcPr>
          <w:p w14:paraId="2B8AAD87"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0.5600</w:t>
            </w:r>
          </w:p>
        </w:tc>
        <w:tc>
          <w:tcPr>
            <w:tcW w:w="1097" w:type="dxa"/>
            <w:tcBorders>
              <w:top w:val="nil"/>
              <w:left w:val="nil"/>
              <w:bottom w:val="nil"/>
              <w:right w:val="single" w:sz="4" w:space="0" w:color="auto"/>
            </w:tcBorders>
            <w:shd w:val="clear" w:color="auto" w:fill="auto"/>
            <w:noWrap/>
            <w:vAlign w:val="bottom"/>
            <w:hideMark/>
          </w:tcPr>
          <w:p w14:paraId="022FD70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0.6109</w:t>
            </w:r>
          </w:p>
        </w:tc>
        <w:tc>
          <w:tcPr>
            <w:tcW w:w="906" w:type="dxa"/>
            <w:tcBorders>
              <w:top w:val="nil"/>
              <w:left w:val="nil"/>
              <w:bottom w:val="nil"/>
              <w:right w:val="single" w:sz="4" w:space="0" w:color="auto"/>
            </w:tcBorders>
            <w:shd w:val="clear" w:color="auto" w:fill="auto"/>
            <w:noWrap/>
            <w:vAlign w:val="bottom"/>
            <w:hideMark/>
          </w:tcPr>
          <w:p w14:paraId="0059103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0.130</w:t>
            </w:r>
          </w:p>
        </w:tc>
      </w:tr>
      <w:tr w:rsidR="00B634E6" w:rsidRPr="00EA700F" w14:paraId="59E6469B"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0E4FFA2C"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MDFAnnHSNum</w:t>
            </w:r>
            <w:proofErr w:type="spellEnd"/>
          </w:p>
        </w:tc>
        <w:tc>
          <w:tcPr>
            <w:tcW w:w="1040" w:type="dxa"/>
            <w:tcBorders>
              <w:top w:val="nil"/>
              <w:left w:val="nil"/>
              <w:bottom w:val="nil"/>
              <w:right w:val="single" w:sz="4" w:space="0" w:color="auto"/>
            </w:tcBorders>
            <w:shd w:val="clear" w:color="auto" w:fill="auto"/>
            <w:noWrap/>
            <w:vAlign w:val="bottom"/>
            <w:hideMark/>
          </w:tcPr>
          <w:p w14:paraId="2D3D1C6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0.6885</w:t>
            </w:r>
          </w:p>
        </w:tc>
        <w:tc>
          <w:tcPr>
            <w:tcW w:w="1040" w:type="dxa"/>
            <w:tcBorders>
              <w:top w:val="nil"/>
              <w:left w:val="nil"/>
              <w:bottom w:val="nil"/>
              <w:right w:val="single" w:sz="4" w:space="0" w:color="auto"/>
            </w:tcBorders>
            <w:shd w:val="clear" w:color="auto" w:fill="auto"/>
            <w:noWrap/>
            <w:vAlign w:val="bottom"/>
            <w:hideMark/>
          </w:tcPr>
          <w:p w14:paraId="1C77CB5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0.7184</w:t>
            </w:r>
          </w:p>
        </w:tc>
        <w:tc>
          <w:tcPr>
            <w:tcW w:w="960" w:type="dxa"/>
            <w:tcBorders>
              <w:top w:val="nil"/>
              <w:left w:val="nil"/>
              <w:bottom w:val="nil"/>
              <w:right w:val="single" w:sz="4" w:space="0" w:color="auto"/>
            </w:tcBorders>
            <w:shd w:val="clear" w:color="auto" w:fill="auto"/>
            <w:noWrap/>
            <w:vAlign w:val="bottom"/>
            <w:hideMark/>
          </w:tcPr>
          <w:p w14:paraId="3AC1020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0.262</w:t>
            </w:r>
          </w:p>
        </w:tc>
        <w:tc>
          <w:tcPr>
            <w:tcW w:w="1097" w:type="dxa"/>
            <w:tcBorders>
              <w:top w:val="nil"/>
              <w:left w:val="nil"/>
              <w:bottom w:val="nil"/>
              <w:right w:val="single" w:sz="4" w:space="0" w:color="auto"/>
            </w:tcBorders>
            <w:shd w:val="clear" w:color="auto" w:fill="auto"/>
            <w:noWrap/>
            <w:vAlign w:val="bottom"/>
            <w:hideMark/>
          </w:tcPr>
          <w:p w14:paraId="19789C12"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0.8100</w:t>
            </w:r>
          </w:p>
        </w:tc>
        <w:tc>
          <w:tcPr>
            <w:tcW w:w="1097" w:type="dxa"/>
            <w:tcBorders>
              <w:top w:val="nil"/>
              <w:left w:val="nil"/>
              <w:bottom w:val="nil"/>
              <w:right w:val="single" w:sz="4" w:space="0" w:color="auto"/>
            </w:tcBorders>
            <w:shd w:val="clear" w:color="auto" w:fill="auto"/>
            <w:noWrap/>
            <w:vAlign w:val="bottom"/>
            <w:hideMark/>
          </w:tcPr>
          <w:p w14:paraId="43080ED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0.8100</w:t>
            </w:r>
          </w:p>
        </w:tc>
        <w:tc>
          <w:tcPr>
            <w:tcW w:w="906" w:type="dxa"/>
            <w:tcBorders>
              <w:top w:val="nil"/>
              <w:left w:val="nil"/>
              <w:bottom w:val="nil"/>
              <w:right w:val="single" w:sz="4" w:space="0" w:color="auto"/>
            </w:tcBorders>
            <w:shd w:val="clear" w:color="auto" w:fill="auto"/>
            <w:noWrap/>
            <w:vAlign w:val="bottom"/>
            <w:hideMark/>
          </w:tcPr>
          <w:p w14:paraId="272F3A8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0.254</w:t>
            </w:r>
          </w:p>
        </w:tc>
      </w:tr>
      <w:tr w:rsidR="00B634E6" w:rsidRPr="00EA700F" w14:paraId="6C662320" w14:textId="77777777" w:rsidTr="00630B93">
        <w:trPr>
          <w:trHeight w:val="288"/>
        </w:trPr>
        <w:tc>
          <w:tcPr>
            <w:tcW w:w="2462" w:type="dxa"/>
            <w:tcBorders>
              <w:top w:val="nil"/>
              <w:left w:val="single" w:sz="4" w:space="0" w:color="auto"/>
              <w:bottom w:val="single" w:sz="4" w:space="0" w:color="auto"/>
              <w:right w:val="single" w:sz="4" w:space="0" w:color="auto"/>
            </w:tcBorders>
            <w:shd w:val="clear" w:color="auto" w:fill="auto"/>
            <w:noWrap/>
            <w:vAlign w:val="bottom"/>
            <w:hideMark/>
          </w:tcPr>
          <w:p w14:paraId="722F8D29"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lastRenderedPageBreak/>
              <w:t>CVAnnLSMeanDur</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14:paraId="25474A7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0.8483</w:t>
            </w:r>
          </w:p>
        </w:tc>
        <w:tc>
          <w:tcPr>
            <w:tcW w:w="1040" w:type="dxa"/>
            <w:tcBorders>
              <w:top w:val="nil"/>
              <w:left w:val="nil"/>
              <w:bottom w:val="single" w:sz="4" w:space="0" w:color="auto"/>
              <w:right w:val="single" w:sz="4" w:space="0" w:color="auto"/>
            </w:tcBorders>
            <w:shd w:val="clear" w:color="auto" w:fill="auto"/>
            <w:noWrap/>
            <w:vAlign w:val="bottom"/>
            <w:hideMark/>
          </w:tcPr>
          <w:p w14:paraId="3B0098B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0.8483</w:t>
            </w:r>
          </w:p>
        </w:tc>
        <w:tc>
          <w:tcPr>
            <w:tcW w:w="960" w:type="dxa"/>
            <w:tcBorders>
              <w:top w:val="nil"/>
              <w:left w:val="nil"/>
              <w:bottom w:val="single" w:sz="4" w:space="0" w:color="auto"/>
              <w:right w:val="single" w:sz="4" w:space="0" w:color="auto"/>
            </w:tcBorders>
            <w:shd w:val="clear" w:color="auto" w:fill="auto"/>
            <w:noWrap/>
            <w:vAlign w:val="bottom"/>
            <w:hideMark/>
          </w:tcPr>
          <w:p w14:paraId="20EF640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0.029</w:t>
            </w:r>
          </w:p>
        </w:tc>
        <w:tc>
          <w:tcPr>
            <w:tcW w:w="1097" w:type="dxa"/>
            <w:tcBorders>
              <w:top w:val="nil"/>
              <w:left w:val="nil"/>
              <w:bottom w:val="single" w:sz="4" w:space="0" w:color="auto"/>
              <w:right w:val="single" w:sz="4" w:space="0" w:color="auto"/>
            </w:tcBorders>
            <w:shd w:val="clear" w:color="auto" w:fill="auto"/>
            <w:noWrap/>
            <w:vAlign w:val="bottom"/>
            <w:hideMark/>
          </w:tcPr>
          <w:p w14:paraId="1ADCEED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0.6700</w:t>
            </w:r>
          </w:p>
        </w:tc>
        <w:tc>
          <w:tcPr>
            <w:tcW w:w="1097" w:type="dxa"/>
            <w:tcBorders>
              <w:top w:val="nil"/>
              <w:left w:val="nil"/>
              <w:bottom w:val="single" w:sz="4" w:space="0" w:color="auto"/>
              <w:right w:val="single" w:sz="4" w:space="0" w:color="auto"/>
            </w:tcBorders>
            <w:shd w:val="clear" w:color="auto" w:fill="auto"/>
            <w:noWrap/>
            <w:vAlign w:val="bottom"/>
            <w:hideMark/>
          </w:tcPr>
          <w:p w14:paraId="28C415A3"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0.6991</w:t>
            </w:r>
          </w:p>
        </w:tc>
        <w:tc>
          <w:tcPr>
            <w:tcW w:w="906" w:type="dxa"/>
            <w:tcBorders>
              <w:top w:val="nil"/>
              <w:left w:val="nil"/>
              <w:bottom w:val="single" w:sz="4" w:space="0" w:color="auto"/>
              <w:right w:val="single" w:sz="4" w:space="0" w:color="auto"/>
            </w:tcBorders>
            <w:shd w:val="clear" w:color="auto" w:fill="auto"/>
            <w:noWrap/>
            <w:vAlign w:val="bottom"/>
            <w:hideMark/>
          </w:tcPr>
          <w:p w14:paraId="057ECC0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0.028</w:t>
            </w:r>
          </w:p>
        </w:tc>
      </w:tr>
    </w:tbl>
    <w:p w14:paraId="255E62C3" w14:textId="1708974A" w:rsidR="00B634E6" w:rsidRPr="00EA700F" w:rsidRDefault="00B634E6" w:rsidP="00A22B81">
      <w:pPr>
        <w:pStyle w:val="Caption"/>
        <w:spacing w:line="360" w:lineRule="auto"/>
        <w:jc w:val="both"/>
        <w:rPr>
          <w:sz w:val="22"/>
          <w:szCs w:val="22"/>
        </w:rPr>
      </w:pPr>
      <w:r w:rsidRPr="00EA700F">
        <w:rPr>
          <w:sz w:val="22"/>
          <w:szCs w:val="22"/>
        </w:rPr>
        <w:t xml:space="preserve">Table </w:t>
      </w:r>
      <w:r w:rsidR="00335320" w:rsidRPr="00EA700F">
        <w:rPr>
          <w:sz w:val="22"/>
          <w:szCs w:val="22"/>
        </w:rPr>
        <w:t>2</w:t>
      </w:r>
      <w:r w:rsidRPr="00EA700F">
        <w:rPr>
          <w:sz w:val="22"/>
          <w:szCs w:val="22"/>
        </w:rPr>
        <w:t xml:space="preserve">. Statistics for regression models comparing hydrological metrics with site mean wood density. Statistics for models where Snowy Creek was removed as an outlier are also given. The initial best fit for AS20YrARInorm was an exponential model, but after removal of Snowy Creek, values are given for a quadratic model which gave a better fit. The model for MA.7daysMinMeannorm was made non-significant after p-value adjustment, but returned to significance following outlier removal. </w:t>
      </w:r>
      <w:proofErr w:type="spellStart"/>
      <w:r w:rsidRPr="00EA700F">
        <w:rPr>
          <w:sz w:val="22"/>
          <w:szCs w:val="22"/>
        </w:rPr>
        <w:t>CVAnnHSPeak</w:t>
      </w:r>
      <w:proofErr w:type="spellEnd"/>
      <w:r w:rsidRPr="00EA700F">
        <w:rPr>
          <w:sz w:val="22"/>
          <w:szCs w:val="22"/>
        </w:rPr>
        <w:t xml:space="preserve"> was non-significant initially but a significant relationship became apparent following outlier removal. </w:t>
      </w:r>
    </w:p>
    <w:p w14:paraId="56159FFE" w14:textId="165AF66F" w:rsidR="00B634E6" w:rsidRPr="00EA700F" w:rsidRDefault="00DE7C76" w:rsidP="00A22B81">
      <w:pPr>
        <w:spacing w:line="360" w:lineRule="auto"/>
        <w:jc w:val="both"/>
      </w:pPr>
      <w:r>
        <w:t>To summarise</w:t>
      </w:r>
      <w:r w:rsidR="00B634E6" w:rsidRPr="00EA700F">
        <w:t xml:space="preserve">, we found evidence that mean riparian wood density is positively related to flood magnitude and extremes in flow rise and fall rates, as well as to </w:t>
      </w:r>
      <w:r w:rsidR="001133BD">
        <w:t>unpredictability</w:t>
      </w:r>
      <w:r w:rsidR="00B634E6" w:rsidRPr="00EA700F">
        <w:t xml:space="preserve"> in flow conditions over daily, seasonal and annual timescales. </w:t>
      </w:r>
      <w:r w:rsidR="001133BD">
        <w:t xml:space="preserve">Strong relationships with measures of </w:t>
      </w:r>
      <w:proofErr w:type="spellStart"/>
      <w:r w:rsidR="001133BD">
        <w:t>interannual</w:t>
      </w:r>
      <w:proofErr w:type="spellEnd"/>
      <w:r w:rsidR="001133BD">
        <w:t xml:space="preserve"> variability point to years in which the environment was extreme as powerful selectors for high wood density. </w:t>
      </w:r>
      <w:r w:rsidR="00B634E6" w:rsidRPr="00EA700F">
        <w:t xml:space="preserve">Patterns of class-wise clustering were generally maintained across continua of specific hydrological gradients. Relationships were described best by quadratic or exponential models, indicating a saturation point above which variation in hydrology ceases to be associated with changes in mean wood density. Removing Snowy Creek as an outlier value substantially tightens up relationships between wood density and hydrological metrics (see Table 2.). This site was located within Victoria State Forestry and appeared to have been </w:t>
      </w:r>
      <w:r w:rsidR="009546E2">
        <w:t>cleared by logging within the last 20-30 years</w:t>
      </w:r>
      <w:r w:rsidR="00B634E6" w:rsidRPr="00EA700F">
        <w:t xml:space="preserve">. Compared with upstream reaches within National Parks land, </w:t>
      </w:r>
      <w:proofErr w:type="spellStart"/>
      <w:r w:rsidR="00B634E6" w:rsidRPr="00EA700F">
        <w:t>seral</w:t>
      </w:r>
      <w:proofErr w:type="spellEnd"/>
      <w:r w:rsidR="00B634E6" w:rsidRPr="00EA700F">
        <w:t xml:space="preserve"> scrubs of dense stemmed </w:t>
      </w:r>
      <w:r w:rsidR="00B634E6" w:rsidRPr="00EA700F">
        <w:rPr>
          <w:i/>
        </w:rPr>
        <w:t>Leptospermum spp.</w:t>
      </w:r>
      <w:r w:rsidR="00B634E6" w:rsidRPr="00EA700F">
        <w:t xml:space="preserve"> were considerably more abundant, which ma</w:t>
      </w:r>
      <w:r w:rsidR="00C83CE4">
        <w:t>y account for this discrepancy.</w:t>
      </w:r>
    </w:p>
    <w:p w14:paraId="16A7BCDA" w14:textId="06A3463F" w:rsidR="00B634E6" w:rsidRPr="00EA700F" w:rsidRDefault="00B634E6" w:rsidP="00A22B81">
      <w:pPr>
        <w:spacing w:line="360" w:lineRule="auto"/>
        <w:jc w:val="both"/>
        <w:rPr>
          <w:i/>
        </w:rPr>
      </w:pPr>
      <w:r w:rsidRPr="00EA700F">
        <w:rPr>
          <w:i/>
        </w:rPr>
        <w:t>What are the principal comp</w:t>
      </w:r>
      <w:r w:rsidR="00C83CE4">
        <w:rPr>
          <w:i/>
        </w:rPr>
        <w:t xml:space="preserve">onents of variation in hydrological conditions </w:t>
      </w:r>
      <w:r w:rsidRPr="00EA700F">
        <w:rPr>
          <w:i/>
        </w:rPr>
        <w:t>that predict wood density?</w:t>
      </w:r>
    </w:p>
    <w:p w14:paraId="3C04A80D" w14:textId="612E3BF4" w:rsidR="00B634E6" w:rsidRPr="00EA700F" w:rsidRDefault="00B634E6" w:rsidP="00A22B81">
      <w:pPr>
        <w:spacing w:line="360" w:lineRule="auto"/>
        <w:jc w:val="both"/>
      </w:pPr>
      <w:r w:rsidRPr="00EA700F">
        <w:t>Hydrological metrics that significantly explain</w:t>
      </w:r>
      <w:r w:rsidR="00CC24F8" w:rsidRPr="00EA700F">
        <w:t>ed</w:t>
      </w:r>
      <w:r w:rsidRPr="00EA700F">
        <w:t xml:space="preserve"> site mean wood density were highly </w:t>
      </w:r>
      <w:proofErr w:type="spellStart"/>
      <w:r w:rsidRPr="00EA700F">
        <w:t>autocorrelated</w:t>
      </w:r>
      <w:proofErr w:type="spellEnd"/>
      <w:r w:rsidRPr="00EA700F">
        <w:t xml:space="preserve"> in our dataset. Principal Components Analysis (PCA) identified one dominant axis within these metrics, representing 83.78% of variation. The remaining variation was split between several minor axes.</w:t>
      </w:r>
    </w:p>
    <w:tbl>
      <w:tblPr>
        <w:tblW w:w="9193" w:type="dxa"/>
        <w:tblInd w:w="-5" w:type="dxa"/>
        <w:tblLook w:val="04A0" w:firstRow="1" w:lastRow="0" w:firstColumn="1" w:lastColumn="0" w:noHBand="0" w:noVBand="1"/>
      </w:tblPr>
      <w:tblGrid>
        <w:gridCol w:w="1654"/>
        <w:gridCol w:w="774"/>
        <w:gridCol w:w="875"/>
        <w:gridCol w:w="875"/>
        <w:gridCol w:w="875"/>
        <w:gridCol w:w="774"/>
        <w:gridCol w:w="875"/>
        <w:gridCol w:w="875"/>
        <w:gridCol w:w="875"/>
        <w:gridCol w:w="774"/>
      </w:tblGrid>
      <w:tr w:rsidR="00630B93" w:rsidRPr="009546E2" w14:paraId="0A81D936" w14:textId="77777777" w:rsidTr="00630B93">
        <w:trPr>
          <w:trHeight w:val="218"/>
        </w:trPr>
        <w:tc>
          <w:tcPr>
            <w:tcW w:w="1654" w:type="dxa"/>
            <w:tcBorders>
              <w:top w:val="single" w:sz="4" w:space="0" w:color="auto"/>
              <w:left w:val="single" w:sz="4" w:space="0" w:color="auto"/>
              <w:bottom w:val="single" w:sz="4" w:space="0" w:color="auto"/>
              <w:right w:val="nil"/>
            </w:tcBorders>
            <w:shd w:val="clear" w:color="auto" w:fill="auto"/>
            <w:noWrap/>
            <w:vAlign w:val="bottom"/>
            <w:hideMark/>
          </w:tcPr>
          <w:p w14:paraId="1BD7832A" w14:textId="77777777" w:rsidR="00630B93" w:rsidRPr="009546E2" w:rsidRDefault="00630B93" w:rsidP="00417C34">
            <w:pPr>
              <w:spacing w:after="0" w:line="276" w:lineRule="auto"/>
              <w:rPr>
                <w:rFonts w:eastAsia="Times New Roman" w:cs="Times New Roman"/>
                <w:color w:val="000000"/>
                <w:sz w:val="20"/>
                <w:szCs w:val="20"/>
                <w:lang w:eastAsia="en-AU"/>
              </w:rPr>
            </w:pPr>
            <w:r w:rsidRPr="009546E2">
              <w:rPr>
                <w:rFonts w:eastAsia="Times New Roman" w:cs="Times New Roman"/>
                <w:color w:val="000000"/>
                <w:sz w:val="20"/>
                <w:szCs w:val="20"/>
                <w:lang w:eastAsia="en-AU"/>
              </w:rPr>
              <w:t> </w:t>
            </w:r>
          </w:p>
        </w:tc>
        <w:tc>
          <w:tcPr>
            <w:tcW w:w="769" w:type="dxa"/>
            <w:tcBorders>
              <w:top w:val="single" w:sz="4" w:space="0" w:color="auto"/>
              <w:left w:val="nil"/>
              <w:bottom w:val="single" w:sz="4" w:space="0" w:color="auto"/>
              <w:right w:val="nil"/>
            </w:tcBorders>
            <w:shd w:val="clear" w:color="auto" w:fill="auto"/>
            <w:noWrap/>
            <w:vAlign w:val="bottom"/>
            <w:hideMark/>
          </w:tcPr>
          <w:p w14:paraId="35CF9AAE"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PC1</w:t>
            </w:r>
          </w:p>
        </w:tc>
        <w:tc>
          <w:tcPr>
            <w:tcW w:w="872" w:type="dxa"/>
            <w:tcBorders>
              <w:top w:val="single" w:sz="4" w:space="0" w:color="auto"/>
              <w:left w:val="nil"/>
              <w:bottom w:val="single" w:sz="4" w:space="0" w:color="auto"/>
              <w:right w:val="nil"/>
            </w:tcBorders>
            <w:shd w:val="clear" w:color="auto" w:fill="auto"/>
            <w:noWrap/>
            <w:vAlign w:val="bottom"/>
            <w:hideMark/>
          </w:tcPr>
          <w:p w14:paraId="786DD66E"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PC2</w:t>
            </w:r>
          </w:p>
        </w:tc>
        <w:tc>
          <w:tcPr>
            <w:tcW w:w="872" w:type="dxa"/>
            <w:tcBorders>
              <w:top w:val="single" w:sz="4" w:space="0" w:color="auto"/>
              <w:left w:val="nil"/>
              <w:bottom w:val="single" w:sz="4" w:space="0" w:color="auto"/>
              <w:right w:val="nil"/>
            </w:tcBorders>
            <w:shd w:val="clear" w:color="auto" w:fill="auto"/>
            <w:noWrap/>
            <w:vAlign w:val="bottom"/>
            <w:hideMark/>
          </w:tcPr>
          <w:p w14:paraId="28C83645"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PC3</w:t>
            </w:r>
          </w:p>
        </w:tc>
        <w:tc>
          <w:tcPr>
            <w:tcW w:w="872" w:type="dxa"/>
            <w:tcBorders>
              <w:top w:val="single" w:sz="4" w:space="0" w:color="auto"/>
              <w:left w:val="nil"/>
              <w:bottom w:val="single" w:sz="4" w:space="0" w:color="auto"/>
              <w:right w:val="nil"/>
            </w:tcBorders>
            <w:shd w:val="clear" w:color="auto" w:fill="auto"/>
            <w:noWrap/>
            <w:vAlign w:val="bottom"/>
            <w:hideMark/>
          </w:tcPr>
          <w:p w14:paraId="23D6B5BB"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PC4</w:t>
            </w:r>
          </w:p>
        </w:tc>
        <w:tc>
          <w:tcPr>
            <w:tcW w:w="769" w:type="dxa"/>
            <w:tcBorders>
              <w:top w:val="single" w:sz="4" w:space="0" w:color="auto"/>
              <w:left w:val="nil"/>
              <w:bottom w:val="single" w:sz="4" w:space="0" w:color="auto"/>
              <w:right w:val="nil"/>
            </w:tcBorders>
            <w:shd w:val="clear" w:color="auto" w:fill="auto"/>
            <w:noWrap/>
            <w:vAlign w:val="bottom"/>
            <w:hideMark/>
          </w:tcPr>
          <w:p w14:paraId="7F069767"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PC5</w:t>
            </w:r>
          </w:p>
        </w:tc>
        <w:tc>
          <w:tcPr>
            <w:tcW w:w="872" w:type="dxa"/>
            <w:tcBorders>
              <w:top w:val="single" w:sz="4" w:space="0" w:color="auto"/>
              <w:left w:val="nil"/>
              <w:bottom w:val="single" w:sz="4" w:space="0" w:color="auto"/>
              <w:right w:val="nil"/>
            </w:tcBorders>
            <w:shd w:val="clear" w:color="auto" w:fill="auto"/>
            <w:noWrap/>
            <w:vAlign w:val="bottom"/>
            <w:hideMark/>
          </w:tcPr>
          <w:p w14:paraId="3AEB4DC5"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PC6</w:t>
            </w:r>
          </w:p>
        </w:tc>
        <w:tc>
          <w:tcPr>
            <w:tcW w:w="872" w:type="dxa"/>
            <w:tcBorders>
              <w:top w:val="single" w:sz="4" w:space="0" w:color="auto"/>
              <w:left w:val="nil"/>
              <w:bottom w:val="single" w:sz="4" w:space="0" w:color="auto"/>
              <w:right w:val="nil"/>
            </w:tcBorders>
            <w:shd w:val="clear" w:color="auto" w:fill="auto"/>
            <w:noWrap/>
            <w:vAlign w:val="bottom"/>
            <w:hideMark/>
          </w:tcPr>
          <w:p w14:paraId="70134213"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PC7</w:t>
            </w:r>
          </w:p>
        </w:tc>
        <w:tc>
          <w:tcPr>
            <w:tcW w:w="872" w:type="dxa"/>
            <w:tcBorders>
              <w:top w:val="single" w:sz="4" w:space="0" w:color="auto"/>
              <w:left w:val="nil"/>
              <w:bottom w:val="single" w:sz="4" w:space="0" w:color="auto"/>
              <w:right w:val="nil"/>
            </w:tcBorders>
            <w:shd w:val="clear" w:color="auto" w:fill="auto"/>
            <w:noWrap/>
            <w:vAlign w:val="bottom"/>
            <w:hideMark/>
          </w:tcPr>
          <w:p w14:paraId="2DDAC5FE"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PC8</w:t>
            </w:r>
          </w:p>
        </w:tc>
        <w:tc>
          <w:tcPr>
            <w:tcW w:w="769" w:type="dxa"/>
            <w:tcBorders>
              <w:top w:val="single" w:sz="4" w:space="0" w:color="auto"/>
              <w:left w:val="nil"/>
              <w:bottom w:val="single" w:sz="4" w:space="0" w:color="auto"/>
              <w:right w:val="single" w:sz="4" w:space="0" w:color="auto"/>
            </w:tcBorders>
            <w:shd w:val="clear" w:color="auto" w:fill="auto"/>
            <w:noWrap/>
            <w:vAlign w:val="bottom"/>
            <w:hideMark/>
          </w:tcPr>
          <w:p w14:paraId="3CEA7B1D"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PC9</w:t>
            </w:r>
          </w:p>
        </w:tc>
      </w:tr>
      <w:tr w:rsidR="00630B93" w:rsidRPr="009546E2" w14:paraId="3CB3E98D" w14:textId="77777777" w:rsidTr="00630B93">
        <w:trPr>
          <w:trHeight w:val="218"/>
        </w:trPr>
        <w:tc>
          <w:tcPr>
            <w:tcW w:w="16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769FA5" w14:textId="77777777" w:rsidR="00630B93" w:rsidRPr="009546E2" w:rsidRDefault="00630B93" w:rsidP="00417C34">
            <w:pPr>
              <w:spacing w:after="0" w:line="276" w:lineRule="auto"/>
              <w:rPr>
                <w:rFonts w:eastAsia="Times New Roman" w:cs="Times New Roman"/>
                <w:color w:val="000000"/>
                <w:sz w:val="20"/>
                <w:szCs w:val="20"/>
                <w:lang w:eastAsia="en-AU"/>
              </w:rPr>
            </w:pPr>
            <w:r w:rsidRPr="009546E2">
              <w:rPr>
                <w:rFonts w:eastAsia="Times New Roman" w:cs="Times New Roman"/>
                <w:color w:val="000000"/>
                <w:sz w:val="20"/>
                <w:szCs w:val="20"/>
                <w:lang w:eastAsia="en-AU"/>
              </w:rPr>
              <w:t>Standard deviation</w:t>
            </w:r>
          </w:p>
        </w:tc>
        <w:tc>
          <w:tcPr>
            <w:tcW w:w="769" w:type="dxa"/>
            <w:tcBorders>
              <w:top w:val="nil"/>
              <w:left w:val="nil"/>
              <w:bottom w:val="nil"/>
              <w:right w:val="nil"/>
            </w:tcBorders>
            <w:shd w:val="clear" w:color="auto" w:fill="auto"/>
            <w:noWrap/>
            <w:vAlign w:val="bottom"/>
            <w:hideMark/>
          </w:tcPr>
          <w:p w14:paraId="0BD74B2C" w14:textId="77777777" w:rsidR="00630B93" w:rsidRPr="009546E2" w:rsidRDefault="00630B93" w:rsidP="00417C34">
            <w:pPr>
              <w:spacing w:after="0" w:line="276"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2.8961</w:t>
            </w:r>
          </w:p>
        </w:tc>
        <w:tc>
          <w:tcPr>
            <w:tcW w:w="872" w:type="dxa"/>
            <w:tcBorders>
              <w:top w:val="nil"/>
              <w:left w:val="nil"/>
              <w:bottom w:val="nil"/>
              <w:right w:val="nil"/>
            </w:tcBorders>
            <w:shd w:val="clear" w:color="auto" w:fill="auto"/>
            <w:noWrap/>
            <w:vAlign w:val="bottom"/>
            <w:hideMark/>
          </w:tcPr>
          <w:p w14:paraId="5D6B7C5F" w14:textId="77777777" w:rsidR="00630B93" w:rsidRPr="009546E2" w:rsidRDefault="00630B93" w:rsidP="00417C34">
            <w:pPr>
              <w:spacing w:after="0" w:line="276"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0.85829</w:t>
            </w:r>
          </w:p>
        </w:tc>
        <w:tc>
          <w:tcPr>
            <w:tcW w:w="872" w:type="dxa"/>
            <w:tcBorders>
              <w:top w:val="nil"/>
              <w:left w:val="nil"/>
              <w:bottom w:val="nil"/>
              <w:right w:val="nil"/>
            </w:tcBorders>
            <w:shd w:val="clear" w:color="auto" w:fill="auto"/>
            <w:noWrap/>
            <w:vAlign w:val="bottom"/>
            <w:hideMark/>
          </w:tcPr>
          <w:p w14:paraId="7F8F3AD9"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0.55727</w:t>
            </w:r>
          </w:p>
        </w:tc>
        <w:tc>
          <w:tcPr>
            <w:tcW w:w="872" w:type="dxa"/>
            <w:tcBorders>
              <w:top w:val="nil"/>
              <w:left w:val="nil"/>
              <w:bottom w:val="nil"/>
              <w:right w:val="nil"/>
            </w:tcBorders>
            <w:shd w:val="clear" w:color="auto" w:fill="auto"/>
            <w:noWrap/>
            <w:vAlign w:val="bottom"/>
            <w:hideMark/>
          </w:tcPr>
          <w:p w14:paraId="34D19E14"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0.52554</w:t>
            </w:r>
          </w:p>
        </w:tc>
        <w:tc>
          <w:tcPr>
            <w:tcW w:w="769" w:type="dxa"/>
            <w:tcBorders>
              <w:top w:val="nil"/>
              <w:left w:val="nil"/>
              <w:bottom w:val="nil"/>
              <w:right w:val="nil"/>
            </w:tcBorders>
            <w:shd w:val="clear" w:color="auto" w:fill="auto"/>
            <w:noWrap/>
            <w:vAlign w:val="bottom"/>
            <w:hideMark/>
          </w:tcPr>
          <w:p w14:paraId="68AA39DC"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0.3549</w:t>
            </w:r>
          </w:p>
        </w:tc>
        <w:tc>
          <w:tcPr>
            <w:tcW w:w="872" w:type="dxa"/>
            <w:tcBorders>
              <w:top w:val="nil"/>
              <w:left w:val="nil"/>
              <w:bottom w:val="nil"/>
              <w:right w:val="nil"/>
            </w:tcBorders>
            <w:shd w:val="clear" w:color="auto" w:fill="auto"/>
            <w:noWrap/>
            <w:vAlign w:val="bottom"/>
            <w:hideMark/>
          </w:tcPr>
          <w:p w14:paraId="657A8988"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0.25338</w:t>
            </w:r>
          </w:p>
        </w:tc>
        <w:tc>
          <w:tcPr>
            <w:tcW w:w="872" w:type="dxa"/>
            <w:tcBorders>
              <w:top w:val="nil"/>
              <w:left w:val="nil"/>
              <w:bottom w:val="nil"/>
              <w:right w:val="nil"/>
            </w:tcBorders>
            <w:shd w:val="clear" w:color="auto" w:fill="auto"/>
            <w:noWrap/>
            <w:vAlign w:val="bottom"/>
            <w:hideMark/>
          </w:tcPr>
          <w:p w14:paraId="28FB13BA"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0.21775</w:t>
            </w:r>
          </w:p>
        </w:tc>
        <w:tc>
          <w:tcPr>
            <w:tcW w:w="872" w:type="dxa"/>
            <w:tcBorders>
              <w:top w:val="nil"/>
              <w:left w:val="nil"/>
              <w:bottom w:val="nil"/>
              <w:right w:val="nil"/>
            </w:tcBorders>
            <w:shd w:val="clear" w:color="auto" w:fill="auto"/>
            <w:noWrap/>
            <w:vAlign w:val="bottom"/>
            <w:hideMark/>
          </w:tcPr>
          <w:p w14:paraId="4330A0EF"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0.1683</w:t>
            </w:r>
          </w:p>
        </w:tc>
        <w:tc>
          <w:tcPr>
            <w:tcW w:w="769" w:type="dxa"/>
            <w:tcBorders>
              <w:top w:val="nil"/>
              <w:left w:val="nil"/>
              <w:bottom w:val="nil"/>
              <w:right w:val="single" w:sz="4" w:space="0" w:color="auto"/>
            </w:tcBorders>
            <w:shd w:val="clear" w:color="auto" w:fill="auto"/>
            <w:noWrap/>
            <w:vAlign w:val="bottom"/>
            <w:hideMark/>
          </w:tcPr>
          <w:p w14:paraId="3B9ACCE9"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0.1342</w:t>
            </w:r>
          </w:p>
        </w:tc>
      </w:tr>
      <w:tr w:rsidR="00630B93" w:rsidRPr="009546E2" w14:paraId="2DDECB0E" w14:textId="77777777" w:rsidTr="00630B93">
        <w:trPr>
          <w:trHeight w:val="218"/>
        </w:trPr>
        <w:tc>
          <w:tcPr>
            <w:tcW w:w="16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139712" w14:textId="77777777" w:rsidR="00630B93" w:rsidRPr="009546E2" w:rsidRDefault="00630B93" w:rsidP="00417C34">
            <w:pPr>
              <w:spacing w:after="0" w:line="276" w:lineRule="auto"/>
              <w:rPr>
                <w:rFonts w:eastAsia="Times New Roman" w:cs="Times New Roman"/>
                <w:color w:val="000000"/>
                <w:sz w:val="20"/>
                <w:szCs w:val="20"/>
                <w:lang w:eastAsia="en-AU"/>
              </w:rPr>
            </w:pPr>
            <w:r w:rsidRPr="009546E2">
              <w:rPr>
                <w:rFonts w:eastAsia="Times New Roman" w:cs="Times New Roman"/>
                <w:color w:val="000000"/>
                <w:sz w:val="20"/>
                <w:szCs w:val="20"/>
                <w:lang w:eastAsia="en-AU"/>
              </w:rPr>
              <w:t>Proportion of variance</w:t>
            </w:r>
          </w:p>
        </w:tc>
        <w:tc>
          <w:tcPr>
            <w:tcW w:w="769" w:type="dxa"/>
            <w:tcBorders>
              <w:top w:val="nil"/>
              <w:left w:val="nil"/>
              <w:bottom w:val="nil"/>
              <w:right w:val="nil"/>
            </w:tcBorders>
            <w:shd w:val="clear" w:color="auto" w:fill="auto"/>
            <w:noWrap/>
            <w:vAlign w:val="bottom"/>
            <w:hideMark/>
          </w:tcPr>
          <w:p w14:paraId="53976701" w14:textId="77777777" w:rsidR="00630B93" w:rsidRPr="009546E2" w:rsidRDefault="00630B93" w:rsidP="00417C34">
            <w:pPr>
              <w:spacing w:after="0" w:line="276"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0.8387</w:t>
            </w:r>
          </w:p>
        </w:tc>
        <w:tc>
          <w:tcPr>
            <w:tcW w:w="872" w:type="dxa"/>
            <w:tcBorders>
              <w:top w:val="nil"/>
              <w:left w:val="nil"/>
              <w:bottom w:val="nil"/>
              <w:right w:val="nil"/>
            </w:tcBorders>
            <w:shd w:val="clear" w:color="auto" w:fill="auto"/>
            <w:noWrap/>
            <w:vAlign w:val="bottom"/>
            <w:hideMark/>
          </w:tcPr>
          <w:p w14:paraId="7257668E" w14:textId="77777777" w:rsidR="00630B93" w:rsidRPr="009546E2" w:rsidRDefault="00630B93" w:rsidP="00417C34">
            <w:pPr>
              <w:spacing w:after="0" w:line="276"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0.07367</w:t>
            </w:r>
          </w:p>
        </w:tc>
        <w:tc>
          <w:tcPr>
            <w:tcW w:w="872" w:type="dxa"/>
            <w:tcBorders>
              <w:top w:val="nil"/>
              <w:left w:val="nil"/>
              <w:bottom w:val="nil"/>
              <w:right w:val="nil"/>
            </w:tcBorders>
            <w:shd w:val="clear" w:color="auto" w:fill="auto"/>
            <w:noWrap/>
            <w:vAlign w:val="bottom"/>
            <w:hideMark/>
          </w:tcPr>
          <w:p w14:paraId="1E064395"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0.03106</w:t>
            </w:r>
          </w:p>
        </w:tc>
        <w:tc>
          <w:tcPr>
            <w:tcW w:w="872" w:type="dxa"/>
            <w:tcBorders>
              <w:top w:val="nil"/>
              <w:left w:val="nil"/>
              <w:bottom w:val="nil"/>
              <w:right w:val="nil"/>
            </w:tcBorders>
            <w:shd w:val="clear" w:color="auto" w:fill="auto"/>
            <w:noWrap/>
            <w:vAlign w:val="bottom"/>
            <w:hideMark/>
          </w:tcPr>
          <w:p w14:paraId="715B777A"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0.2762</w:t>
            </w:r>
          </w:p>
        </w:tc>
        <w:tc>
          <w:tcPr>
            <w:tcW w:w="769" w:type="dxa"/>
            <w:tcBorders>
              <w:top w:val="nil"/>
              <w:left w:val="nil"/>
              <w:bottom w:val="nil"/>
              <w:right w:val="nil"/>
            </w:tcBorders>
            <w:shd w:val="clear" w:color="auto" w:fill="auto"/>
            <w:noWrap/>
            <w:vAlign w:val="bottom"/>
            <w:hideMark/>
          </w:tcPr>
          <w:p w14:paraId="5D03870B"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0.0126</w:t>
            </w:r>
          </w:p>
        </w:tc>
        <w:tc>
          <w:tcPr>
            <w:tcW w:w="872" w:type="dxa"/>
            <w:tcBorders>
              <w:top w:val="nil"/>
              <w:left w:val="nil"/>
              <w:bottom w:val="nil"/>
              <w:right w:val="nil"/>
            </w:tcBorders>
            <w:shd w:val="clear" w:color="auto" w:fill="auto"/>
            <w:noWrap/>
            <w:vAlign w:val="bottom"/>
            <w:hideMark/>
          </w:tcPr>
          <w:p w14:paraId="6B60976C"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0.00642</w:t>
            </w:r>
          </w:p>
        </w:tc>
        <w:tc>
          <w:tcPr>
            <w:tcW w:w="872" w:type="dxa"/>
            <w:tcBorders>
              <w:top w:val="nil"/>
              <w:left w:val="nil"/>
              <w:bottom w:val="nil"/>
              <w:right w:val="nil"/>
            </w:tcBorders>
            <w:shd w:val="clear" w:color="auto" w:fill="auto"/>
            <w:noWrap/>
            <w:vAlign w:val="bottom"/>
            <w:hideMark/>
          </w:tcPr>
          <w:p w14:paraId="739DEFAF"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0.00474</w:t>
            </w:r>
          </w:p>
        </w:tc>
        <w:tc>
          <w:tcPr>
            <w:tcW w:w="872" w:type="dxa"/>
            <w:tcBorders>
              <w:top w:val="nil"/>
              <w:left w:val="nil"/>
              <w:bottom w:val="nil"/>
              <w:right w:val="nil"/>
            </w:tcBorders>
            <w:shd w:val="clear" w:color="auto" w:fill="auto"/>
            <w:noWrap/>
            <w:vAlign w:val="bottom"/>
            <w:hideMark/>
          </w:tcPr>
          <w:p w14:paraId="0D010AAF"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0.00283</w:t>
            </w:r>
          </w:p>
        </w:tc>
        <w:tc>
          <w:tcPr>
            <w:tcW w:w="769" w:type="dxa"/>
            <w:tcBorders>
              <w:top w:val="nil"/>
              <w:left w:val="nil"/>
              <w:bottom w:val="nil"/>
              <w:right w:val="single" w:sz="4" w:space="0" w:color="auto"/>
            </w:tcBorders>
            <w:shd w:val="clear" w:color="auto" w:fill="auto"/>
            <w:noWrap/>
            <w:vAlign w:val="bottom"/>
            <w:hideMark/>
          </w:tcPr>
          <w:p w14:paraId="7C0383A8"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0.0018</w:t>
            </w:r>
          </w:p>
        </w:tc>
      </w:tr>
      <w:tr w:rsidR="00630B93" w:rsidRPr="009546E2" w14:paraId="67DE1DC6" w14:textId="77777777" w:rsidTr="00630B93">
        <w:trPr>
          <w:trHeight w:val="218"/>
        </w:trPr>
        <w:tc>
          <w:tcPr>
            <w:tcW w:w="16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2097D9" w14:textId="77777777" w:rsidR="00630B93" w:rsidRPr="009546E2" w:rsidRDefault="00630B93" w:rsidP="00417C34">
            <w:pPr>
              <w:spacing w:after="0" w:line="276" w:lineRule="auto"/>
              <w:rPr>
                <w:rFonts w:eastAsia="Times New Roman" w:cs="Times New Roman"/>
                <w:color w:val="000000"/>
                <w:sz w:val="20"/>
                <w:szCs w:val="20"/>
                <w:lang w:eastAsia="en-AU"/>
              </w:rPr>
            </w:pPr>
            <w:r w:rsidRPr="009546E2">
              <w:rPr>
                <w:rFonts w:eastAsia="Times New Roman" w:cs="Times New Roman"/>
                <w:color w:val="000000"/>
                <w:sz w:val="20"/>
                <w:szCs w:val="20"/>
                <w:lang w:eastAsia="en-AU"/>
              </w:rPr>
              <w:t>Cumulative proportion</w:t>
            </w:r>
          </w:p>
        </w:tc>
        <w:tc>
          <w:tcPr>
            <w:tcW w:w="769" w:type="dxa"/>
            <w:tcBorders>
              <w:top w:val="nil"/>
              <w:left w:val="nil"/>
              <w:bottom w:val="single" w:sz="4" w:space="0" w:color="auto"/>
              <w:right w:val="nil"/>
            </w:tcBorders>
            <w:shd w:val="clear" w:color="auto" w:fill="auto"/>
            <w:noWrap/>
            <w:vAlign w:val="bottom"/>
            <w:hideMark/>
          </w:tcPr>
          <w:p w14:paraId="186E4FC7" w14:textId="77777777" w:rsidR="00630B93" w:rsidRPr="009546E2" w:rsidRDefault="00630B93" w:rsidP="00417C34">
            <w:pPr>
              <w:spacing w:after="0" w:line="276"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0.8387</w:t>
            </w:r>
          </w:p>
        </w:tc>
        <w:tc>
          <w:tcPr>
            <w:tcW w:w="872" w:type="dxa"/>
            <w:tcBorders>
              <w:top w:val="nil"/>
              <w:left w:val="nil"/>
              <w:bottom w:val="single" w:sz="4" w:space="0" w:color="auto"/>
              <w:right w:val="nil"/>
            </w:tcBorders>
            <w:shd w:val="clear" w:color="auto" w:fill="auto"/>
            <w:noWrap/>
            <w:vAlign w:val="bottom"/>
            <w:hideMark/>
          </w:tcPr>
          <w:p w14:paraId="5AF74701" w14:textId="77777777" w:rsidR="00630B93" w:rsidRPr="009546E2" w:rsidRDefault="00630B93" w:rsidP="00417C34">
            <w:pPr>
              <w:spacing w:after="0" w:line="276"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0.9124</w:t>
            </w:r>
          </w:p>
        </w:tc>
        <w:tc>
          <w:tcPr>
            <w:tcW w:w="872" w:type="dxa"/>
            <w:tcBorders>
              <w:top w:val="nil"/>
              <w:left w:val="nil"/>
              <w:bottom w:val="single" w:sz="4" w:space="0" w:color="auto"/>
              <w:right w:val="nil"/>
            </w:tcBorders>
            <w:shd w:val="clear" w:color="auto" w:fill="auto"/>
            <w:noWrap/>
            <w:vAlign w:val="bottom"/>
            <w:hideMark/>
          </w:tcPr>
          <w:p w14:paraId="5B6BD6AA"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0.94346</w:t>
            </w:r>
          </w:p>
        </w:tc>
        <w:tc>
          <w:tcPr>
            <w:tcW w:w="872" w:type="dxa"/>
            <w:tcBorders>
              <w:top w:val="nil"/>
              <w:left w:val="nil"/>
              <w:bottom w:val="single" w:sz="4" w:space="0" w:color="auto"/>
              <w:right w:val="nil"/>
            </w:tcBorders>
            <w:shd w:val="clear" w:color="auto" w:fill="auto"/>
            <w:noWrap/>
            <w:vAlign w:val="bottom"/>
            <w:hideMark/>
          </w:tcPr>
          <w:p w14:paraId="531727C6"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0.97108</w:t>
            </w:r>
          </w:p>
        </w:tc>
        <w:tc>
          <w:tcPr>
            <w:tcW w:w="769" w:type="dxa"/>
            <w:tcBorders>
              <w:top w:val="nil"/>
              <w:left w:val="nil"/>
              <w:bottom w:val="single" w:sz="4" w:space="0" w:color="auto"/>
              <w:right w:val="nil"/>
            </w:tcBorders>
            <w:shd w:val="clear" w:color="auto" w:fill="auto"/>
            <w:noWrap/>
            <w:vAlign w:val="bottom"/>
            <w:hideMark/>
          </w:tcPr>
          <w:p w14:paraId="3A5DC5F9"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0.9837</w:t>
            </w:r>
          </w:p>
        </w:tc>
        <w:tc>
          <w:tcPr>
            <w:tcW w:w="872" w:type="dxa"/>
            <w:tcBorders>
              <w:top w:val="nil"/>
              <w:left w:val="nil"/>
              <w:bottom w:val="single" w:sz="4" w:space="0" w:color="auto"/>
              <w:right w:val="nil"/>
            </w:tcBorders>
            <w:shd w:val="clear" w:color="auto" w:fill="auto"/>
            <w:noWrap/>
            <w:vAlign w:val="bottom"/>
            <w:hideMark/>
          </w:tcPr>
          <w:p w14:paraId="3A80C2A4"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0.9909</w:t>
            </w:r>
          </w:p>
        </w:tc>
        <w:tc>
          <w:tcPr>
            <w:tcW w:w="872" w:type="dxa"/>
            <w:tcBorders>
              <w:top w:val="nil"/>
              <w:left w:val="nil"/>
              <w:bottom w:val="single" w:sz="4" w:space="0" w:color="auto"/>
              <w:right w:val="nil"/>
            </w:tcBorders>
            <w:shd w:val="clear" w:color="auto" w:fill="auto"/>
            <w:noWrap/>
            <w:vAlign w:val="bottom"/>
            <w:hideMark/>
          </w:tcPr>
          <w:p w14:paraId="78B7D79B"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0.99483</w:t>
            </w:r>
          </w:p>
        </w:tc>
        <w:tc>
          <w:tcPr>
            <w:tcW w:w="872" w:type="dxa"/>
            <w:tcBorders>
              <w:top w:val="nil"/>
              <w:left w:val="nil"/>
              <w:bottom w:val="single" w:sz="4" w:space="0" w:color="auto"/>
              <w:right w:val="nil"/>
            </w:tcBorders>
            <w:shd w:val="clear" w:color="auto" w:fill="auto"/>
            <w:noWrap/>
            <w:vAlign w:val="bottom"/>
            <w:hideMark/>
          </w:tcPr>
          <w:p w14:paraId="3FD740D5"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0.99767</w:t>
            </w:r>
          </w:p>
        </w:tc>
        <w:tc>
          <w:tcPr>
            <w:tcW w:w="769" w:type="dxa"/>
            <w:tcBorders>
              <w:top w:val="nil"/>
              <w:left w:val="nil"/>
              <w:bottom w:val="single" w:sz="4" w:space="0" w:color="auto"/>
              <w:right w:val="single" w:sz="4" w:space="0" w:color="auto"/>
            </w:tcBorders>
            <w:shd w:val="clear" w:color="auto" w:fill="auto"/>
            <w:noWrap/>
            <w:vAlign w:val="bottom"/>
            <w:hideMark/>
          </w:tcPr>
          <w:p w14:paraId="3FDEF808" w14:textId="77777777" w:rsidR="00630B93" w:rsidRPr="009546E2" w:rsidRDefault="00630B93" w:rsidP="00417C34">
            <w:pPr>
              <w:keepNext/>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0.9995</w:t>
            </w:r>
          </w:p>
        </w:tc>
      </w:tr>
    </w:tbl>
    <w:p w14:paraId="56A9643E" w14:textId="4217FE34" w:rsidR="00B634E6" w:rsidRPr="00EA700F" w:rsidRDefault="00630B93" w:rsidP="00A22B81">
      <w:pPr>
        <w:pStyle w:val="Caption"/>
        <w:spacing w:line="360" w:lineRule="auto"/>
        <w:rPr>
          <w:sz w:val="22"/>
          <w:szCs w:val="22"/>
        </w:rPr>
      </w:pPr>
      <w:r w:rsidRPr="00EA700F">
        <w:rPr>
          <w:sz w:val="22"/>
          <w:szCs w:val="22"/>
        </w:rPr>
        <w:t xml:space="preserve">Table 3. </w:t>
      </w:r>
      <w:r w:rsidR="00CC24F8" w:rsidRPr="00EA700F">
        <w:rPr>
          <w:sz w:val="22"/>
          <w:szCs w:val="22"/>
        </w:rPr>
        <w:t>Variation</w:t>
      </w:r>
      <w:r w:rsidR="009546E2">
        <w:rPr>
          <w:sz w:val="22"/>
          <w:szCs w:val="22"/>
        </w:rPr>
        <w:t xml:space="preserve"> in hydrological conditions </w:t>
      </w:r>
      <w:r w:rsidR="00CC24F8" w:rsidRPr="00EA700F">
        <w:rPr>
          <w:sz w:val="22"/>
          <w:szCs w:val="22"/>
        </w:rPr>
        <w:t>across principal component axes.</w:t>
      </w:r>
      <w:r w:rsidR="009546E2">
        <w:rPr>
          <w:sz w:val="22"/>
          <w:szCs w:val="22"/>
        </w:rPr>
        <w:t xml:space="preserve"> PC axes shown in Fig 5 are highlighted.</w:t>
      </w:r>
    </w:p>
    <w:p w14:paraId="3B77840D" w14:textId="77777777" w:rsidR="00B634E6" w:rsidRPr="00EA700F" w:rsidRDefault="00B634E6" w:rsidP="00A22B81">
      <w:pPr>
        <w:keepNext/>
        <w:spacing w:line="360" w:lineRule="auto"/>
        <w:jc w:val="both"/>
      </w:pPr>
      <w:r w:rsidRPr="00EA700F">
        <w:rPr>
          <w:noProof/>
          <w:lang w:eastAsia="en-AU"/>
        </w:rPr>
        <w:lastRenderedPageBreak/>
        <w:drawing>
          <wp:inline distT="0" distB="0" distL="0" distR="0" wp14:anchorId="7F5E6389" wp14:editId="631D84AA">
            <wp:extent cx="5731510" cy="3388995"/>
            <wp:effectExtent l="0" t="0" r="254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CAbiplot.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388995"/>
                    </a:xfrm>
                    <a:prstGeom prst="rect">
                      <a:avLst/>
                    </a:prstGeom>
                  </pic:spPr>
                </pic:pic>
              </a:graphicData>
            </a:graphic>
          </wp:inline>
        </w:drawing>
      </w:r>
    </w:p>
    <w:p w14:paraId="7311C548" w14:textId="5D860D97" w:rsidR="00B634E6" w:rsidRPr="00EA700F" w:rsidRDefault="00B634E6" w:rsidP="00A22B81">
      <w:pPr>
        <w:pStyle w:val="Caption"/>
        <w:spacing w:line="360" w:lineRule="auto"/>
        <w:jc w:val="both"/>
        <w:rPr>
          <w:sz w:val="22"/>
          <w:szCs w:val="22"/>
        </w:rPr>
      </w:pPr>
      <w:r w:rsidRPr="00EA700F">
        <w:rPr>
          <w:sz w:val="22"/>
          <w:szCs w:val="22"/>
        </w:rPr>
        <w:t xml:space="preserve">Figure </w:t>
      </w:r>
      <w:r w:rsidR="00630B93" w:rsidRPr="00EA700F">
        <w:rPr>
          <w:sz w:val="22"/>
          <w:szCs w:val="22"/>
        </w:rPr>
        <w:t>5</w:t>
      </w:r>
      <w:r w:rsidRPr="00EA700F">
        <w:rPr>
          <w:sz w:val="22"/>
          <w:szCs w:val="22"/>
        </w:rPr>
        <w:t xml:space="preserve">. </w:t>
      </w:r>
      <w:proofErr w:type="spellStart"/>
      <w:r w:rsidRPr="00EA700F">
        <w:rPr>
          <w:sz w:val="22"/>
          <w:szCs w:val="22"/>
        </w:rPr>
        <w:t>Biplot</w:t>
      </w:r>
      <w:proofErr w:type="spellEnd"/>
      <w:r w:rsidRPr="00EA700F">
        <w:rPr>
          <w:sz w:val="22"/>
          <w:szCs w:val="22"/>
        </w:rPr>
        <w:t xml:space="preserve"> of sites ordinated across the first two principal components (PC) of the PCA. Points represent positions of individual sites. Ellipses indicate clustering of sites according to hydrological class. Arrows represent loadings of hydrological metrics across each PC. </w:t>
      </w:r>
    </w:p>
    <w:p w14:paraId="0BCA3DD7" w14:textId="6AA81672" w:rsidR="00B634E6" w:rsidRPr="00EA700F" w:rsidRDefault="001049B7" w:rsidP="00A22B81">
      <w:pPr>
        <w:spacing w:line="360" w:lineRule="auto"/>
        <w:jc w:val="both"/>
      </w:pPr>
      <w:r w:rsidRPr="00EA700F">
        <w:t xml:space="preserve">PC1 represents a gradient of environmental harshness that integrates </w:t>
      </w:r>
      <w:proofErr w:type="spellStart"/>
      <w:r w:rsidRPr="00EA700F">
        <w:t>baseflow</w:t>
      </w:r>
      <w:proofErr w:type="spellEnd"/>
      <w:r w:rsidRPr="00EA700F">
        <w:t xml:space="preserve"> characteristics, seasonality and flooding intensity. </w:t>
      </w:r>
      <w:r w:rsidR="00B634E6" w:rsidRPr="00EA700F">
        <w:t xml:space="preserve">Metrics </w:t>
      </w:r>
      <w:r>
        <w:t>which</w:t>
      </w:r>
      <w:r w:rsidR="00B634E6" w:rsidRPr="00EA700F">
        <w:t xml:space="preserve"> are maximised under conditions of weak seasonality</w:t>
      </w:r>
      <w:r>
        <w:t>, high predictability,</w:t>
      </w:r>
      <w:r w:rsidR="00B634E6" w:rsidRPr="00EA700F">
        <w:t xml:space="preserve"> and low variability </w:t>
      </w:r>
      <w:r>
        <w:t>of</w:t>
      </w:r>
      <w:r w:rsidR="00B634E6" w:rsidRPr="00EA700F">
        <w:t xml:space="preserve"> water availability sit at the positive end of the PC1 axis, while metrics that are maximised under conditions of </w:t>
      </w:r>
      <w:proofErr w:type="spellStart"/>
      <w:r>
        <w:t>interannual</w:t>
      </w:r>
      <w:proofErr w:type="spellEnd"/>
      <w:r>
        <w:t xml:space="preserve"> </w:t>
      </w:r>
      <w:r w:rsidR="00B634E6" w:rsidRPr="00EA700F">
        <w:t xml:space="preserve">high </w:t>
      </w:r>
      <w:proofErr w:type="spellStart"/>
      <w:r w:rsidR="00B634E6" w:rsidRPr="00EA700F">
        <w:t>baseflow</w:t>
      </w:r>
      <w:proofErr w:type="spellEnd"/>
      <w:r w:rsidR="00B634E6" w:rsidRPr="00EA700F">
        <w:t xml:space="preserve"> variability and high intensity flooding sit at the negative end. Stable </w:t>
      </w:r>
      <w:proofErr w:type="spellStart"/>
      <w:r w:rsidR="00B634E6" w:rsidRPr="00EA700F">
        <w:t>baseflow</w:t>
      </w:r>
      <w:proofErr w:type="spellEnd"/>
      <w:r w:rsidR="00B634E6" w:rsidRPr="00EA700F">
        <w:t xml:space="preserve"> rivers exhibit lower site mean wood density, and are clustered at the ‘mild’ positive end of the PC1 gradient. Unpredictable </w:t>
      </w:r>
      <w:proofErr w:type="spellStart"/>
      <w:r w:rsidR="00B634E6" w:rsidRPr="00EA700F">
        <w:t>baseflow</w:t>
      </w:r>
      <w:proofErr w:type="spellEnd"/>
      <w:r w:rsidR="00B634E6" w:rsidRPr="00EA700F">
        <w:t xml:space="preserve"> and unpredictable intermittent rivers overlap across PC1 and are located distally towards the ‘harsh’ negative end, and are associated with higher site mean wood density. Here we see the pattern of differentiation in wood density between hydrological classes reiterated, and largely reduced to a single axis of variation.</w:t>
      </w:r>
    </w:p>
    <w:p w14:paraId="68B31D1F" w14:textId="77777777" w:rsidR="00B634E6" w:rsidRPr="00EA700F" w:rsidRDefault="00B634E6" w:rsidP="00A22B81">
      <w:pPr>
        <w:tabs>
          <w:tab w:val="left" w:pos="3456"/>
        </w:tabs>
        <w:spacing w:line="360" w:lineRule="auto"/>
        <w:jc w:val="both"/>
      </w:pPr>
    </w:p>
    <w:p w14:paraId="4E95C12D" w14:textId="77777777" w:rsidR="00650D8B" w:rsidRPr="00EA700F" w:rsidRDefault="00650D8B" w:rsidP="00A22B81">
      <w:pPr>
        <w:tabs>
          <w:tab w:val="left" w:pos="3456"/>
        </w:tabs>
        <w:spacing w:line="360" w:lineRule="auto"/>
        <w:jc w:val="both"/>
      </w:pPr>
    </w:p>
    <w:p w14:paraId="14E2F9E4" w14:textId="77777777" w:rsidR="00650D8B" w:rsidRPr="00EA700F" w:rsidRDefault="00650D8B" w:rsidP="00A22B81">
      <w:pPr>
        <w:tabs>
          <w:tab w:val="left" w:pos="3456"/>
        </w:tabs>
        <w:spacing w:line="360" w:lineRule="auto"/>
        <w:jc w:val="both"/>
      </w:pPr>
    </w:p>
    <w:p w14:paraId="6D8C8956" w14:textId="77777777" w:rsidR="00650D8B" w:rsidRPr="00EA700F" w:rsidRDefault="00650D8B" w:rsidP="00A22B81">
      <w:pPr>
        <w:tabs>
          <w:tab w:val="left" w:pos="3456"/>
        </w:tabs>
        <w:spacing w:line="360" w:lineRule="auto"/>
        <w:jc w:val="both"/>
      </w:pPr>
    </w:p>
    <w:p w14:paraId="2FC25891" w14:textId="77777777" w:rsidR="00650D8B" w:rsidRPr="00EA700F" w:rsidRDefault="00650D8B" w:rsidP="00A22B81">
      <w:pPr>
        <w:tabs>
          <w:tab w:val="left" w:pos="3456"/>
        </w:tabs>
        <w:spacing w:line="360" w:lineRule="auto"/>
        <w:jc w:val="both"/>
      </w:pPr>
    </w:p>
    <w:p w14:paraId="10D03204" w14:textId="77777777" w:rsidR="00650D8B" w:rsidRPr="00EA700F" w:rsidRDefault="00650D8B" w:rsidP="00A22B81">
      <w:pPr>
        <w:tabs>
          <w:tab w:val="left" w:pos="3456"/>
        </w:tabs>
        <w:spacing w:line="360" w:lineRule="auto"/>
        <w:jc w:val="both"/>
      </w:pPr>
    </w:p>
    <w:p w14:paraId="3A711B0F" w14:textId="637B260F" w:rsidR="00B634E6" w:rsidRPr="00EA700F" w:rsidRDefault="00650D8B" w:rsidP="00A22B81">
      <w:pPr>
        <w:spacing w:line="360" w:lineRule="auto"/>
        <w:jc w:val="both"/>
        <w:rPr>
          <w:b/>
        </w:rPr>
      </w:pPr>
      <w:r w:rsidRPr="00EA700F">
        <w:rPr>
          <w:b/>
        </w:rPr>
        <w:lastRenderedPageBreak/>
        <w:t>Discussion</w:t>
      </w:r>
    </w:p>
    <w:p w14:paraId="2027DE66" w14:textId="12D5FDAC" w:rsidR="00B634E6" w:rsidRPr="00EA700F" w:rsidRDefault="006B1A67" w:rsidP="00A22B81">
      <w:pPr>
        <w:spacing w:line="360" w:lineRule="auto"/>
        <w:jc w:val="both"/>
      </w:pPr>
      <w:r>
        <w:t>T</w:t>
      </w:r>
      <w:r w:rsidR="00B634E6" w:rsidRPr="00EA700F">
        <w:t xml:space="preserve">hese results lend credibility to broad-scale </w:t>
      </w:r>
      <w:proofErr w:type="spellStart"/>
      <w:r w:rsidR="00B634E6" w:rsidRPr="00EA700F">
        <w:t>ecohydrological</w:t>
      </w:r>
      <w:proofErr w:type="spellEnd"/>
      <w:r w:rsidR="00B634E6" w:rsidRPr="00EA700F">
        <w:t xml:space="preserve"> classification as a coarse but useful tool in riparian functional ecology. Where river systems belong to different hydrological classes but are spatially or climatically close, it makes sense to dig deeper than lumped categorical comparisons and compare continuous hydrological parameters. </w:t>
      </w:r>
    </w:p>
    <w:p w14:paraId="348BC1A0" w14:textId="77777777" w:rsidR="00B634E6" w:rsidRPr="00EA700F" w:rsidRDefault="00B634E6" w:rsidP="00A22B81">
      <w:pPr>
        <w:spacing w:line="360" w:lineRule="auto"/>
        <w:jc w:val="both"/>
      </w:pPr>
      <w:r w:rsidRPr="00EA700F">
        <w:t xml:space="preserve">We found that wood density increased with intensity of flooding disturbance. Wood density was not correlated with the frequency of high flow periods, which individually may not correspond to significant disturbance events, depending on the hydrological characteristics of the given river. Rather, it was the actual magnitude of flow during high flow periods that was important. The observation that variability but not average values of flood rise and fall rates predicted wood density, indicates the influence of low frequency, intensely flashy outlier flow events not captured by the mean. A pattern is apparent then, in which wood density in riparian communities is driven by powerful but relatively rare flow events. The abundance of high wood density strategies in these environments indicates that infrequent but high-stakes events are a greater force of selection in riparian plant communities than average conditions. We therefore suggest that a ‘brick house’ ecological strategy is selected for in riparian environments that experience intense flooding. This suggestion concurs with findings that trees tend to overcompensate for mechanical stress, with investment in defences increasing cumulatively in response to rare, extreme events (Cohen &amp; </w:t>
      </w:r>
      <w:proofErr w:type="spellStart"/>
      <w:r w:rsidRPr="00EA700F">
        <w:t>Mangel</w:t>
      </w:r>
      <w:proofErr w:type="spellEnd"/>
      <w:r w:rsidRPr="00EA700F">
        <w:t xml:space="preserve"> 1999, </w:t>
      </w:r>
      <w:proofErr w:type="spellStart"/>
      <w:r w:rsidRPr="00EA700F">
        <w:t>Telewski</w:t>
      </w:r>
      <w:proofErr w:type="spellEnd"/>
      <w:r w:rsidRPr="00EA700F">
        <w:t xml:space="preserve"> 1995). </w:t>
      </w:r>
    </w:p>
    <w:p w14:paraId="708FF768" w14:textId="77777777" w:rsidR="00B634E6" w:rsidRPr="00EA700F" w:rsidRDefault="00B634E6" w:rsidP="00A22B81">
      <w:pPr>
        <w:spacing w:line="360" w:lineRule="auto"/>
        <w:jc w:val="both"/>
      </w:pPr>
      <w:r w:rsidRPr="00EA700F">
        <w:t xml:space="preserve">Predictability of water availability in the riparian zone was also strongly predictive of mean wood density. We can extend the observation about the influence of intense ‘pulse’ flow events on wood density: plants living in environments where flow occurs unpredictably and largely within specific events, rather than being evenly distributed throughout time, will experience more intense pulses of water stress. </w:t>
      </w:r>
    </w:p>
    <w:p w14:paraId="5E133A47" w14:textId="2EE7BF0A" w:rsidR="00B634E6" w:rsidRPr="00EA700F" w:rsidRDefault="00B634E6" w:rsidP="00A22B81">
      <w:pPr>
        <w:spacing w:line="360" w:lineRule="auto"/>
        <w:jc w:val="both"/>
      </w:pPr>
      <w:r w:rsidRPr="00EA700F">
        <w:t>High wood density may be symptomatic of wood anatomy strategies that allow plants to tolerate water stress</w:t>
      </w:r>
      <w:r w:rsidR="009D2CA8">
        <w:t xml:space="preserve"> </w:t>
      </w:r>
      <w:r w:rsidR="009D2CA8">
        <w:fldChar w:fldCharType="begin" w:fldLock="1"/>
      </w:r>
      <w:r w:rsidR="00ED02F3">
        <w:instrText>ADDIN CSL_CITATION { "citationItems" : [ { "id" : "ITEM-1", "itemData" : { "DOI" : "10.1007/s004420100628", "ISSN" : "0029-8549", "author" : [ { "dropping-particle" : "", "family" : "Hacke", "given" : "Uwe G.", "non-dropping-particle" : "", "parse-names" : false, "suffix" : "" }, { "dropping-particle" : "", "family" : "Sperry", "given" : "John S.", "non-dropping-particle" : "", "parse-names" : false, "suffix" : "" }, { "dropping-particle" : "", "family" : "Pockman", "given" : "William T.", "non-dropping-particle" : "", "parse-names" : false, "suffix" : "" }, { "dropping-particle" : "", "family" : "Davis", "given" : "Stephen D.", "non-dropping-particle" : "", "parse-names" : false, "suffix" : "" }, { "dropping-particle" : "", "family" : "McCulloh", "given" : "Katherine a.", "non-dropping-particle" : "", "parse-names" : false, "suffix" : "" } ], "container-title" : "Oecologia", "id" : "ITEM-1", "issue" : "4", "issued" : { "date-parts" : [ [ "2001", "2", "22" ] ] }, "page" : "457-461", "title" : "Trends in wood density and structure are linked to prevention of xylem implosion by negative pressure", "type" : "article-journal", "volume" : "126" }, "uris" : [ "http://www.mendeley.com/documents/?uuid=2674f986-348b-4f1f-b4ff-ca9c380a5006" ] }, { "id" : "ITEM-2", "itemData" : { "DOI" : "10.1111/j.1365-2745.2006.01186.x", "ISSN" : "0022-0477", "author" : [ { "dropping-particle" : "", "family" : "Jacobsen", "given" : "Anna L.", "non-dropping-particle" : "", "parse-names" : false, "suffix" : "" }, { "dropping-particle" : "", "family" : "Agenbag", "given" : "Lize", "non-dropping-particle" : "", "parse-names" : false, "suffix" : "" }, { "dropping-particle" : "", "family" : "Esler", "given" : "Karen J.", "non-dropping-particle" : "", "parse-names" : false, "suffix" : "" }, { "dropping-particle" : "", "family" : "Pratt", "given" : "R. Brandon", "non-dropping-particle" : "", "parse-names" : false, "suffix" : "" }, { "dropping-particle" : "", "family" : "Ewers", "given" : "Frank W.", "non-dropping-particle" : "", "parse-names" : false, "suffix" : "" }, { "dropping-particle" : "", "family" : "Davis", "given" : "Stephen D.", "non-dropping-particle" : "", "parse-names" : false, "suffix" : "" } ], "container-title" : "Journal of Ecology", "id" : "ITEM-2", "issue" : "1", "issued" : { "date-parts" : [ [ "2007", "1" ] ] }, "page" : "171-183", "title" : "Xylem density, biomechanics and anatomical traits correlate with water stress in 17 evergreen shrub species of the Mediterranean-type climate region of South Africa", "type" : "article-journal", "volume" : "95" }, "uris" : [ "http://www.mendeley.com/documents/?uuid=be932372-a5f5-41ef-9d83-8a18f9b847c9" ] }, { "id" : "ITEM-3", "itemData" : { "DOI" : "10.1104/pp.104.058404.result", "author" : [ { "dropping-particle" : "", "family" : "Jacobsen", "given" : "AL", "non-dropping-particle" : "", "parse-names" : false, "suffix" : "" }, { "dropping-particle" : "", "family" : "Ewers", "given" : "FW", "non-dropping-particle" : "", "parse-names" : false, "suffix" : "" } ], "container-title" : "Plant Physiology", "id" : "ITEM-3", "issue" : "September", "issued" : { "date-parts" : [ [ "2005" ] ] }, "page" : "546-556", "title" : "Do xylem fibers affect vessel cavitation resistance?", "type" : "article-journal", "volume" : "139" }, "uris" : [ "http://www.mendeley.com/documents/?uuid=dc941ffa-b7f1-484f-9c3a-d981eee0f00d" ] } ], "mendeley" : { "previouslyFormattedCitation" : "(Hacke, Sperry, Pockman, Davis, &amp; McCulloh, 2001; A. Jacobsen &amp; Ewers, 2005; A. L. Jacobsen et al., 2007)" }, "properties" : { "noteIndex" : 0 }, "schema" : "https://github.com/citation-style-language/schema/raw/master/csl-citation.json" }</w:instrText>
      </w:r>
      <w:r w:rsidR="009D2CA8">
        <w:fldChar w:fldCharType="separate"/>
      </w:r>
      <w:r w:rsidR="009D2CA8" w:rsidRPr="009D2CA8">
        <w:rPr>
          <w:noProof/>
        </w:rPr>
        <w:t>(Hacke, Sperry, Pockman, Davis, &amp; McCulloh, 2001; A. Jacobsen &amp; Ewers, 2005; A. L. Jacobsen et al., 2007)</w:t>
      </w:r>
      <w:r w:rsidR="009D2CA8">
        <w:fldChar w:fldCharType="end"/>
      </w:r>
      <w:r w:rsidRPr="009D2CA8">
        <w:t>.</w:t>
      </w:r>
      <w:r w:rsidRPr="00EA700F">
        <w:rPr>
          <w:color w:val="FF0000"/>
        </w:rPr>
        <w:t xml:space="preserve"> </w:t>
      </w:r>
      <w:r w:rsidRPr="00EA700F">
        <w:t>Numerous studies have discussed the role of various anatomical components of woody tissue in stabilising xylem against cavitation when plants are under severe water stress, but the exact role that woody fibres play in stabilising xylem vessels appears to be inconsistent</w:t>
      </w:r>
      <w:r w:rsidR="006E5D88">
        <w:t xml:space="preserve"> </w:t>
      </w:r>
      <w:r w:rsidR="009D2CA8">
        <w:fldChar w:fldCharType="begin" w:fldLock="1"/>
      </w:r>
      <w:r w:rsidR="00ED02F3">
        <w:instrText>ADDIN CSL_CITATION { "citationItems" : [ { "id" : "ITEM-1", "itemData" : { "DOI" : "10.3732/ajb.0800237", "ISSN" : "0002-9122", "PMID" : "21628286", "abstract" : "Wood density plays a key role in ecological strategies and life history variation in woody plants, but little is known about its anatomical basis in shrubs. We quantified the relationships between wood density, anatomy, and climate in 61 shrub species from eight field sites along latitudinal belts between 31\u00b0 and 35\u00b0 in North and South America. Measurements included cell dimensions, transverse areas of each xylem cell type and percentage contact between different cell types and vessels. Wood density was more significantly correlated with precipitation and aridity than with temperature. High wood density was achieved through reductions in cell size and increases in the proportion of wall relative to lumen. Wood density was independent of vessel traits, suggesting that this trait does not impose conduction limitations in shrubs. The proportion of fibers in direct contact with vessels decreased with and was independent of wood density, indicating that the number of fiber-vessel contacts does not explain the previously observed correlation between wood density and implosion resistance. Axial and radial parenchyma each had a significant but opposite association with wood density. Fiber size and wall thickness link wood density, life history, and ecological strategies by controlling the proportion of carbon invested per unit stem volume.", "author" : [ { "dropping-particle" : "", "family" : "Mart\u00ednez-Cabrera", "given" : "Hugo I", "non-dropping-particle" : "", "parse-names" : false, "suffix" : "" }, { "dropping-particle" : "", "family" : "Jones", "given" : "Cynthia S", "non-dropping-particle" : "", "parse-names" : false, "suffix" : "" }, { "dropping-particle" : "", "family" : "Espino", "given" : "Susana", "non-dropping-particle" : "", "parse-names" : false, "suffix" : "" }, { "dropping-particle" : "", "family" : "Schenk", "given" : "H Jochen", "non-dropping-particle" : "", "parse-names" : false, "suffix" : "" } ], "container-title" : "American journal of botany", "id" : "ITEM-1", "issue" : "8", "issued" : { "date-parts" : [ [ "2009", "8" ] ] }, "page" : "1388-98", "title" : "Wood anatomy and wood density in shrubs: Responses to varying aridity along transcontinental transects.", "type" : "article-journal", "volume" : "96" }, "uris" : [ "http://www.mendeley.com/documents/?uuid=6ba3838e-de58-4526-a9a6-eeb0cea712c1" ] } ], "mendeley" : { "previouslyFormattedCitation" : "(Mart\u00ednez-Cabrera et al., 2009)" }, "properties" : { "noteIndex" : 0 }, "schema" : "https://github.com/citation-style-language/schema/raw/master/csl-citation.json" }</w:instrText>
      </w:r>
      <w:r w:rsidR="009D2CA8">
        <w:fldChar w:fldCharType="separate"/>
      </w:r>
      <w:r w:rsidR="009D2CA8" w:rsidRPr="009D2CA8">
        <w:rPr>
          <w:noProof/>
        </w:rPr>
        <w:t>(Martínez-Cabrera et al., 2009)</w:t>
      </w:r>
      <w:r w:rsidR="009D2CA8">
        <w:fldChar w:fldCharType="end"/>
      </w:r>
      <w:r w:rsidRPr="00EA700F">
        <w:t xml:space="preserve">. Overall, resistance against cavitation appears to result from complex interactions between wood anatomical traits </w:t>
      </w:r>
      <w:r w:rsidR="009D2CA8">
        <w:fldChar w:fldCharType="begin" w:fldLock="1"/>
      </w:r>
      <w:r w:rsidR="00ED02F3">
        <w:instrText>ADDIN CSL_CITATION { "citationItems" : [ { "id" : "ITEM-1", "itemData" : { "DOI" : "10.1111/j.1469-8137.2010.03518.x", "ISSN" : "1469-8137", "PMID" : "21054413", "abstract" : "\u2022 Vulnerability to cavitation and conductive efficiency depend on xylem anatomy. We tested a large range of structure-function hypotheses, some for the first time, within a single genus to minimize phylogenetic 'noise' and maximize detection of functionally relevant variation. \u2022 This integrative study combined in-depth anatomical observations using light, scanning and transmission electron microscopy of seven Acer taxa, and compared these observations with empirical measures of xylem hydraulics. \u2022 Our results reveal a 2 MPa range in species' mean cavitation pressure (MCP). MCP was strongly correlated with intervessel pit structure (membrane thickness and porosity, chamber depth), weakly correlated with pit number per vessel, and not related to pit area per vessel. At the tissue level, there was a strong correlation between MCP and mechanical strength parameters, and some of the first evidence is provided for the functional significance of vessel grouping and thickenings on inner vessel walls. In addition, a strong trade-off was observed between xylem-specific conductivity and MCP. Vessel length and intervessel wall characteristics were implicated in this safety-efficiency trade-off. \u2022 Cavitation resistance and hydraulic conductivity in Acer appear to be controlled by a very complex interaction between tissue, vessel network and pit characteristics.", "author" : [ { "dropping-particle" : "", "family" : "Lens", "given" : "Frederic", "non-dropping-particle" : "", "parse-names" : false, "suffix" : "" }, { "dropping-particle" : "", "family" : "Sperry", "given" : "John S", "non-dropping-particle" : "", "parse-names" : false, "suffix" : "" }, { "dropping-particle" : "", "family" : "Christman", "given" : "Mairgareth a", "non-dropping-particle" : "", "parse-names" : false, "suffix" : "" }, { "dropping-particle" : "", "family" : "Choat", "given" : "Brendan", "non-dropping-particle" : "", "parse-names" : false, "suffix" : "" }, { "dropping-particle" : "", "family" : "Rabaey", "given" : "David", "non-dropping-particle" : "", "parse-names" : false, "suffix" : "" }, { "dropping-particle" : "", "family" : "Jansen", "given" : "Steven", "non-dropping-particle" : "", "parse-names" : false, "suffix" : "" } ], "container-title" : "The New phytologist", "id" : "ITEM-1", "issue" : "3", "issued" : { "date-parts" : [ [ "2011", "5" ] ] }, "page" : "709-23", "title" : "Testing hypotheses that link wood anatomy to cavitation resistance and hydraulic conductivity in the genus Acer.", "type" : "article-journal", "volume" : "190" }, "uris" : [ "http://www.mendeley.com/documents/?uuid=62a09ac1-93d7-42d0-b860-ca25bbaeafd2" ] }, { "id" : "ITEM-2", "itemData" : { "DOI" : "10.1093/aobpla/plt046", "ISSN" : "2041-2851", "author" : [ { "dropping-particle" : "", "family" : "Zieminska", "given" : "K.", "non-dropping-particle" : "", "parse-names" : false, "suffix" : "" }, { "dropping-particle" : "", "family" : "Butler", "given" : "D. W.", "non-dropping-particle" : "", "parse-names" : false, "suffix" : "" }, { "dropping-particle" : "", "family" : "Gleason", "given" : "S. M.", "non-dropping-particle" : "", "parse-names" : false, "suffix" : "" }, { "dropping-particle" : "", "family" : "Wright", "given" : "I. J.", "non-dropping-particle" : "", "parse-names" : false, "suffix" : "" }, { "dropping-particle" : "", "family" : "Westoby", "given" : "M.", "non-dropping-particle" : "", "parse-names" : false, "suffix" : "" } ], "container-title" : "AoB PLANTS", "id" : "ITEM-2", "issued" : { "date-parts" : [ [ "2013", "10", "10" ] ] }, "page" : "plt046-plt046", "title" : "Fibre wall and lumen fractions drive wood density variation across 24 Australian angiosperms", "type" : "article-journal", "volume" : "5" }, "uris" : [ "http://www.mendeley.com/documents/?uuid=0812d6a9-5781-4e1a-829c-9bb7472beae1" ] } ], "mendeley" : { "previouslyFormattedCitation" : "(Lens et al., 2011; Zieminska, Butler, Gleason, Wright, &amp; Westoby, 2013)" }, "properties" : { "noteIndex" : 0 }, "schema" : "https://github.com/citation-style-language/schema/raw/master/csl-citation.json" }</w:instrText>
      </w:r>
      <w:r w:rsidR="009D2CA8">
        <w:fldChar w:fldCharType="separate"/>
      </w:r>
      <w:r w:rsidR="009D2CA8" w:rsidRPr="009D2CA8">
        <w:rPr>
          <w:noProof/>
        </w:rPr>
        <w:t>(Lens et al., 2011; Zieminska, Butler, Gleason, Wright, &amp; Westoby, 2013)</w:t>
      </w:r>
      <w:r w:rsidR="009D2CA8">
        <w:fldChar w:fldCharType="end"/>
      </w:r>
      <w:r w:rsidR="009D2CA8">
        <w:t xml:space="preserve"> </w:t>
      </w:r>
      <w:r w:rsidRPr="00EA700F">
        <w:t>and/or aboveground biomass production traits, both of which are tangentially related to wood density.</w:t>
      </w:r>
    </w:p>
    <w:p w14:paraId="22AFAC68" w14:textId="5B75AB18" w:rsidR="00B634E6" w:rsidRPr="00EA700F" w:rsidRDefault="00B634E6" w:rsidP="00A22B81">
      <w:pPr>
        <w:spacing w:line="360" w:lineRule="auto"/>
        <w:jc w:val="both"/>
      </w:pPr>
      <w:r w:rsidRPr="00EA700F">
        <w:lastRenderedPageBreak/>
        <w:t>A more compelling rationale for our findings is that riparian woody plants are again overcompensating for the possibility of rare</w:t>
      </w:r>
      <w:r w:rsidR="006E5D88">
        <w:t>,</w:t>
      </w:r>
      <w:r w:rsidRPr="00EA700F">
        <w:t xml:space="preserve"> life-or-death stress events. In the absence of predictable cues about timing of watering flows, broad phenotypic plasticity in resource use traits may in fact be maladaptive in highly unpredictable environments</w:t>
      </w:r>
      <w:r w:rsidR="00B064E3">
        <w:t xml:space="preserve"> </w:t>
      </w:r>
      <w:r w:rsidR="00FC0DFA">
        <w:fldChar w:fldCharType="begin" w:fldLock="1"/>
      </w:r>
      <w:r w:rsidR="00ED02F3">
        <w:instrText>ADDIN CSL_CITATION { "citationItems" : [ { "id" : "ITEM-1", "itemData" : { "DOI" : "10.1007/s00468-002-0184-4", "author" : [ { "dropping-particle" : "", "family" : "Valladares", "given" : "Fernando", "non-dropping-particle" : "", "parse-names" : false, "suffix" : "" }, { "dropping-particle" : "", "family" : "Chico", "given" : "J", "non-dropping-particle" : "", "parse-names" : false, "suffix" : "" }, { "dropping-particle" : "", "family" : "Aranda", "given" : "Ismael", "non-dropping-particle" : "", "parse-names" : false, "suffix" : "" } ], "container-title" : "Trees", "id" : "ITEM-1", "issue" : "6", "issued" : { "date-parts" : [ [ "2002" ] ] }, "page" : "395-403", "title" : "The greater seedling high-light tolerance of Quercus robur over Fagus sylvatica is linked to a greater physiological plasticity", "type" : "article-journal", "volume" : "16" }, "uris" : [ "http://www.mendeley.com/documents/?uuid=14c36e70-3f88-4c45-a370-8fe003833ba4" ] }, { "id" : "ITEM-2", "itemData" : { "DOI" : "10.1046/j.1469-8137.2002.00525.x", "ISSN" : "0028-646X", "author" : [ { "dropping-particle" : "", "family" : "Valladares", "given" : "Fernando", "non-dropping-particle" : "", "parse-names" : false, "suffix" : "" }, { "dropping-particle" : "", "family" : "Balaguer", "given" : "Luis", "non-dropping-particle" : "", "parse-names" : false, "suffix" : "" }, { "dropping-particle" : "", "family" : "Martinez-Ferri", "given" : "Elsa", "non-dropping-particle" : "", "parse-names" : false, "suffix" : "" }, { "dropping-particle" : "", "family" : "Perez-Corona", "given" : "Esther", "non-dropping-particle" : "", "parse-names" : false, "suffix" : "" }, { "dropping-particle" : "", "family" : "Manrique", "given" : "Esteban", "non-dropping-particle" : "", "parse-names" : false, "suffix" : "" } ], "container-title" : "New Phytologist", "id" : "ITEM-2", "issue" : "3", "issued" : { "date-parts" : [ [ "2002", "12" ] ] }, "page" : "457-467", "title" : "Plasticity, instability and canalization: is the phenotypic variation in seedlings of sclerophyll oaks consistent with the environmental unpredictability of Mediterranean ecosystems?", "type" : "article-journal", "volume" : "156" }, "uris" : [ "http://www.mendeley.com/documents/?uuid=c3ddb502-b6b9-443a-8ca9-c1700b92eb5f" ] } ], "mendeley" : { "previouslyFormattedCitation" : "(Valladares, Balaguer, Martinez-Ferri, Perez-Corona, &amp; Manrique, 2002; Valladares, Chico, &amp; Aranda, 2002)" }, "properties" : { "noteIndex" : 0 }, "schema" : "https://github.com/citation-style-language/schema/raw/master/csl-citation.json" }</w:instrText>
      </w:r>
      <w:r w:rsidR="00FC0DFA">
        <w:fldChar w:fldCharType="separate"/>
      </w:r>
      <w:r w:rsidR="00FC0DFA" w:rsidRPr="00FC0DFA">
        <w:rPr>
          <w:noProof/>
        </w:rPr>
        <w:t>(Valladares, Balaguer, Martinez-Ferri, Perez-Corona, &amp; Manrique, 2002; Valladares, Chico, &amp; Aranda, 2002)</w:t>
      </w:r>
      <w:r w:rsidR="00FC0DFA">
        <w:fldChar w:fldCharType="end"/>
      </w:r>
      <w:r w:rsidR="00FC0DFA">
        <w:t xml:space="preserve"> </w:t>
      </w:r>
      <w:r w:rsidRPr="00EA700F">
        <w:t>and conservative resource-use phenotypes such as high wood density would be favoured (</w:t>
      </w:r>
      <w:proofErr w:type="spellStart"/>
      <w:r w:rsidRPr="00EA700F">
        <w:t>Valladares</w:t>
      </w:r>
      <w:proofErr w:type="spellEnd"/>
      <w:r w:rsidRPr="00EA700F">
        <w:t xml:space="preserve"> et al. 2007). Traits associated with conservative resource use and better recovery following periods of extreme stress actually confer as much or greater fitness than traits associated with tolerating the event itself, such as </w:t>
      </w:r>
      <w:proofErr w:type="spellStart"/>
      <w:r w:rsidRPr="00EA700F">
        <w:t>thermotolerance</w:t>
      </w:r>
      <w:proofErr w:type="spellEnd"/>
      <w:r w:rsidR="00B064E3">
        <w:t xml:space="preserve"> </w:t>
      </w:r>
      <w:r w:rsidR="00FC0DFA">
        <w:fldChar w:fldCharType="begin" w:fldLock="1"/>
      </w:r>
      <w:r w:rsidR="00ED02F3">
        <w:instrText>ADDIN CSL_CITATION { "citationItems" : [ { "id" : "ITEM-1", "itemData" : { "DOI" : "10.1046/j.1469-8137.2003.00866.x", "ISSN" : "0028646X", "author" : [ { "dropping-particle" : "", "family" : "Gutschick", "given" : "Vincent P.", "non-dropping-particle" : "", "parse-names" : false, "suffix" : "" }, { "dropping-particle" : "", "family" : "BassiriRad", "given" : "Hormoz", "non-dropping-particle" : "", "parse-names" : false, "suffix" : "" } ], "container-title" : "New Phytologist", "id" : "ITEM-1", "issue" : "1", "issued" : { "date-parts" : [ [ "2003", "8", "12" ] ] }, "page" : "21-42", "title" : "Extreme events as shaping physiology, ecology, and evolution of plants: toward a unified definition and evaluation of their consequences", "type" : "article-journal", "volume" : "160" }, "uris" : [ "http://www.mendeley.com/documents/?uuid=7ffc4404-987e-4e41-9cde-a6e6cd93c21e" ] } ], "mendeley" : { "previouslyFormattedCitation" : "(Gutschick &amp; BassiriRad, 2003)" }, "properties" : { "noteIndex" : 0 }, "schema" : "https://github.com/citation-style-language/schema/raw/master/csl-citation.json" }</w:instrText>
      </w:r>
      <w:r w:rsidR="00FC0DFA">
        <w:fldChar w:fldCharType="separate"/>
      </w:r>
      <w:r w:rsidR="00FC0DFA" w:rsidRPr="00FC0DFA">
        <w:rPr>
          <w:noProof/>
        </w:rPr>
        <w:t>(Gutschick &amp; BassiriRad, 2003)</w:t>
      </w:r>
      <w:r w:rsidR="00FC0DFA">
        <w:fldChar w:fldCharType="end"/>
      </w:r>
      <w:r w:rsidRPr="00EA700F">
        <w:t xml:space="preserve">. </w:t>
      </w:r>
    </w:p>
    <w:p w14:paraId="4875D9DD" w14:textId="684A79DE" w:rsidR="00B634E6" w:rsidRPr="00EA700F" w:rsidRDefault="00B634E6" w:rsidP="00A22B81">
      <w:pPr>
        <w:spacing w:line="360" w:lineRule="auto"/>
        <w:jc w:val="both"/>
      </w:pPr>
      <w:r w:rsidRPr="00EA700F">
        <w:t>Strategies in which species avoid harsh hydrological conditions by completing their lifecycles in between extreme events may also be successful. Pioneer species employing a fast relative growth rate, low wood density ecological strategy are benefitted by repeated setbacks to early successional conditions. Abundance weighted means may obfuscate the true pattern where differentiation in ecological strategy is strong, due to their inability to capture multimodality in trait distributions. In this case, higher abundance of these species would drive down mean wood density values through the upper ranges of disturbance intensity. This observation offers a potential explanation for the goodness of fit of quadratic models which begin to dip after reaching an apex at three quarters of their maximum value, rather than simply app</w:t>
      </w:r>
      <w:r w:rsidR="00FC0DFA">
        <w:t>roaching an asymptote (e.g. Fig 3a</w:t>
      </w:r>
      <w:proofErr w:type="gramStart"/>
      <w:r w:rsidR="00FC0DFA">
        <w:t>,d</w:t>
      </w:r>
      <w:proofErr w:type="gramEnd"/>
      <w:r w:rsidR="00FC0DFA">
        <w:t>, Fig 4a,b,d</w:t>
      </w:r>
      <w:r w:rsidRPr="00EA700F">
        <w:t xml:space="preserve">). </w:t>
      </w:r>
    </w:p>
    <w:p w14:paraId="6C33C315" w14:textId="57496E15" w:rsidR="00B634E6" w:rsidRPr="00EA700F" w:rsidRDefault="00B634E6" w:rsidP="00A22B81">
      <w:pPr>
        <w:spacing w:line="360" w:lineRule="auto"/>
        <w:jc w:val="both"/>
      </w:pPr>
      <w:r w:rsidRPr="00EA700F">
        <w:t xml:space="preserve">Another further for coping with harsh conditions is possible. Some species also have the ability to radically change their wood density throughout their life history. </w:t>
      </w:r>
      <w:r w:rsidRPr="00EA700F">
        <w:rPr>
          <w:i/>
        </w:rPr>
        <w:t xml:space="preserve">Casuarina </w:t>
      </w:r>
      <w:proofErr w:type="spellStart"/>
      <w:r w:rsidRPr="00EA700F">
        <w:rPr>
          <w:i/>
        </w:rPr>
        <w:t>cunnhinghamiana</w:t>
      </w:r>
      <w:proofErr w:type="spellEnd"/>
      <w:r w:rsidRPr="00EA700F">
        <w:t>, for instance, is an obligate riparian species whose entire life history revolves around response to flooding disturbance</w:t>
      </w:r>
      <w:r w:rsidR="00DB30C6">
        <w:t xml:space="preserve"> </w:t>
      </w:r>
      <w:r w:rsidR="00DB30C6">
        <w:fldChar w:fldCharType="begin" w:fldLock="1"/>
      </w:r>
      <w:r w:rsidR="00ED02F3">
        <w:instrText>ADDIN CSL_CITATION { "citationItems" : [ { "id" : "ITEM-1", "itemData" : { "author" : [ { "dropping-particle" : "", "family" : "Woolfrey", "given" : "A. R.", "non-dropping-particle" : "", "parse-names" : false, "suffix" : "" }, { "dropping-particle" : "", "family" : "Ladd", "given" : "P.G", "non-dropping-particle" : "", "parse-names" : false, "suffix" : "" } ], "container-title" : "Australian Journal of Botany", "id" : "ITEM-1", "issue" : "6", "issued" : { "date-parts" : [ [ "2001" ] ] }, "page" : "705-715", "title" : "Habitat preference and reproductive traits of a major Australian riparian tree species (Casuarina cunninghamiana)", "type" : "article-journal", "volume" : "49" }, "uris" : [ "http://www.mendeley.com/documents/?uuid=bfd953ea-fda8-4b75-8a8c-e52e3123f27b" ] } ], "mendeley" : { "previouslyFormattedCitation" : "(Woolfrey &amp; Ladd, 2001)" }, "properties" : { "noteIndex" : 0 }, "schema" : "https://github.com/citation-style-language/schema/raw/master/csl-citation.json" }</w:instrText>
      </w:r>
      <w:r w:rsidR="00DB30C6">
        <w:fldChar w:fldCharType="separate"/>
      </w:r>
      <w:r w:rsidR="00DB30C6" w:rsidRPr="00DB30C6">
        <w:rPr>
          <w:noProof/>
        </w:rPr>
        <w:t>(Woolfrey &amp; Ladd, 2001)</w:t>
      </w:r>
      <w:r w:rsidR="00DB30C6">
        <w:fldChar w:fldCharType="end"/>
      </w:r>
      <w:r w:rsidRPr="00EA700F">
        <w:t xml:space="preserve">. After seeding </w:t>
      </w:r>
      <w:r w:rsidRPr="00EA700F">
        <w:rPr>
          <w:i/>
        </w:rPr>
        <w:t xml:space="preserve">en masse </w:t>
      </w:r>
      <w:r w:rsidRPr="00EA700F">
        <w:t xml:space="preserve">onto fresh substrate, dense stands of flexible-stemmed saplings emerge, protecting each other from flood flows. Self-thinning subsequently occurs, and stem wood density increases in the maturing plant to help it withstand its environment. This strategy is likewise difficult to capture using abundance weighted means. </w:t>
      </w:r>
    </w:p>
    <w:p w14:paraId="18CFE7A1" w14:textId="4EB0203D" w:rsidR="00B634E6" w:rsidRPr="00EA700F" w:rsidRDefault="00B634E6" w:rsidP="00A22B81">
      <w:pPr>
        <w:spacing w:line="360" w:lineRule="auto"/>
        <w:jc w:val="both"/>
      </w:pPr>
      <w:r w:rsidRPr="00EA700F">
        <w:t xml:space="preserve">The gradient identified by </w:t>
      </w:r>
      <w:r w:rsidR="00ED02F3">
        <w:t>p</w:t>
      </w:r>
      <w:r w:rsidRPr="00EA700F">
        <w:t xml:space="preserve">rincipal </w:t>
      </w:r>
      <w:r w:rsidR="00ED02F3">
        <w:t>c</w:t>
      </w:r>
      <w:r w:rsidRPr="00EA700F">
        <w:t xml:space="preserve">omponents </w:t>
      </w:r>
      <w:r w:rsidR="00ED02F3">
        <w:t>a</w:t>
      </w:r>
      <w:r w:rsidRPr="00EA700F">
        <w:t xml:space="preserve">nalysis integrates predictability of water availability, seasonality and flood intensity into a single axis of hydrological variation. It is not possible to tease out individual drivers of variation in wood density, the conditions associated with both environmental unpredictability and mechanical disturbance act in unison to constrain community wood density to higher mean values. Based on our findings, hydrological regionalisation frameworks that distinguish between rivers according to predictability and </w:t>
      </w:r>
      <w:proofErr w:type="spellStart"/>
      <w:r w:rsidRPr="00EA700F">
        <w:t>perenniality</w:t>
      </w:r>
      <w:proofErr w:type="spellEnd"/>
      <w:r w:rsidRPr="00EA700F">
        <w:t xml:space="preserve"> of flow provide a basis for predicting wood density. </w:t>
      </w:r>
    </w:p>
    <w:p w14:paraId="42DF420E" w14:textId="61EE5D58" w:rsidR="00B634E6" w:rsidRPr="00EA700F" w:rsidRDefault="00B634E6" w:rsidP="00A22B81">
      <w:pPr>
        <w:spacing w:line="360" w:lineRule="auto"/>
        <w:jc w:val="both"/>
      </w:pPr>
      <w:r w:rsidRPr="00EA700F">
        <w:lastRenderedPageBreak/>
        <w:t>Hydrological classification therefore becomes useful in projecting changes to the functional attributes of riparian plant communities u</w:t>
      </w:r>
      <w:r w:rsidR="00ED02F3">
        <w:t xml:space="preserve">nder changing flow conditions. </w:t>
      </w:r>
      <w:r w:rsidRPr="00EA700F">
        <w:t xml:space="preserve">In the south-eastern Australian context, changing flow conditions are caused by damming and water extraction, and the changing climate </w:t>
      </w:r>
      <w:r w:rsidRPr="00EA700F">
        <w:rPr>
          <w:lang w:val="en-US"/>
        </w:rPr>
        <w:fldChar w:fldCharType="begin" w:fldLock="1"/>
      </w:r>
      <w:r w:rsidR="00ED02F3">
        <w:rPr>
          <w:lang w:val="en-US"/>
        </w:rPr>
        <w:instrText>ADDIN CSL_CITATION { "citationItems" : [ { "id" : "ITEM-1", "itemData" : { "author" : [ { "dropping-particle" : "", "family" : "Australian State of the Environment Committee", "given" : "", "non-dropping-particle" : "", "parse-names" : false, "suffix" : "" } ], "id" : "ITEM-1", "issued" : { "date-parts" : [ [ "2011" ] ] }, "title" : "Australian State of the Environment Report - Inland Waters", "type" : "article-journal" }, "uris" : [ "http://www.mendeley.com/documents/?uuid=b5af4a78-8043-4400-89d6-8fdeb2bdb38f" ] } ], "mendeley" : { "previouslyFormattedCitation" : "(Australian State of the Environment Committee, 2011)" }, "properties" : { "noteIndex" : 0 }, "schema" : "https://github.com/citation-style-language/schema/raw/master/csl-citation.json" }</w:instrText>
      </w:r>
      <w:r w:rsidRPr="00EA700F">
        <w:rPr>
          <w:lang w:val="en-US"/>
        </w:rPr>
        <w:fldChar w:fldCharType="separate"/>
      </w:r>
      <w:r w:rsidR="007137EA" w:rsidRPr="00EA700F">
        <w:rPr>
          <w:noProof/>
          <w:lang w:val="en-US"/>
        </w:rPr>
        <w:t>(Australian State of the Environment Committee, 2011)</w:t>
      </w:r>
      <w:r w:rsidRPr="00EA700F">
        <w:rPr>
          <w:lang w:val="en-US"/>
        </w:rPr>
        <w:fldChar w:fldCharType="end"/>
      </w:r>
      <w:r w:rsidRPr="00EA700F">
        <w:t xml:space="preserve">. Artificial flow modification by damming and water extraction reduces overall flow volume and the magnitude and frequency of high flow events, while increasing flow predictability and altering seasonality.  The converse of this situation is presented by predictions of future climatic conditions: </w:t>
      </w:r>
      <w:proofErr w:type="spellStart"/>
      <w:r w:rsidRPr="00EA700F">
        <w:t>i</w:t>
      </w:r>
      <w:proofErr w:type="spellEnd"/>
      <w:r w:rsidRPr="00EA700F">
        <w:rPr>
          <w:lang w:val="en-US"/>
        </w:rPr>
        <w:t>n Australia, warming of 0.4 – 0.7</w:t>
      </w:r>
      <w:r w:rsidRPr="00EA700F">
        <w:rPr>
          <w:vertAlign w:val="superscript"/>
          <w:lang w:val="en-US"/>
        </w:rPr>
        <w:t>o</w:t>
      </w:r>
      <w:r w:rsidRPr="00EA700F">
        <w:rPr>
          <w:lang w:val="en-US"/>
        </w:rPr>
        <w:t xml:space="preserve">C has occurred since 1950, attended by a reduction in rainfall across southern and eastern regions of the </w:t>
      </w:r>
      <w:proofErr w:type="gramStart"/>
      <w:r w:rsidRPr="00EA700F">
        <w:rPr>
          <w:lang w:val="en-US"/>
        </w:rPr>
        <w:t>continent</w:t>
      </w:r>
      <w:proofErr w:type="gramEnd"/>
      <w:r w:rsidRPr="00EA700F">
        <w:rPr>
          <w:lang w:val="en-US"/>
        </w:rPr>
        <w:t xml:space="preserve">, and an increase in intensity of droughts.  Increases in flooding and drought are predicted with high confidence over the next century </w:t>
      </w:r>
      <w:r w:rsidRPr="00EA700F">
        <w:rPr>
          <w:lang w:val="en-US"/>
        </w:rPr>
        <w:fldChar w:fldCharType="begin" w:fldLock="1"/>
      </w:r>
      <w:r w:rsidR="00ED02F3">
        <w:rPr>
          <w:lang w:val="en-US"/>
        </w:rPr>
        <w:instrText>ADDIN CSL_CITATION { "citationItems" : [ { "id" : "ITEM-1", "itemData" : { "author" : [ { "dropping-particle" : "", "family" : "Hennessy", "given" : "K", "non-dropping-particle" : "", "parse-names" : false, "suffix" : "" }, { "dropping-particle" : "", "family" : "Fitzharris", "given" : "B", "non-dropping-particle" : "", "parse-names" : false, "suffix" : "" }, { "dropping-particle" : "", "family" : "Bates", "given" : "B.C.", "non-dropping-particle" : "", "parse-names" : false, "suffix" : "" }, { "dropping-particle" : "", "family" : "Harvey", "given" : "N", "non-dropping-particle" : "", "parse-names" : false, "suffix" : "" }, { "dropping-particle" : "", "family" : "SM", "given" : "Howden", "non-dropping-particle" : "", "parse-names" : false, "suffix" : "" }, { "dropping-particle" : "", "family" : "L", "given" : "Hughes", "non-dropping-particle" : "", "parse-names" : false, "suffix" : "" }, { "dropping-particle" : "", "family" : "J", "given" : "Sallinger", "non-dropping-particle" : "", "parse-names" : false, "suffix" : "" }, { "dropping-particle" : "", "family" : "Warrick", "given" : "R", "non-dropping-particle" : "", "parse-names" : false, "suffix" : "" } ], "editor" : [ { "dropping-particle" : "", "family" : "Parry", "given" : "M.L", "non-dropping-particle" : "", "parse-names" : false, "suffix" : "" }, { "dropping-particle" : "", "family" : "Canziani", "given" : "O.F", "non-dropping-particle" : "", "parse-names" : false, "suffix" : "" }, { "dropping-particle" : "", "family" : "Palutikof", "given" : "J.P", "non-dropping-particle" : "", "parse-names" : false, "suffix" : "" }, { "dropping-particle" : "", "family" : "Linden", "given" : "P.J", "non-dropping-particle" : "van der", "parse-names" : false, "suffix" : "" }, { "dropping-particle" : "", "family" : "Hanson", "given" : "C.E", "non-dropping-particle" : "", "parse-names" : false, "suffix" : "" } ], "id" : "ITEM-1", "issued" : { "date-parts" : [ [ "2007" ] ] }, "page" : "507-540", "publisher" : "Cambridge University Press", "publisher-place" : "Cambridge", "title" : "Climate Change 2007: Impacts, Adaptation and Vulnerability. Contribution of Working Group II to the Fourth Assessment Report of the Intergovernmental Panel on Climate Change", "type" : "book" }, "uris" : [ "http://www.mendeley.com/documents/?uuid=df1b6938-9c84-48db-b7f4-236d4455d7ee" ] } ], "mendeley" : { "previouslyFormattedCitation" : "(Hennessy et al., 2007)" }, "properties" : { "noteIndex" : 0 }, "schema" : "https://github.com/citation-style-language/schema/raw/master/csl-citation.json" }</w:instrText>
      </w:r>
      <w:r w:rsidRPr="00EA700F">
        <w:rPr>
          <w:lang w:val="en-US"/>
        </w:rPr>
        <w:fldChar w:fldCharType="separate"/>
      </w:r>
      <w:r w:rsidR="007137EA" w:rsidRPr="00EA700F">
        <w:rPr>
          <w:noProof/>
          <w:lang w:val="en-US"/>
        </w:rPr>
        <w:t>(Hennessy et al., 2007)</w:t>
      </w:r>
      <w:r w:rsidRPr="00EA700F">
        <w:rPr>
          <w:lang w:val="en-US"/>
        </w:rPr>
        <w:fldChar w:fldCharType="end"/>
      </w:r>
      <w:r w:rsidRPr="00EA700F">
        <w:rPr>
          <w:lang w:val="en-US"/>
        </w:rPr>
        <w:t>. Overall, climate change projections highlight increasing climatic variability and unpredictability, and intensification of the ENSO phenomenon that is an integral driver of eastern Australia’s climate patterns</w:t>
      </w:r>
      <w:r w:rsidR="00ED02F3">
        <w:rPr>
          <w:lang w:val="en-US"/>
        </w:rPr>
        <w:t xml:space="preserve"> </w:t>
      </w:r>
      <w:r w:rsidR="00ED02F3">
        <w:rPr>
          <w:lang w:val="en-US"/>
        </w:rPr>
        <w:fldChar w:fldCharType="begin" w:fldLock="1"/>
      </w:r>
      <w:r w:rsidR="00ED02F3">
        <w:rPr>
          <w:lang w:val="en-US"/>
        </w:rPr>
        <w:instrText>ADDIN CSL_CITATION { "citationItems" : [ { "id" : "ITEM-1", "itemData" : { "author" : [ { "dropping-particle" : "", "family" : "Hennessy", "given" : "K", "non-dropping-particle" : "", "parse-names" : false, "suffix" : "" }, { "dropping-particle" : "", "family" : "Fawcett", "given" : "R", "non-dropping-particle" : "", "parse-names" : false, "suffix" : "" }, { "dropping-particle" : "", "family" : "Kirono", "given" : "D", "non-dropping-particle" : "", "parse-names" : false, "suffix" : "" }, { "dropping-particle" : "", "family" : "Mpelasoka", "given" : "M", "non-dropping-particle" : "", "parse-names" : false, "suffix" : "" }, { "dropping-particle" : "", "family" : "Jones", "given" : "D", "non-dropping-particle" : "", "parse-names" : false, "suffix" : "" }, { "dropping-particle" : "", "family" : "Bathols", "given" : "J", "non-dropping-particle" : "", "parse-names" : false, "suffix" : "" }, { "dropping-particle" : "", "family" : "Whetton", "given" : "P", "non-dropping-particle" : "", "parse-names" : false, "suffix" : "" }, { "dropping-particle" : "", "family" : "Stafford Smith", "given" : "M", "non-dropping-particle" : "", "parse-names" : false, "suffix" : "" }, { "dropping-particle" : "", "family" : "Howden", "given" : "M", "non-dropping-particle" : "", "parse-names" : false, "suffix" : "" }, { "dropping-particle" : "", "family" : "Mitchell", "given" : "C", "non-dropping-particle" : "", "parse-names" : false, "suffix" : "" }, { "dropping-particle" : "", "family" : "Plummer", "given" : "N", "non-dropping-particle" : "", "parse-names" : false, "suffix" : "" } ], "id" : "ITEM-1", "issued" : { "date-parts" : [ [ "2008" ] ] }, "publisher" : "Department of Agriculture, Fisheries and Forestry, 2008.", "title" : "An assessment of the impact of climate change on the nature and frequency of exceptional climatic events", "type" : "report" }, "uris" : [ "http://www.mendeley.com/documents/?uuid=d82702ef-8091-4ec0-a03d-4493d84e1a06" ] } ], "mendeley" : { "previouslyFormattedCitation" : "(Hennessy et al., 2008)" }, "properties" : { "noteIndex" : 0 }, "schema" : "https://github.com/citation-style-language/schema/raw/master/csl-citation.json" }</w:instrText>
      </w:r>
      <w:r w:rsidR="00ED02F3">
        <w:rPr>
          <w:lang w:val="en-US"/>
        </w:rPr>
        <w:fldChar w:fldCharType="separate"/>
      </w:r>
      <w:r w:rsidR="00ED02F3" w:rsidRPr="00ED02F3">
        <w:rPr>
          <w:noProof/>
          <w:lang w:val="en-US"/>
        </w:rPr>
        <w:t>(Hennessy et al., 2008)</w:t>
      </w:r>
      <w:r w:rsidR="00ED02F3">
        <w:rPr>
          <w:lang w:val="en-US"/>
        </w:rPr>
        <w:fldChar w:fldCharType="end"/>
      </w:r>
      <w:r w:rsidRPr="00EA700F">
        <w:rPr>
          <w:lang w:val="en-US"/>
        </w:rPr>
        <w:t>.</w:t>
      </w:r>
      <w:r w:rsidRPr="00EA700F">
        <w:t xml:space="preserve"> If changes in spatial extent of climate zones can be related to changes in runoff - a complicated, but progressing area of research in </w:t>
      </w:r>
      <w:proofErr w:type="spellStart"/>
      <w:r w:rsidRPr="00EA700F">
        <w:t>hydroclimatology</w:t>
      </w:r>
      <w:proofErr w:type="spellEnd"/>
      <w:r w:rsidR="00ED02F3">
        <w:t xml:space="preserve"> </w:t>
      </w:r>
      <w:r w:rsidR="00ED02F3">
        <w:fldChar w:fldCharType="begin" w:fldLock="1"/>
      </w:r>
      <w:r w:rsidR="00ED02F3">
        <w:instrText>ADDIN CSL_CITATION { "citationItems" : [ { "id" : "ITEM-1", "itemData" : { "DOI" : "10.1177/0309133311402550", "ISSN" : "0309-1333", "author" : [ { "dropping-particle" : "", "family" : "Peel", "given" : "M. C.", "non-dropping-particle" : "", "parse-names" : false, "suffix" : "" }, { "dropping-particle" : "", "family" : "Bloschl", "given" : "G.", "non-dropping-particle" : "", "parse-names" : false, "suffix" : "" } ], "container-title" : "Progress in Physical Geography", "id" : "ITEM-1", "issue" : "2", "issued" : { "date-parts" : [ [ "2011", "3", "31" ] ] }, "page" : "249-261", "title" : "Hydrological modelling in a changing world", "type" : "article-journal", "volume" : "35" }, "uris" : [ "http://www.mendeley.com/documents/?uuid=006aa52a-bc89-491e-b86d-f214bdfe6a18" ] } ], "mendeley" : { "previouslyFormattedCitation" : "(Peel &amp; Bloschl, 2011)" }, "properties" : { "noteIndex" : 0 }, "schema" : "https://github.com/citation-style-language/schema/raw/master/csl-citation.json" }</w:instrText>
      </w:r>
      <w:r w:rsidR="00ED02F3">
        <w:fldChar w:fldCharType="separate"/>
      </w:r>
      <w:r w:rsidR="00ED02F3" w:rsidRPr="00ED02F3">
        <w:rPr>
          <w:noProof/>
        </w:rPr>
        <w:t>(Peel &amp; Bloschl, 2011)</w:t>
      </w:r>
      <w:r w:rsidR="00ED02F3">
        <w:fldChar w:fldCharType="end"/>
      </w:r>
      <w:r w:rsidRPr="00EA700F">
        <w:t xml:space="preserve"> – functional approaches to </w:t>
      </w:r>
      <w:proofErr w:type="spellStart"/>
      <w:r w:rsidRPr="00EA700F">
        <w:t>ecohydrology</w:t>
      </w:r>
      <w:proofErr w:type="spellEnd"/>
      <w:r w:rsidRPr="00EA700F">
        <w:t xml:space="preserve"> can give insight into the changing ecology of riparian plant communities.  </w:t>
      </w:r>
    </w:p>
    <w:p w14:paraId="39552D30" w14:textId="02D3C8FF" w:rsidR="00B634E6" w:rsidRPr="00EA700F" w:rsidRDefault="00B634E6" w:rsidP="00A22B81">
      <w:pPr>
        <w:spacing w:line="360" w:lineRule="auto"/>
        <w:jc w:val="both"/>
      </w:pPr>
      <w:r w:rsidRPr="00EA700F">
        <w:t>Our study emphasises the importance of hydrological conditions – particularly disturbance and environmental unpredictability, as determinants of ecological strategy in riparian plants. This is likely to hold important ecological consequences for riparian plant communities in south-eastern Australia, where increasing climatic variability and frequency of extreme events are hallmarks of climate change predictions.</w:t>
      </w:r>
    </w:p>
    <w:p w14:paraId="5EED4427" w14:textId="77777777" w:rsidR="007137EA" w:rsidRPr="00EA700F" w:rsidRDefault="007137EA" w:rsidP="00A22B81">
      <w:pPr>
        <w:spacing w:line="360" w:lineRule="auto"/>
        <w:jc w:val="both"/>
      </w:pPr>
    </w:p>
    <w:p w14:paraId="56AC6DCA" w14:textId="77777777" w:rsidR="007137EA" w:rsidRPr="00EA700F" w:rsidRDefault="007137EA" w:rsidP="00A22B81">
      <w:pPr>
        <w:spacing w:line="360" w:lineRule="auto"/>
        <w:jc w:val="both"/>
      </w:pPr>
    </w:p>
    <w:p w14:paraId="404EE54B" w14:textId="77777777" w:rsidR="007137EA" w:rsidRDefault="007137EA" w:rsidP="00A22B81">
      <w:pPr>
        <w:spacing w:line="360" w:lineRule="auto"/>
        <w:jc w:val="both"/>
      </w:pPr>
    </w:p>
    <w:p w14:paraId="461AD67E" w14:textId="77777777" w:rsidR="00576141" w:rsidRDefault="00576141" w:rsidP="00A22B81">
      <w:pPr>
        <w:spacing w:line="360" w:lineRule="auto"/>
        <w:jc w:val="both"/>
      </w:pPr>
    </w:p>
    <w:p w14:paraId="7F2932C0" w14:textId="77777777" w:rsidR="00576141" w:rsidRDefault="00576141" w:rsidP="00A22B81">
      <w:pPr>
        <w:spacing w:line="360" w:lineRule="auto"/>
        <w:jc w:val="both"/>
      </w:pPr>
    </w:p>
    <w:p w14:paraId="0E0496D4" w14:textId="77777777" w:rsidR="00576141" w:rsidRDefault="00576141" w:rsidP="00A22B81">
      <w:pPr>
        <w:spacing w:line="360" w:lineRule="auto"/>
        <w:jc w:val="both"/>
      </w:pPr>
    </w:p>
    <w:p w14:paraId="4F85EC7C" w14:textId="77777777" w:rsidR="00576141" w:rsidRDefault="00576141" w:rsidP="00A22B81">
      <w:pPr>
        <w:spacing w:line="360" w:lineRule="auto"/>
        <w:jc w:val="both"/>
      </w:pPr>
    </w:p>
    <w:p w14:paraId="710786C0" w14:textId="77777777" w:rsidR="00576141" w:rsidRDefault="00576141" w:rsidP="00A22B81">
      <w:pPr>
        <w:spacing w:line="360" w:lineRule="auto"/>
        <w:jc w:val="both"/>
      </w:pPr>
    </w:p>
    <w:p w14:paraId="6F47CA2E" w14:textId="77777777" w:rsidR="00576141" w:rsidRDefault="00576141" w:rsidP="00A22B81">
      <w:pPr>
        <w:spacing w:line="360" w:lineRule="auto"/>
        <w:jc w:val="both"/>
      </w:pPr>
    </w:p>
    <w:p w14:paraId="6F972967" w14:textId="77777777" w:rsidR="00576141" w:rsidRPr="00EA700F" w:rsidRDefault="00576141" w:rsidP="00A22B81">
      <w:pPr>
        <w:spacing w:line="360" w:lineRule="auto"/>
        <w:jc w:val="both"/>
      </w:pPr>
    </w:p>
    <w:p w14:paraId="7A8AE9BC" w14:textId="4B4B20E6" w:rsidR="007137EA" w:rsidRPr="00EF3710" w:rsidRDefault="007137EA" w:rsidP="00A22B81">
      <w:pPr>
        <w:spacing w:line="360" w:lineRule="auto"/>
        <w:jc w:val="both"/>
        <w:rPr>
          <w:b/>
          <w:sz w:val="20"/>
          <w:szCs w:val="20"/>
        </w:rPr>
      </w:pPr>
      <w:r w:rsidRPr="00EF3710">
        <w:rPr>
          <w:b/>
          <w:sz w:val="20"/>
          <w:szCs w:val="20"/>
        </w:rPr>
        <w:lastRenderedPageBreak/>
        <w:t>References</w:t>
      </w:r>
    </w:p>
    <w:p w14:paraId="11A99488" w14:textId="3BB85F46" w:rsidR="00ED02F3" w:rsidRPr="00EF3710" w:rsidRDefault="007137EA" w:rsidP="00A22B81">
      <w:pPr>
        <w:pStyle w:val="NormalWeb"/>
        <w:spacing w:line="360" w:lineRule="auto"/>
        <w:ind w:left="480" w:hanging="480"/>
        <w:divId w:val="1853950378"/>
        <w:rPr>
          <w:rFonts w:ascii="Calibri" w:hAnsi="Calibri"/>
          <w:noProof/>
          <w:sz w:val="20"/>
          <w:szCs w:val="20"/>
        </w:rPr>
      </w:pPr>
      <w:r w:rsidRPr="00EF3710">
        <w:rPr>
          <w:rFonts w:asciiTheme="minorHAnsi" w:hAnsiTheme="minorHAnsi"/>
          <w:b/>
          <w:sz w:val="20"/>
          <w:szCs w:val="20"/>
        </w:rPr>
        <w:fldChar w:fldCharType="begin" w:fldLock="1"/>
      </w:r>
      <w:r w:rsidRPr="00EF3710">
        <w:rPr>
          <w:rFonts w:asciiTheme="minorHAnsi" w:hAnsiTheme="minorHAnsi"/>
          <w:b/>
          <w:sz w:val="20"/>
          <w:szCs w:val="20"/>
        </w:rPr>
        <w:instrText xml:space="preserve">ADDIN Mendeley Bibliography CSL_BIBLIOGRAPHY </w:instrText>
      </w:r>
      <w:r w:rsidRPr="00EF3710">
        <w:rPr>
          <w:rFonts w:asciiTheme="minorHAnsi" w:hAnsiTheme="minorHAnsi"/>
          <w:b/>
          <w:sz w:val="20"/>
          <w:szCs w:val="20"/>
        </w:rPr>
        <w:fldChar w:fldCharType="separate"/>
      </w:r>
      <w:r w:rsidR="00ED02F3" w:rsidRPr="00EF3710">
        <w:rPr>
          <w:rFonts w:ascii="Calibri" w:hAnsi="Calibri"/>
          <w:noProof/>
          <w:sz w:val="20"/>
          <w:szCs w:val="20"/>
        </w:rPr>
        <w:t>Arthington, A., Mackay, S., James, C., Rolls, R., Sternberg, D., A, B., &amp; SJ, C. (2012). Ecological limits of hydrologic alteration: a test of the ELOHA framework in south-east Queensland, (75). Retrieved from http://nwc.gov.au/__data/assets/word_doc/0016/21724/Waterlines-75-Ecological-limits-of-hydrologic-alteration.doc</w:t>
      </w:r>
    </w:p>
    <w:p w14:paraId="31B3E266"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Augspurger, C. K., &amp; Kelly, C. K. (1984). Pathogen mortality of tropical tree seedlings: experimental studies of the effects of dispersal distance, seedling density, and light conditions. </w:t>
      </w:r>
      <w:r w:rsidRPr="00EF3710">
        <w:rPr>
          <w:rFonts w:ascii="Calibri" w:hAnsi="Calibri"/>
          <w:i/>
          <w:iCs/>
          <w:noProof/>
          <w:sz w:val="20"/>
          <w:szCs w:val="20"/>
        </w:rPr>
        <w:t>Oecologia</w:t>
      </w:r>
      <w:r w:rsidRPr="00EF3710">
        <w:rPr>
          <w:rFonts w:ascii="Calibri" w:hAnsi="Calibri"/>
          <w:noProof/>
          <w:sz w:val="20"/>
          <w:szCs w:val="20"/>
        </w:rPr>
        <w:t xml:space="preserve">, </w:t>
      </w:r>
      <w:r w:rsidRPr="00EF3710">
        <w:rPr>
          <w:rFonts w:ascii="Calibri" w:hAnsi="Calibri"/>
          <w:i/>
          <w:iCs/>
          <w:noProof/>
          <w:sz w:val="20"/>
          <w:szCs w:val="20"/>
        </w:rPr>
        <w:t>61</w:t>
      </w:r>
      <w:r w:rsidRPr="00EF3710">
        <w:rPr>
          <w:rFonts w:ascii="Calibri" w:hAnsi="Calibri"/>
          <w:noProof/>
          <w:sz w:val="20"/>
          <w:szCs w:val="20"/>
        </w:rPr>
        <w:t>(2), 211–217. doi:10.1007/BF00396763</w:t>
      </w:r>
    </w:p>
    <w:p w14:paraId="5D013759"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Australian State of the Environment Committee. (2011). Australian State of the Environment Report - Inland Waters.</w:t>
      </w:r>
    </w:p>
    <w:p w14:paraId="12B53870"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Catford, J. a., Naiman, R. J., Chambers, L. E., Roberts, J., Douglas, M., &amp; Davies, P. (2012). Predicting Novel Riparian Ecosystems in a Changing Climate. </w:t>
      </w:r>
      <w:r w:rsidRPr="00EF3710">
        <w:rPr>
          <w:rFonts w:ascii="Calibri" w:hAnsi="Calibri"/>
          <w:i/>
          <w:iCs/>
          <w:noProof/>
          <w:sz w:val="20"/>
          <w:szCs w:val="20"/>
        </w:rPr>
        <w:t>Ecosystems</w:t>
      </w:r>
      <w:r w:rsidRPr="00EF3710">
        <w:rPr>
          <w:rFonts w:ascii="Calibri" w:hAnsi="Calibri"/>
          <w:noProof/>
          <w:sz w:val="20"/>
          <w:szCs w:val="20"/>
        </w:rPr>
        <w:t xml:space="preserve">, </w:t>
      </w:r>
      <w:r w:rsidRPr="00EF3710">
        <w:rPr>
          <w:rFonts w:ascii="Calibri" w:hAnsi="Calibri"/>
          <w:i/>
          <w:iCs/>
          <w:noProof/>
          <w:sz w:val="20"/>
          <w:szCs w:val="20"/>
        </w:rPr>
        <w:t>June</w:t>
      </w:r>
      <w:r w:rsidRPr="00EF3710">
        <w:rPr>
          <w:rFonts w:ascii="Calibri" w:hAnsi="Calibri"/>
          <w:noProof/>
          <w:sz w:val="20"/>
          <w:szCs w:val="20"/>
        </w:rPr>
        <w:t>, 1–19. doi:10.1007/s10021-012-9566-7</w:t>
      </w:r>
    </w:p>
    <w:p w14:paraId="4D42D1C4"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Chave, J., Coomes, D., Jansen, S., Lewis, S. L., Swenson, N. G., &amp; Amy, E. (2009). Towards a worldwide wood economics spectrum. </w:t>
      </w:r>
      <w:r w:rsidRPr="00EF3710">
        <w:rPr>
          <w:rFonts w:ascii="Calibri" w:hAnsi="Calibri"/>
          <w:i/>
          <w:iCs/>
          <w:noProof/>
          <w:sz w:val="20"/>
          <w:szCs w:val="20"/>
        </w:rPr>
        <w:t>Ecology Letters</w:t>
      </w:r>
      <w:r w:rsidRPr="00EF3710">
        <w:rPr>
          <w:rFonts w:ascii="Calibri" w:hAnsi="Calibri"/>
          <w:noProof/>
          <w:sz w:val="20"/>
          <w:szCs w:val="20"/>
        </w:rPr>
        <w:t xml:space="preserve">, </w:t>
      </w:r>
      <w:r w:rsidRPr="00EF3710">
        <w:rPr>
          <w:rFonts w:ascii="Calibri" w:hAnsi="Calibri"/>
          <w:i/>
          <w:iCs/>
          <w:noProof/>
          <w:sz w:val="20"/>
          <w:szCs w:val="20"/>
        </w:rPr>
        <w:t>12</w:t>
      </w:r>
      <w:r w:rsidRPr="00EF3710">
        <w:rPr>
          <w:rFonts w:ascii="Calibri" w:hAnsi="Calibri"/>
          <w:noProof/>
          <w:sz w:val="20"/>
          <w:szCs w:val="20"/>
        </w:rPr>
        <w:t>(4), 351–366. doi:10.1111/j.1461-0248.2009.01285.x</w:t>
      </w:r>
    </w:p>
    <w:p w14:paraId="17762512"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Coley, P. (1983). Herbivory and defensive characteristics of tree species in a lowland tropical forest. </w:t>
      </w:r>
      <w:r w:rsidRPr="00EF3710">
        <w:rPr>
          <w:rFonts w:ascii="Calibri" w:hAnsi="Calibri"/>
          <w:i/>
          <w:iCs/>
          <w:noProof/>
          <w:sz w:val="20"/>
          <w:szCs w:val="20"/>
        </w:rPr>
        <w:t>Ecological Monographs</w:t>
      </w:r>
      <w:r w:rsidRPr="00EF3710">
        <w:rPr>
          <w:rFonts w:ascii="Calibri" w:hAnsi="Calibri"/>
          <w:noProof/>
          <w:sz w:val="20"/>
          <w:szCs w:val="20"/>
        </w:rPr>
        <w:t xml:space="preserve">, </w:t>
      </w:r>
      <w:r w:rsidRPr="00EF3710">
        <w:rPr>
          <w:rFonts w:ascii="Calibri" w:hAnsi="Calibri"/>
          <w:i/>
          <w:iCs/>
          <w:noProof/>
          <w:sz w:val="20"/>
          <w:szCs w:val="20"/>
        </w:rPr>
        <w:t>53</w:t>
      </w:r>
      <w:r w:rsidRPr="00EF3710">
        <w:rPr>
          <w:rFonts w:ascii="Calibri" w:hAnsi="Calibri"/>
          <w:noProof/>
          <w:sz w:val="20"/>
          <w:szCs w:val="20"/>
        </w:rPr>
        <w:t>(2). Retrieved from http://www.esajournals.org/doi/abs/10.2307/1942495</w:t>
      </w:r>
    </w:p>
    <w:p w14:paraId="2A78E75A"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Corenblit, D., Steiger, J., Gurnell, A. M., Tabacchi, E., &amp; Roques, L. (2009). Control of sediment dynamics by vegetation as a key function driving biogeomorphic succession within fluvial corridors. </w:t>
      </w:r>
      <w:r w:rsidRPr="00EF3710">
        <w:rPr>
          <w:rFonts w:ascii="Calibri" w:hAnsi="Calibri"/>
          <w:i/>
          <w:iCs/>
          <w:noProof/>
          <w:sz w:val="20"/>
          <w:szCs w:val="20"/>
        </w:rPr>
        <w:t>Earth Surface Processes and Landforms</w:t>
      </w:r>
      <w:r w:rsidRPr="00EF3710">
        <w:rPr>
          <w:rFonts w:ascii="Calibri" w:hAnsi="Calibri"/>
          <w:noProof/>
          <w:sz w:val="20"/>
          <w:szCs w:val="20"/>
        </w:rPr>
        <w:t xml:space="preserve">, </w:t>
      </w:r>
      <w:r w:rsidRPr="00EF3710">
        <w:rPr>
          <w:rFonts w:ascii="Calibri" w:hAnsi="Calibri"/>
          <w:i/>
          <w:iCs/>
          <w:noProof/>
          <w:sz w:val="20"/>
          <w:szCs w:val="20"/>
        </w:rPr>
        <w:t>1810</w:t>
      </w:r>
      <w:r w:rsidRPr="00EF3710">
        <w:rPr>
          <w:rFonts w:ascii="Calibri" w:hAnsi="Calibri"/>
          <w:noProof/>
          <w:sz w:val="20"/>
          <w:szCs w:val="20"/>
        </w:rPr>
        <w:t>, 1790–1810. doi:10.1002/esp</w:t>
      </w:r>
    </w:p>
    <w:p w14:paraId="7B5029EE"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Cornelissen, J. H. C. A., Lavorel, S. B., Garnier, E. B., Díaz, S. C., Buchmann, N. D., Gurvich, D. E. C., … Poorter, H. I. (2003). A handbook of protocols for standardised and easy measurement of plant functional traits worldwide. </w:t>
      </w:r>
      <w:r w:rsidRPr="00EF3710">
        <w:rPr>
          <w:rFonts w:ascii="Calibri" w:hAnsi="Calibri"/>
          <w:i/>
          <w:iCs/>
          <w:noProof/>
          <w:sz w:val="20"/>
          <w:szCs w:val="20"/>
        </w:rPr>
        <w:t>Australian Journal of Botany</w:t>
      </w:r>
      <w:r w:rsidRPr="00EF3710">
        <w:rPr>
          <w:rFonts w:ascii="Calibri" w:hAnsi="Calibri"/>
          <w:noProof/>
          <w:sz w:val="20"/>
          <w:szCs w:val="20"/>
        </w:rPr>
        <w:t xml:space="preserve">, </w:t>
      </w:r>
      <w:r w:rsidRPr="00EF3710">
        <w:rPr>
          <w:rFonts w:ascii="Calibri" w:hAnsi="Calibri"/>
          <w:i/>
          <w:iCs/>
          <w:noProof/>
          <w:sz w:val="20"/>
          <w:szCs w:val="20"/>
        </w:rPr>
        <w:t>51</w:t>
      </w:r>
      <w:r w:rsidRPr="00EF3710">
        <w:rPr>
          <w:rFonts w:ascii="Calibri" w:hAnsi="Calibri"/>
          <w:noProof/>
          <w:sz w:val="20"/>
          <w:szCs w:val="20"/>
        </w:rPr>
        <w:t>(4), 335–380.</w:t>
      </w:r>
    </w:p>
    <w:p w14:paraId="4D657F2E"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Curran, T. J., Gersbach, L. N., Edwards, W., &amp; Krockenberger, A. K. (2008). Wood density predicts plant damage and vegetative recovery rates caused by cyclone disturbance in tropical rainforest tree species of North Queensland, Australia. </w:t>
      </w:r>
      <w:r w:rsidRPr="00EF3710">
        <w:rPr>
          <w:rFonts w:ascii="Calibri" w:hAnsi="Calibri"/>
          <w:i/>
          <w:iCs/>
          <w:noProof/>
          <w:sz w:val="20"/>
          <w:szCs w:val="20"/>
        </w:rPr>
        <w:t>Austral Ecology</w:t>
      </w:r>
      <w:r w:rsidRPr="00EF3710">
        <w:rPr>
          <w:rFonts w:ascii="Calibri" w:hAnsi="Calibri"/>
          <w:noProof/>
          <w:sz w:val="20"/>
          <w:szCs w:val="20"/>
        </w:rPr>
        <w:t xml:space="preserve">, </w:t>
      </w:r>
      <w:r w:rsidRPr="00EF3710">
        <w:rPr>
          <w:rFonts w:ascii="Calibri" w:hAnsi="Calibri"/>
          <w:i/>
          <w:iCs/>
          <w:noProof/>
          <w:sz w:val="20"/>
          <w:szCs w:val="20"/>
        </w:rPr>
        <w:t>33</w:t>
      </w:r>
      <w:r w:rsidRPr="00EF3710">
        <w:rPr>
          <w:rFonts w:ascii="Calibri" w:hAnsi="Calibri"/>
          <w:noProof/>
          <w:sz w:val="20"/>
          <w:szCs w:val="20"/>
        </w:rPr>
        <w:t>(4), 442–450. doi:10.1111/j.1442-9993.2008.01899.x</w:t>
      </w:r>
    </w:p>
    <w:p w14:paraId="49CCDAF5"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Falster, D. S. (2006). Sapling strength and safety: the importance of wood density in tropical forests. </w:t>
      </w:r>
      <w:r w:rsidRPr="00EF3710">
        <w:rPr>
          <w:rFonts w:ascii="Calibri" w:hAnsi="Calibri"/>
          <w:i/>
          <w:iCs/>
          <w:noProof/>
          <w:sz w:val="20"/>
          <w:szCs w:val="20"/>
        </w:rPr>
        <w:t>The New Phytologist</w:t>
      </w:r>
      <w:r w:rsidRPr="00EF3710">
        <w:rPr>
          <w:rFonts w:ascii="Calibri" w:hAnsi="Calibri"/>
          <w:noProof/>
          <w:sz w:val="20"/>
          <w:szCs w:val="20"/>
        </w:rPr>
        <w:t xml:space="preserve">, </w:t>
      </w:r>
      <w:r w:rsidRPr="00EF3710">
        <w:rPr>
          <w:rFonts w:ascii="Calibri" w:hAnsi="Calibri"/>
          <w:i/>
          <w:iCs/>
          <w:noProof/>
          <w:sz w:val="20"/>
          <w:szCs w:val="20"/>
        </w:rPr>
        <w:t>171</w:t>
      </w:r>
      <w:r w:rsidRPr="00EF3710">
        <w:rPr>
          <w:rFonts w:ascii="Calibri" w:hAnsi="Calibri"/>
          <w:noProof/>
          <w:sz w:val="20"/>
          <w:szCs w:val="20"/>
        </w:rPr>
        <w:t>(2), 237–9. doi:10.1111/j.1469-8137.2006.01809.x</w:t>
      </w:r>
    </w:p>
    <w:p w14:paraId="52F8BB46"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Falster, D., &amp; Westoby, M. (2005). Alternative height strategies among 45 dicot rain forest species from tropical Queensland, Australia. </w:t>
      </w:r>
      <w:r w:rsidRPr="00EF3710">
        <w:rPr>
          <w:rFonts w:ascii="Calibri" w:hAnsi="Calibri"/>
          <w:i/>
          <w:iCs/>
          <w:noProof/>
          <w:sz w:val="20"/>
          <w:szCs w:val="20"/>
        </w:rPr>
        <w:t>Journal of Ecology</w:t>
      </w:r>
      <w:r w:rsidRPr="00EF3710">
        <w:rPr>
          <w:rFonts w:ascii="Calibri" w:hAnsi="Calibri"/>
          <w:noProof/>
          <w:sz w:val="20"/>
          <w:szCs w:val="20"/>
        </w:rPr>
        <w:t xml:space="preserve">, </w:t>
      </w:r>
      <w:r w:rsidRPr="00EF3710">
        <w:rPr>
          <w:rFonts w:ascii="Calibri" w:hAnsi="Calibri"/>
          <w:i/>
          <w:iCs/>
          <w:noProof/>
          <w:sz w:val="20"/>
          <w:szCs w:val="20"/>
        </w:rPr>
        <w:t>93</w:t>
      </w:r>
      <w:r w:rsidRPr="00EF3710">
        <w:rPr>
          <w:rFonts w:ascii="Calibri" w:hAnsi="Calibri"/>
          <w:noProof/>
          <w:sz w:val="20"/>
          <w:szCs w:val="20"/>
        </w:rPr>
        <w:t>, 521–535. doi:10.1111/j.1365-2745.2005.00992.x</w:t>
      </w:r>
    </w:p>
    <w:p w14:paraId="2B355734"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lastRenderedPageBreak/>
        <w:t xml:space="preserve">Gutschick, V. P., &amp; BassiriRad, H. (2003). Extreme events as shaping physiology, ecology, and evolution of plants: toward a unified definition and evaluation of their consequences. </w:t>
      </w:r>
      <w:r w:rsidRPr="00EF3710">
        <w:rPr>
          <w:rFonts w:ascii="Calibri" w:hAnsi="Calibri"/>
          <w:i/>
          <w:iCs/>
          <w:noProof/>
          <w:sz w:val="20"/>
          <w:szCs w:val="20"/>
        </w:rPr>
        <w:t>New Phytologist</w:t>
      </w:r>
      <w:r w:rsidRPr="00EF3710">
        <w:rPr>
          <w:rFonts w:ascii="Calibri" w:hAnsi="Calibri"/>
          <w:noProof/>
          <w:sz w:val="20"/>
          <w:szCs w:val="20"/>
        </w:rPr>
        <w:t xml:space="preserve">, </w:t>
      </w:r>
      <w:r w:rsidRPr="00EF3710">
        <w:rPr>
          <w:rFonts w:ascii="Calibri" w:hAnsi="Calibri"/>
          <w:i/>
          <w:iCs/>
          <w:noProof/>
          <w:sz w:val="20"/>
          <w:szCs w:val="20"/>
        </w:rPr>
        <w:t>160</w:t>
      </w:r>
      <w:r w:rsidRPr="00EF3710">
        <w:rPr>
          <w:rFonts w:ascii="Calibri" w:hAnsi="Calibri"/>
          <w:noProof/>
          <w:sz w:val="20"/>
          <w:szCs w:val="20"/>
        </w:rPr>
        <w:t>(1), 21–42. doi:10.1046/j.1469-8137.2003.00866.x</w:t>
      </w:r>
    </w:p>
    <w:p w14:paraId="385F3983"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Hacke, U. G., Sperry, J. S., Pockman, W. T., Davis, S. D., &amp; McCulloh, K. a. (2001). Trends in wood density and structure are linked to prevention of xylem implosion by negative pressure. </w:t>
      </w:r>
      <w:r w:rsidRPr="00EF3710">
        <w:rPr>
          <w:rFonts w:ascii="Calibri" w:hAnsi="Calibri"/>
          <w:i/>
          <w:iCs/>
          <w:noProof/>
          <w:sz w:val="20"/>
          <w:szCs w:val="20"/>
        </w:rPr>
        <w:t>Oecologia</w:t>
      </w:r>
      <w:r w:rsidRPr="00EF3710">
        <w:rPr>
          <w:rFonts w:ascii="Calibri" w:hAnsi="Calibri"/>
          <w:noProof/>
          <w:sz w:val="20"/>
          <w:szCs w:val="20"/>
        </w:rPr>
        <w:t xml:space="preserve">, </w:t>
      </w:r>
      <w:r w:rsidRPr="00EF3710">
        <w:rPr>
          <w:rFonts w:ascii="Calibri" w:hAnsi="Calibri"/>
          <w:i/>
          <w:iCs/>
          <w:noProof/>
          <w:sz w:val="20"/>
          <w:szCs w:val="20"/>
        </w:rPr>
        <w:t>126</w:t>
      </w:r>
      <w:r w:rsidRPr="00EF3710">
        <w:rPr>
          <w:rFonts w:ascii="Calibri" w:hAnsi="Calibri"/>
          <w:noProof/>
          <w:sz w:val="20"/>
          <w:szCs w:val="20"/>
        </w:rPr>
        <w:t>(4), 457–461. doi:10.1007/s004420100628</w:t>
      </w:r>
    </w:p>
    <w:p w14:paraId="382E2557"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Hennessy, K., Fawcett, R., Kirono, D., Mpelasoka, M., Jones, D., Bathols, J., … Plummer, N. (2008). </w:t>
      </w:r>
      <w:r w:rsidRPr="00EF3710">
        <w:rPr>
          <w:rFonts w:ascii="Calibri" w:hAnsi="Calibri"/>
          <w:i/>
          <w:iCs/>
          <w:noProof/>
          <w:sz w:val="20"/>
          <w:szCs w:val="20"/>
        </w:rPr>
        <w:t>An assessment of the impact of climate change on the nature and frequency of exceptional climatic events</w:t>
      </w:r>
      <w:r w:rsidRPr="00EF3710">
        <w:rPr>
          <w:rFonts w:ascii="Calibri" w:hAnsi="Calibri"/>
          <w:noProof/>
          <w:sz w:val="20"/>
          <w:szCs w:val="20"/>
        </w:rPr>
        <w:t>. Department of Agriculture, Fisheries and Forestry, 2008. Retrieved from http://www.oisaweb.es/documents/10148/30643/Impact+of+climate+change+on+the+nature+of+excepcional+climatic+events.pdf</w:t>
      </w:r>
    </w:p>
    <w:p w14:paraId="5D5B50C6"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Hennessy, K., Fitzharris, B., Bates, B. C., Harvey, N., SM, H., L, H., … Warrick, R. (2007). </w:t>
      </w:r>
      <w:r w:rsidRPr="00EF3710">
        <w:rPr>
          <w:rFonts w:ascii="Calibri" w:hAnsi="Calibri"/>
          <w:i/>
          <w:iCs/>
          <w:noProof/>
          <w:sz w:val="20"/>
          <w:szCs w:val="20"/>
        </w:rPr>
        <w:t>Climate Change 2007: Impacts, Adaptation and Vulnerability. Contribution of Working Group II to the Fourth Assessment Report of the Intergovernmental Panel on Climate Change</w:t>
      </w:r>
      <w:r w:rsidRPr="00EF3710">
        <w:rPr>
          <w:rFonts w:ascii="Calibri" w:hAnsi="Calibri"/>
          <w:noProof/>
          <w:sz w:val="20"/>
          <w:szCs w:val="20"/>
        </w:rPr>
        <w:t>. (M. . Parry, O. . Canziani, J. . Palutikof, P. . van der Linden, &amp; C. . Hanson, Eds.) (pp. 507–540). Cambridge: Cambridge University Press.</w:t>
      </w:r>
    </w:p>
    <w:p w14:paraId="1336916D"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Jacobsen, A., &amp; Ewers, F. (2005). Do xylem fibers affect vessel cavitation resistance? </w:t>
      </w:r>
      <w:r w:rsidRPr="00EF3710">
        <w:rPr>
          <w:rFonts w:ascii="Calibri" w:hAnsi="Calibri"/>
          <w:i/>
          <w:iCs/>
          <w:noProof/>
          <w:sz w:val="20"/>
          <w:szCs w:val="20"/>
        </w:rPr>
        <w:t>Plant Physiology</w:t>
      </w:r>
      <w:r w:rsidRPr="00EF3710">
        <w:rPr>
          <w:rFonts w:ascii="Calibri" w:hAnsi="Calibri"/>
          <w:noProof/>
          <w:sz w:val="20"/>
          <w:szCs w:val="20"/>
        </w:rPr>
        <w:t xml:space="preserve">, </w:t>
      </w:r>
      <w:r w:rsidRPr="00EF3710">
        <w:rPr>
          <w:rFonts w:ascii="Calibri" w:hAnsi="Calibri"/>
          <w:i/>
          <w:iCs/>
          <w:noProof/>
          <w:sz w:val="20"/>
          <w:szCs w:val="20"/>
        </w:rPr>
        <w:t>139</w:t>
      </w:r>
      <w:r w:rsidRPr="00EF3710">
        <w:rPr>
          <w:rFonts w:ascii="Calibri" w:hAnsi="Calibri"/>
          <w:noProof/>
          <w:sz w:val="20"/>
          <w:szCs w:val="20"/>
        </w:rPr>
        <w:t>(September), 546–556. doi:10.1104/pp.104.058404.result</w:t>
      </w:r>
    </w:p>
    <w:p w14:paraId="2F75BFBE"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Jacobsen, A. L., Agenbag, L., Esler, K. J., Pratt, R. B., Ewers, F. W., &amp; Davis, S. D. (2007). Xylem density, biomechanics and anatomical traits correlate with water stress in 17 evergreen shrub species of the Mediterranean-type climate region of South Africa. </w:t>
      </w:r>
      <w:r w:rsidRPr="00EF3710">
        <w:rPr>
          <w:rFonts w:ascii="Calibri" w:hAnsi="Calibri"/>
          <w:i/>
          <w:iCs/>
          <w:noProof/>
          <w:sz w:val="20"/>
          <w:szCs w:val="20"/>
        </w:rPr>
        <w:t>Journal of Ecology</w:t>
      </w:r>
      <w:r w:rsidRPr="00EF3710">
        <w:rPr>
          <w:rFonts w:ascii="Calibri" w:hAnsi="Calibri"/>
          <w:noProof/>
          <w:sz w:val="20"/>
          <w:szCs w:val="20"/>
        </w:rPr>
        <w:t xml:space="preserve">, </w:t>
      </w:r>
      <w:r w:rsidRPr="00EF3710">
        <w:rPr>
          <w:rFonts w:ascii="Calibri" w:hAnsi="Calibri"/>
          <w:i/>
          <w:iCs/>
          <w:noProof/>
          <w:sz w:val="20"/>
          <w:szCs w:val="20"/>
        </w:rPr>
        <w:t>95</w:t>
      </w:r>
      <w:r w:rsidRPr="00EF3710">
        <w:rPr>
          <w:rFonts w:ascii="Calibri" w:hAnsi="Calibri"/>
          <w:noProof/>
          <w:sz w:val="20"/>
          <w:szCs w:val="20"/>
        </w:rPr>
        <w:t>(1), 171–183. doi:10.1111/j.1365-2745.2006.01186.x</w:t>
      </w:r>
    </w:p>
    <w:p w14:paraId="534997E4"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Kattge, J., Díaz, S., Lavorel, S., Prentice, I. C., Leadley, P., Bönisch, G., … Wirth, C. (2011). TRY - a global database of plant traits. </w:t>
      </w:r>
      <w:r w:rsidRPr="00EF3710">
        <w:rPr>
          <w:rFonts w:ascii="Calibri" w:hAnsi="Calibri"/>
          <w:i/>
          <w:iCs/>
          <w:noProof/>
          <w:sz w:val="20"/>
          <w:szCs w:val="20"/>
        </w:rPr>
        <w:t>Global Change Biology</w:t>
      </w:r>
      <w:r w:rsidRPr="00EF3710">
        <w:rPr>
          <w:rFonts w:ascii="Calibri" w:hAnsi="Calibri"/>
          <w:noProof/>
          <w:sz w:val="20"/>
          <w:szCs w:val="20"/>
        </w:rPr>
        <w:t xml:space="preserve">, </w:t>
      </w:r>
      <w:r w:rsidRPr="00EF3710">
        <w:rPr>
          <w:rFonts w:ascii="Calibri" w:hAnsi="Calibri"/>
          <w:i/>
          <w:iCs/>
          <w:noProof/>
          <w:sz w:val="20"/>
          <w:szCs w:val="20"/>
        </w:rPr>
        <w:t>17</w:t>
      </w:r>
      <w:r w:rsidRPr="00EF3710">
        <w:rPr>
          <w:rFonts w:ascii="Calibri" w:hAnsi="Calibri"/>
          <w:noProof/>
          <w:sz w:val="20"/>
          <w:szCs w:val="20"/>
        </w:rPr>
        <w:t>(9), 2905–2935. doi:10.1111/j.1365-2486.2011.02451.x</w:t>
      </w:r>
    </w:p>
    <w:p w14:paraId="4954E4B0"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Kennard, M. J., Pusey, B. J., Olden, J. D., Mackay, S. J., Stein, J. L., &amp; Marsh, N. (2010). Classification of natural flow regimes in Australia to support environmental flow management. </w:t>
      </w:r>
      <w:r w:rsidRPr="00EF3710">
        <w:rPr>
          <w:rFonts w:ascii="Calibri" w:hAnsi="Calibri"/>
          <w:i/>
          <w:iCs/>
          <w:noProof/>
          <w:sz w:val="20"/>
          <w:szCs w:val="20"/>
        </w:rPr>
        <w:t>Freshwater Biology</w:t>
      </w:r>
      <w:r w:rsidRPr="00EF3710">
        <w:rPr>
          <w:rFonts w:ascii="Calibri" w:hAnsi="Calibri"/>
          <w:noProof/>
          <w:sz w:val="20"/>
          <w:szCs w:val="20"/>
        </w:rPr>
        <w:t xml:space="preserve">, </w:t>
      </w:r>
      <w:r w:rsidRPr="00EF3710">
        <w:rPr>
          <w:rFonts w:ascii="Calibri" w:hAnsi="Calibri"/>
          <w:i/>
          <w:iCs/>
          <w:noProof/>
          <w:sz w:val="20"/>
          <w:szCs w:val="20"/>
        </w:rPr>
        <w:t>55</w:t>
      </w:r>
      <w:r w:rsidRPr="00EF3710">
        <w:rPr>
          <w:rFonts w:ascii="Calibri" w:hAnsi="Calibri"/>
          <w:noProof/>
          <w:sz w:val="20"/>
          <w:szCs w:val="20"/>
        </w:rPr>
        <w:t>(1), 171–193. doi:10.1111/j.1365-2427.2009.02307.x</w:t>
      </w:r>
    </w:p>
    <w:p w14:paraId="58D60C20"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King, D. a., Davies, S. J., Tan, S., &amp; Noor, N. S. M. (2006). The role of wood density and stem support costs in the growth and mortality of tropical trees. </w:t>
      </w:r>
      <w:r w:rsidRPr="00EF3710">
        <w:rPr>
          <w:rFonts w:ascii="Calibri" w:hAnsi="Calibri"/>
          <w:i/>
          <w:iCs/>
          <w:noProof/>
          <w:sz w:val="20"/>
          <w:szCs w:val="20"/>
        </w:rPr>
        <w:t>Journal of Ecology</w:t>
      </w:r>
      <w:r w:rsidRPr="00EF3710">
        <w:rPr>
          <w:rFonts w:ascii="Calibri" w:hAnsi="Calibri"/>
          <w:noProof/>
          <w:sz w:val="20"/>
          <w:szCs w:val="20"/>
        </w:rPr>
        <w:t xml:space="preserve">, </w:t>
      </w:r>
      <w:r w:rsidRPr="00EF3710">
        <w:rPr>
          <w:rFonts w:ascii="Calibri" w:hAnsi="Calibri"/>
          <w:i/>
          <w:iCs/>
          <w:noProof/>
          <w:sz w:val="20"/>
          <w:szCs w:val="20"/>
        </w:rPr>
        <w:t>94</w:t>
      </w:r>
      <w:r w:rsidRPr="00EF3710">
        <w:rPr>
          <w:rFonts w:ascii="Calibri" w:hAnsi="Calibri"/>
          <w:noProof/>
          <w:sz w:val="20"/>
          <w:szCs w:val="20"/>
        </w:rPr>
        <w:t>(3), 670–680. doi:10.1111/j.1365-2745.2006.01112.x</w:t>
      </w:r>
    </w:p>
    <w:p w14:paraId="269C1FD0"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lastRenderedPageBreak/>
        <w:t xml:space="preserve">Kraft, N. J. B., Metz, M. R., Condit, R. S., &amp; Chave, J. (2010). The relationship between wood density and mortality in a global tropical forest data set. </w:t>
      </w:r>
      <w:r w:rsidRPr="00EF3710">
        <w:rPr>
          <w:rFonts w:ascii="Calibri" w:hAnsi="Calibri"/>
          <w:i/>
          <w:iCs/>
          <w:noProof/>
          <w:sz w:val="20"/>
          <w:szCs w:val="20"/>
        </w:rPr>
        <w:t>The New Phytologist</w:t>
      </w:r>
      <w:r w:rsidRPr="00EF3710">
        <w:rPr>
          <w:rFonts w:ascii="Calibri" w:hAnsi="Calibri"/>
          <w:noProof/>
          <w:sz w:val="20"/>
          <w:szCs w:val="20"/>
        </w:rPr>
        <w:t xml:space="preserve">, </w:t>
      </w:r>
      <w:r w:rsidRPr="00EF3710">
        <w:rPr>
          <w:rFonts w:ascii="Calibri" w:hAnsi="Calibri"/>
          <w:i/>
          <w:iCs/>
          <w:noProof/>
          <w:sz w:val="20"/>
          <w:szCs w:val="20"/>
        </w:rPr>
        <w:t>188</w:t>
      </w:r>
      <w:r w:rsidRPr="00EF3710">
        <w:rPr>
          <w:rFonts w:ascii="Calibri" w:hAnsi="Calibri"/>
          <w:noProof/>
          <w:sz w:val="20"/>
          <w:szCs w:val="20"/>
        </w:rPr>
        <w:t>(4), 1124–36. doi:10.1111/j.1469-8137.2010.03444.x</w:t>
      </w:r>
    </w:p>
    <w:p w14:paraId="4E7D2F86"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Lens, F., Sperry, J. S., Christman, M. a, Choat, B., Rabaey, D., &amp; Jansen, S. (2011). Testing hypotheses that link wood anatomy to cavitation resistance and hydraulic conductivity in the genus Acer. </w:t>
      </w:r>
      <w:r w:rsidRPr="00EF3710">
        <w:rPr>
          <w:rFonts w:ascii="Calibri" w:hAnsi="Calibri"/>
          <w:i/>
          <w:iCs/>
          <w:noProof/>
          <w:sz w:val="20"/>
          <w:szCs w:val="20"/>
        </w:rPr>
        <w:t>The New Phytologist</w:t>
      </w:r>
      <w:r w:rsidRPr="00EF3710">
        <w:rPr>
          <w:rFonts w:ascii="Calibri" w:hAnsi="Calibri"/>
          <w:noProof/>
          <w:sz w:val="20"/>
          <w:szCs w:val="20"/>
        </w:rPr>
        <w:t xml:space="preserve">, </w:t>
      </w:r>
      <w:r w:rsidRPr="00EF3710">
        <w:rPr>
          <w:rFonts w:ascii="Calibri" w:hAnsi="Calibri"/>
          <w:i/>
          <w:iCs/>
          <w:noProof/>
          <w:sz w:val="20"/>
          <w:szCs w:val="20"/>
        </w:rPr>
        <w:t>190</w:t>
      </w:r>
      <w:r w:rsidRPr="00EF3710">
        <w:rPr>
          <w:rFonts w:ascii="Calibri" w:hAnsi="Calibri"/>
          <w:noProof/>
          <w:sz w:val="20"/>
          <w:szCs w:val="20"/>
        </w:rPr>
        <w:t>(3), 709–23. doi:10.1111/j.1469-8137.2010.03518.x</w:t>
      </w:r>
    </w:p>
    <w:p w14:paraId="33951407"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Martínez-Cabrera, H. I., Jones, C. S., Espino, S., &amp; Schenk, H. J. (2009). Wood anatomy and wood density in shrubs: Responses to varying aridity along transcontinental transects. </w:t>
      </w:r>
      <w:r w:rsidRPr="00EF3710">
        <w:rPr>
          <w:rFonts w:ascii="Calibri" w:hAnsi="Calibri"/>
          <w:i/>
          <w:iCs/>
          <w:noProof/>
          <w:sz w:val="20"/>
          <w:szCs w:val="20"/>
        </w:rPr>
        <w:t>American Journal of Botany</w:t>
      </w:r>
      <w:r w:rsidRPr="00EF3710">
        <w:rPr>
          <w:rFonts w:ascii="Calibri" w:hAnsi="Calibri"/>
          <w:noProof/>
          <w:sz w:val="20"/>
          <w:szCs w:val="20"/>
        </w:rPr>
        <w:t xml:space="preserve">, </w:t>
      </w:r>
      <w:r w:rsidRPr="00EF3710">
        <w:rPr>
          <w:rFonts w:ascii="Calibri" w:hAnsi="Calibri"/>
          <w:i/>
          <w:iCs/>
          <w:noProof/>
          <w:sz w:val="20"/>
          <w:szCs w:val="20"/>
        </w:rPr>
        <w:t>96</w:t>
      </w:r>
      <w:r w:rsidRPr="00EF3710">
        <w:rPr>
          <w:rFonts w:ascii="Calibri" w:hAnsi="Calibri"/>
          <w:noProof/>
          <w:sz w:val="20"/>
          <w:szCs w:val="20"/>
        </w:rPr>
        <w:t>(8), 1388–98. doi:10.3732/ajb.0800237</w:t>
      </w:r>
    </w:p>
    <w:p w14:paraId="792E1D0B"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McGill, B. J., Enquist, B. J., Weiher, E., &amp; Westoby, M. (2006). Rebuilding community ecology from functional traits. </w:t>
      </w:r>
      <w:r w:rsidRPr="00EF3710">
        <w:rPr>
          <w:rFonts w:ascii="Calibri" w:hAnsi="Calibri"/>
          <w:i/>
          <w:iCs/>
          <w:noProof/>
          <w:sz w:val="20"/>
          <w:szCs w:val="20"/>
        </w:rPr>
        <w:t>Trends in Ecology &amp; Evolution</w:t>
      </w:r>
      <w:r w:rsidRPr="00EF3710">
        <w:rPr>
          <w:rFonts w:ascii="Calibri" w:hAnsi="Calibri"/>
          <w:noProof/>
          <w:sz w:val="20"/>
          <w:szCs w:val="20"/>
        </w:rPr>
        <w:t xml:space="preserve">, </w:t>
      </w:r>
      <w:r w:rsidRPr="00EF3710">
        <w:rPr>
          <w:rFonts w:ascii="Calibri" w:hAnsi="Calibri"/>
          <w:i/>
          <w:iCs/>
          <w:noProof/>
          <w:sz w:val="20"/>
          <w:szCs w:val="20"/>
        </w:rPr>
        <w:t>21</w:t>
      </w:r>
      <w:r w:rsidRPr="00EF3710">
        <w:rPr>
          <w:rFonts w:ascii="Calibri" w:hAnsi="Calibri"/>
          <w:noProof/>
          <w:sz w:val="20"/>
          <w:szCs w:val="20"/>
        </w:rPr>
        <w:t>(4), 178–85. doi:10.1016/j.tree.2006.02.002</w:t>
      </w:r>
    </w:p>
    <w:p w14:paraId="791D1A4A"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Merritt, D. M., Scott, M. L., Poff, N. L., Auble, G. T., &amp; Lytle, D. a. (2010). Theory, methods and tools for determining environmental flows for riparian vegetation: riparian vegetation-flow response guilds. </w:t>
      </w:r>
      <w:r w:rsidRPr="00EF3710">
        <w:rPr>
          <w:rFonts w:ascii="Calibri" w:hAnsi="Calibri"/>
          <w:i/>
          <w:iCs/>
          <w:noProof/>
          <w:sz w:val="20"/>
          <w:szCs w:val="20"/>
        </w:rPr>
        <w:t>Freshwater Biology</w:t>
      </w:r>
      <w:r w:rsidRPr="00EF3710">
        <w:rPr>
          <w:rFonts w:ascii="Calibri" w:hAnsi="Calibri"/>
          <w:noProof/>
          <w:sz w:val="20"/>
          <w:szCs w:val="20"/>
        </w:rPr>
        <w:t xml:space="preserve">, </w:t>
      </w:r>
      <w:r w:rsidRPr="00EF3710">
        <w:rPr>
          <w:rFonts w:ascii="Calibri" w:hAnsi="Calibri"/>
          <w:i/>
          <w:iCs/>
          <w:noProof/>
          <w:sz w:val="20"/>
          <w:szCs w:val="20"/>
        </w:rPr>
        <w:t>55</w:t>
      </w:r>
      <w:r w:rsidRPr="00EF3710">
        <w:rPr>
          <w:rFonts w:ascii="Calibri" w:hAnsi="Calibri"/>
          <w:noProof/>
          <w:sz w:val="20"/>
          <w:szCs w:val="20"/>
        </w:rPr>
        <w:t>(1), 206–225. doi:10.1111/j.1365-2427.2009.02206.x</w:t>
      </w:r>
    </w:p>
    <w:p w14:paraId="6C868D47"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Niklas, K. J., &amp; Spatz, H.-C. (2010). Worldwide correlations of mechanical properties and green wood density. </w:t>
      </w:r>
      <w:r w:rsidRPr="00EF3710">
        <w:rPr>
          <w:rFonts w:ascii="Calibri" w:hAnsi="Calibri"/>
          <w:i/>
          <w:iCs/>
          <w:noProof/>
          <w:sz w:val="20"/>
          <w:szCs w:val="20"/>
        </w:rPr>
        <w:t>American Journal of Botany</w:t>
      </w:r>
      <w:r w:rsidRPr="00EF3710">
        <w:rPr>
          <w:rFonts w:ascii="Calibri" w:hAnsi="Calibri"/>
          <w:noProof/>
          <w:sz w:val="20"/>
          <w:szCs w:val="20"/>
        </w:rPr>
        <w:t xml:space="preserve">, </w:t>
      </w:r>
      <w:r w:rsidRPr="00EF3710">
        <w:rPr>
          <w:rFonts w:ascii="Calibri" w:hAnsi="Calibri"/>
          <w:i/>
          <w:iCs/>
          <w:noProof/>
          <w:sz w:val="20"/>
          <w:szCs w:val="20"/>
        </w:rPr>
        <w:t>97</w:t>
      </w:r>
      <w:r w:rsidRPr="00EF3710">
        <w:rPr>
          <w:rFonts w:ascii="Calibri" w:hAnsi="Calibri"/>
          <w:noProof/>
          <w:sz w:val="20"/>
          <w:szCs w:val="20"/>
        </w:rPr>
        <w:t>(10), 1587–94. doi:10.3732/ajb.1000150</w:t>
      </w:r>
    </w:p>
    <w:p w14:paraId="00E6DB80"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Oksanen, J., Blanchet, F. G., Kindt, R., Legendre, P., Minchin, P. R., O’Hara, R. B., … Wagner, H. (2013). vegan: Community Ecology Package. Retrieved from http://cran.r-project.org/package=vegan</w:t>
      </w:r>
    </w:p>
    <w:p w14:paraId="337F76F9"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Olden, J. D., &amp; Poff, N. L. (2003). Redundancy and the choice of hydrologic indices for characterizing streamflow regimes. </w:t>
      </w:r>
      <w:r w:rsidRPr="00EF3710">
        <w:rPr>
          <w:rFonts w:ascii="Calibri" w:hAnsi="Calibri"/>
          <w:i/>
          <w:iCs/>
          <w:noProof/>
          <w:sz w:val="20"/>
          <w:szCs w:val="20"/>
        </w:rPr>
        <w:t>River Research and Applications</w:t>
      </w:r>
      <w:r w:rsidRPr="00EF3710">
        <w:rPr>
          <w:rFonts w:ascii="Calibri" w:hAnsi="Calibri"/>
          <w:noProof/>
          <w:sz w:val="20"/>
          <w:szCs w:val="20"/>
        </w:rPr>
        <w:t xml:space="preserve">, </w:t>
      </w:r>
      <w:r w:rsidRPr="00EF3710">
        <w:rPr>
          <w:rFonts w:ascii="Calibri" w:hAnsi="Calibri"/>
          <w:i/>
          <w:iCs/>
          <w:noProof/>
          <w:sz w:val="20"/>
          <w:szCs w:val="20"/>
        </w:rPr>
        <w:t>19</w:t>
      </w:r>
      <w:r w:rsidRPr="00EF3710">
        <w:rPr>
          <w:rFonts w:ascii="Calibri" w:hAnsi="Calibri"/>
          <w:noProof/>
          <w:sz w:val="20"/>
          <w:szCs w:val="20"/>
        </w:rPr>
        <w:t>(2), 101–121. doi:10.1002/rra.700</w:t>
      </w:r>
    </w:p>
    <w:p w14:paraId="3C03EE26"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Peel, M. C., &amp; Bloschl, G. (2011). Hydrological modelling in a changing world. </w:t>
      </w:r>
      <w:r w:rsidRPr="00EF3710">
        <w:rPr>
          <w:rFonts w:ascii="Calibri" w:hAnsi="Calibri"/>
          <w:i/>
          <w:iCs/>
          <w:noProof/>
          <w:sz w:val="20"/>
          <w:szCs w:val="20"/>
        </w:rPr>
        <w:t>Progress in Physical Geography</w:t>
      </w:r>
      <w:r w:rsidRPr="00EF3710">
        <w:rPr>
          <w:rFonts w:ascii="Calibri" w:hAnsi="Calibri"/>
          <w:noProof/>
          <w:sz w:val="20"/>
          <w:szCs w:val="20"/>
        </w:rPr>
        <w:t xml:space="preserve">, </w:t>
      </w:r>
      <w:r w:rsidRPr="00EF3710">
        <w:rPr>
          <w:rFonts w:ascii="Calibri" w:hAnsi="Calibri"/>
          <w:i/>
          <w:iCs/>
          <w:noProof/>
          <w:sz w:val="20"/>
          <w:szCs w:val="20"/>
        </w:rPr>
        <w:t>35</w:t>
      </w:r>
      <w:r w:rsidRPr="00EF3710">
        <w:rPr>
          <w:rFonts w:ascii="Calibri" w:hAnsi="Calibri"/>
          <w:noProof/>
          <w:sz w:val="20"/>
          <w:szCs w:val="20"/>
        </w:rPr>
        <w:t>(2), 249–261. doi:10.1177/0309133311402550</w:t>
      </w:r>
    </w:p>
    <w:p w14:paraId="7DD3F5EA"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Poff, N. L., Richter, B. D., Arthington, A. H., Bunn, S. E., Naiman, R. J., Kendy, E., … Warner, A. (2010). The ecological limits of hydrologic alteration (ELOHA): a new framework for developing regional environmental flow standards. </w:t>
      </w:r>
      <w:r w:rsidRPr="00EF3710">
        <w:rPr>
          <w:rFonts w:ascii="Calibri" w:hAnsi="Calibri"/>
          <w:i/>
          <w:iCs/>
          <w:noProof/>
          <w:sz w:val="20"/>
          <w:szCs w:val="20"/>
        </w:rPr>
        <w:t>Freshwater Biology</w:t>
      </w:r>
      <w:r w:rsidRPr="00EF3710">
        <w:rPr>
          <w:rFonts w:ascii="Calibri" w:hAnsi="Calibri"/>
          <w:noProof/>
          <w:sz w:val="20"/>
          <w:szCs w:val="20"/>
        </w:rPr>
        <w:t xml:space="preserve">, </w:t>
      </w:r>
      <w:r w:rsidRPr="00EF3710">
        <w:rPr>
          <w:rFonts w:ascii="Calibri" w:hAnsi="Calibri"/>
          <w:i/>
          <w:iCs/>
          <w:noProof/>
          <w:sz w:val="20"/>
          <w:szCs w:val="20"/>
        </w:rPr>
        <w:t>55</w:t>
      </w:r>
      <w:r w:rsidRPr="00EF3710">
        <w:rPr>
          <w:rFonts w:ascii="Calibri" w:hAnsi="Calibri"/>
          <w:noProof/>
          <w:sz w:val="20"/>
          <w:szCs w:val="20"/>
        </w:rPr>
        <w:t>(1), 147–170. doi:10.1111/j.1365-2427.2009.02204.x</w:t>
      </w:r>
    </w:p>
    <w:p w14:paraId="478E0CE4"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Poorter, L., McDonald, I., Alarcón, A., Fichtler, E., Licona, J.-C., Peña-Claros, M., … Sass-Klaassen, U. (2010). The importance of wood traits and hydraulic conductance for the performance and life history strategies of 42 rainforest tree species. </w:t>
      </w:r>
      <w:r w:rsidRPr="00EF3710">
        <w:rPr>
          <w:rFonts w:ascii="Calibri" w:hAnsi="Calibri"/>
          <w:i/>
          <w:iCs/>
          <w:noProof/>
          <w:sz w:val="20"/>
          <w:szCs w:val="20"/>
        </w:rPr>
        <w:t>The New Phytologist</w:t>
      </w:r>
      <w:r w:rsidRPr="00EF3710">
        <w:rPr>
          <w:rFonts w:ascii="Calibri" w:hAnsi="Calibri"/>
          <w:noProof/>
          <w:sz w:val="20"/>
          <w:szCs w:val="20"/>
        </w:rPr>
        <w:t xml:space="preserve">, </w:t>
      </w:r>
      <w:r w:rsidRPr="00EF3710">
        <w:rPr>
          <w:rFonts w:ascii="Calibri" w:hAnsi="Calibri"/>
          <w:i/>
          <w:iCs/>
          <w:noProof/>
          <w:sz w:val="20"/>
          <w:szCs w:val="20"/>
        </w:rPr>
        <w:t>185</w:t>
      </w:r>
      <w:r w:rsidRPr="00EF3710">
        <w:rPr>
          <w:rFonts w:ascii="Calibri" w:hAnsi="Calibri"/>
          <w:noProof/>
          <w:sz w:val="20"/>
          <w:szCs w:val="20"/>
        </w:rPr>
        <w:t>(2), 481–92. doi:10.1111/j.1469-8137.2009.03092.x</w:t>
      </w:r>
    </w:p>
    <w:p w14:paraId="2F915C79"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lastRenderedPageBreak/>
        <w:t xml:space="preserve">Poorter, L., Wright, S. J., Paz, H., Ackerly, D. D., Condit, R., Ibarra-Manríquez, G., … Wright, I. J. (2008). Are functional traits good predictors of demographic rates? Evidence from five neotropical forests. </w:t>
      </w:r>
      <w:r w:rsidRPr="00EF3710">
        <w:rPr>
          <w:rFonts w:ascii="Calibri" w:hAnsi="Calibri"/>
          <w:i/>
          <w:iCs/>
          <w:noProof/>
          <w:sz w:val="20"/>
          <w:szCs w:val="20"/>
        </w:rPr>
        <w:t>Ecology</w:t>
      </w:r>
      <w:r w:rsidRPr="00EF3710">
        <w:rPr>
          <w:rFonts w:ascii="Calibri" w:hAnsi="Calibri"/>
          <w:noProof/>
          <w:sz w:val="20"/>
          <w:szCs w:val="20"/>
        </w:rPr>
        <w:t xml:space="preserve">, </w:t>
      </w:r>
      <w:r w:rsidRPr="00EF3710">
        <w:rPr>
          <w:rFonts w:ascii="Calibri" w:hAnsi="Calibri"/>
          <w:i/>
          <w:iCs/>
          <w:noProof/>
          <w:sz w:val="20"/>
          <w:szCs w:val="20"/>
        </w:rPr>
        <w:t>89</w:t>
      </w:r>
      <w:r w:rsidRPr="00EF3710">
        <w:rPr>
          <w:rFonts w:ascii="Calibri" w:hAnsi="Calibri"/>
          <w:noProof/>
          <w:sz w:val="20"/>
          <w:szCs w:val="20"/>
        </w:rPr>
        <w:t>(7), 1908–20. Retrieved from http://www.ncbi.nlm.nih.gov/pubmed/18705377</w:t>
      </w:r>
    </w:p>
    <w:p w14:paraId="76955908"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Preston, K. a, Cornwell, W. K., &amp; Denoyer, J. L. (2006). Wood density and vessel traits as distinct correlates of ecological strategy in 51 California coast range angiosperms. </w:t>
      </w:r>
      <w:r w:rsidRPr="00EF3710">
        <w:rPr>
          <w:rFonts w:ascii="Calibri" w:hAnsi="Calibri"/>
          <w:i/>
          <w:iCs/>
          <w:noProof/>
          <w:sz w:val="20"/>
          <w:szCs w:val="20"/>
        </w:rPr>
        <w:t>The New Phytologist</w:t>
      </w:r>
      <w:r w:rsidRPr="00EF3710">
        <w:rPr>
          <w:rFonts w:ascii="Calibri" w:hAnsi="Calibri"/>
          <w:noProof/>
          <w:sz w:val="20"/>
          <w:szCs w:val="20"/>
        </w:rPr>
        <w:t xml:space="preserve">, </w:t>
      </w:r>
      <w:r w:rsidRPr="00EF3710">
        <w:rPr>
          <w:rFonts w:ascii="Calibri" w:hAnsi="Calibri"/>
          <w:i/>
          <w:iCs/>
          <w:noProof/>
          <w:sz w:val="20"/>
          <w:szCs w:val="20"/>
        </w:rPr>
        <w:t>170</w:t>
      </w:r>
      <w:r w:rsidRPr="00EF3710">
        <w:rPr>
          <w:rFonts w:ascii="Calibri" w:hAnsi="Calibri"/>
          <w:noProof/>
          <w:sz w:val="20"/>
          <w:szCs w:val="20"/>
        </w:rPr>
        <w:t>(4), 807–18. doi:10.1111/j.1469-8137.2006.01712.x</w:t>
      </w:r>
    </w:p>
    <w:p w14:paraId="5A858842"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R Core Team. (2013). R: A Language and Environment for Statistical Computing. Vienna, Austria. Retrieved from http://www.r-project.org/</w:t>
      </w:r>
    </w:p>
    <w:p w14:paraId="4FC92BA9"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Reich, P., &amp; Wright, I. (2003). The evolution of plant functional variation: traits, spectra, and strategies. </w:t>
      </w:r>
      <w:r w:rsidRPr="00EF3710">
        <w:rPr>
          <w:rFonts w:ascii="Calibri" w:hAnsi="Calibri"/>
          <w:i/>
          <w:iCs/>
          <w:noProof/>
          <w:sz w:val="20"/>
          <w:szCs w:val="20"/>
        </w:rPr>
        <w:t>International Journal of Plant Sciences</w:t>
      </w:r>
      <w:r w:rsidRPr="00EF3710">
        <w:rPr>
          <w:rFonts w:ascii="Calibri" w:hAnsi="Calibri"/>
          <w:noProof/>
          <w:sz w:val="20"/>
          <w:szCs w:val="20"/>
        </w:rPr>
        <w:t xml:space="preserve">, </w:t>
      </w:r>
      <w:r w:rsidRPr="00EF3710">
        <w:rPr>
          <w:rFonts w:ascii="Calibri" w:hAnsi="Calibri"/>
          <w:i/>
          <w:iCs/>
          <w:noProof/>
          <w:sz w:val="20"/>
          <w:szCs w:val="20"/>
        </w:rPr>
        <w:t>164</w:t>
      </w:r>
      <w:r w:rsidRPr="00EF3710">
        <w:rPr>
          <w:rFonts w:ascii="Calibri" w:hAnsi="Calibri"/>
          <w:noProof/>
          <w:sz w:val="20"/>
          <w:szCs w:val="20"/>
        </w:rPr>
        <w:t>(May 2003), 146–164. Retrieved from http://www.jstor.org/stable/10.1086/374368</w:t>
      </w:r>
    </w:p>
    <w:p w14:paraId="739CCA82"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Russo, S. E., Jenkins, K. L., Wiser, S. K., Uriarte, M., Duncan, R. P., &amp; Coomes, D. a. (2010). Interspecific relationships among growth, mortality and xylem traits of woody species from New Zealand. </w:t>
      </w:r>
      <w:r w:rsidRPr="00EF3710">
        <w:rPr>
          <w:rFonts w:ascii="Calibri" w:hAnsi="Calibri"/>
          <w:i/>
          <w:iCs/>
          <w:noProof/>
          <w:sz w:val="20"/>
          <w:szCs w:val="20"/>
        </w:rPr>
        <w:t>Functional Ecology</w:t>
      </w:r>
      <w:r w:rsidRPr="00EF3710">
        <w:rPr>
          <w:rFonts w:ascii="Calibri" w:hAnsi="Calibri"/>
          <w:noProof/>
          <w:sz w:val="20"/>
          <w:szCs w:val="20"/>
        </w:rPr>
        <w:t xml:space="preserve">, </w:t>
      </w:r>
      <w:r w:rsidRPr="00EF3710">
        <w:rPr>
          <w:rFonts w:ascii="Calibri" w:hAnsi="Calibri"/>
          <w:i/>
          <w:iCs/>
          <w:noProof/>
          <w:sz w:val="20"/>
          <w:szCs w:val="20"/>
        </w:rPr>
        <w:t>24</w:t>
      </w:r>
      <w:r w:rsidRPr="00EF3710">
        <w:rPr>
          <w:rFonts w:ascii="Calibri" w:hAnsi="Calibri"/>
          <w:noProof/>
          <w:sz w:val="20"/>
          <w:szCs w:val="20"/>
        </w:rPr>
        <w:t>(2), 253–262. doi:10.1111/j.1365-2435.2009.01670.x</w:t>
      </w:r>
    </w:p>
    <w:p w14:paraId="6111CE71"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Swenson, N., &amp; Enquist, B. (2007). Ecological and evolutionary determinants of a key plant functional trait: wood density and its community-wide variation across latitude and elevation. </w:t>
      </w:r>
      <w:r w:rsidRPr="00EF3710">
        <w:rPr>
          <w:rFonts w:ascii="Calibri" w:hAnsi="Calibri"/>
          <w:i/>
          <w:iCs/>
          <w:noProof/>
          <w:sz w:val="20"/>
          <w:szCs w:val="20"/>
        </w:rPr>
        <w:t>American Journal of Botany</w:t>
      </w:r>
      <w:r w:rsidRPr="00EF3710">
        <w:rPr>
          <w:rFonts w:ascii="Calibri" w:hAnsi="Calibri"/>
          <w:noProof/>
          <w:sz w:val="20"/>
          <w:szCs w:val="20"/>
        </w:rPr>
        <w:t xml:space="preserve">, </w:t>
      </w:r>
      <w:r w:rsidRPr="00EF3710">
        <w:rPr>
          <w:rFonts w:ascii="Calibri" w:hAnsi="Calibri"/>
          <w:i/>
          <w:iCs/>
          <w:noProof/>
          <w:sz w:val="20"/>
          <w:szCs w:val="20"/>
        </w:rPr>
        <w:t>94</w:t>
      </w:r>
      <w:r w:rsidRPr="00EF3710">
        <w:rPr>
          <w:rFonts w:ascii="Calibri" w:hAnsi="Calibri"/>
          <w:noProof/>
          <w:sz w:val="20"/>
          <w:szCs w:val="20"/>
        </w:rPr>
        <w:t>(3), 451–459. Retrieved from http://www.amjbot.org/content/94/3/451.short</w:t>
      </w:r>
    </w:p>
    <w:p w14:paraId="0329B094"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Valladares, F., Balaguer, L., Martinez-Ferri, E., Perez-Corona, E., &amp; Manrique, E. (2002). Plasticity, instability and canalization: is the phenotypic variation in seedlings of sclerophyll oaks consistent with the environmental unpredictability of Mediterranean ecosystems? </w:t>
      </w:r>
      <w:r w:rsidRPr="00EF3710">
        <w:rPr>
          <w:rFonts w:ascii="Calibri" w:hAnsi="Calibri"/>
          <w:i/>
          <w:iCs/>
          <w:noProof/>
          <w:sz w:val="20"/>
          <w:szCs w:val="20"/>
        </w:rPr>
        <w:t>New Phytologist</w:t>
      </w:r>
      <w:r w:rsidRPr="00EF3710">
        <w:rPr>
          <w:rFonts w:ascii="Calibri" w:hAnsi="Calibri"/>
          <w:noProof/>
          <w:sz w:val="20"/>
          <w:szCs w:val="20"/>
        </w:rPr>
        <w:t xml:space="preserve">, </w:t>
      </w:r>
      <w:r w:rsidRPr="00EF3710">
        <w:rPr>
          <w:rFonts w:ascii="Calibri" w:hAnsi="Calibri"/>
          <w:i/>
          <w:iCs/>
          <w:noProof/>
          <w:sz w:val="20"/>
          <w:szCs w:val="20"/>
        </w:rPr>
        <w:t>156</w:t>
      </w:r>
      <w:r w:rsidRPr="00EF3710">
        <w:rPr>
          <w:rFonts w:ascii="Calibri" w:hAnsi="Calibri"/>
          <w:noProof/>
          <w:sz w:val="20"/>
          <w:szCs w:val="20"/>
        </w:rPr>
        <w:t>(3), 457–467. doi:10.1046/j.1469-8137.2002.00525.x</w:t>
      </w:r>
    </w:p>
    <w:p w14:paraId="7167C3FA"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Valladares, F., Chico, J., &amp; Aranda, I. (2002). The greater seedling high-light tolerance of Quercus robur over Fagus sylvatica is linked to a greater physiological plasticity. </w:t>
      </w:r>
      <w:r w:rsidRPr="00EF3710">
        <w:rPr>
          <w:rFonts w:ascii="Calibri" w:hAnsi="Calibri"/>
          <w:i/>
          <w:iCs/>
          <w:noProof/>
          <w:sz w:val="20"/>
          <w:szCs w:val="20"/>
        </w:rPr>
        <w:t>Trees</w:t>
      </w:r>
      <w:r w:rsidRPr="00EF3710">
        <w:rPr>
          <w:rFonts w:ascii="Calibri" w:hAnsi="Calibri"/>
          <w:noProof/>
          <w:sz w:val="20"/>
          <w:szCs w:val="20"/>
        </w:rPr>
        <w:t xml:space="preserve">, </w:t>
      </w:r>
      <w:r w:rsidRPr="00EF3710">
        <w:rPr>
          <w:rFonts w:ascii="Calibri" w:hAnsi="Calibri"/>
          <w:i/>
          <w:iCs/>
          <w:noProof/>
          <w:sz w:val="20"/>
          <w:szCs w:val="20"/>
        </w:rPr>
        <w:t>16</w:t>
      </w:r>
      <w:r w:rsidRPr="00EF3710">
        <w:rPr>
          <w:rFonts w:ascii="Calibri" w:hAnsi="Calibri"/>
          <w:noProof/>
          <w:sz w:val="20"/>
          <w:szCs w:val="20"/>
        </w:rPr>
        <w:t>(6), 395–403. doi:10.1007/s00468-002-0184-4</w:t>
      </w:r>
    </w:p>
    <w:p w14:paraId="34D64017"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Weimann, M., &amp; Williamson, G. (2002). Geographic variation in wood specific gravity: effects of latitude, temperature and precipitation. </w:t>
      </w:r>
      <w:r w:rsidRPr="00EF3710">
        <w:rPr>
          <w:rFonts w:ascii="Calibri" w:hAnsi="Calibri"/>
          <w:i/>
          <w:iCs/>
          <w:noProof/>
          <w:sz w:val="20"/>
          <w:szCs w:val="20"/>
        </w:rPr>
        <w:t>Wood and Fiber Science</w:t>
      </w:r>
      <w:r w:rsidRPr="00EF3710">
        <w:rPr>
          <w:rFonts w:ascii="Calibri" w:hAnsi="Calibri"/>
          <w:noProof/>
          <w:sz w:val="20"/>
          <w:szCs w:val="20"/>
        </w:rPr>
        <w:t xml:space="preserve">, </w:t>
      </w:r>
      <w:r w:rsidRPr="00EF3710">
        <w:rPr>
          <w:rFonts w:ascii="Calibri" w:hAnsi="Calibri"/>
          <w:i/>
          <w:iCs/>
          <w:noProof/>
          <w:sz w:val="20"/>
          <w:szCs w:val="20"/>
        </w:rPr>
        <w:t>34</w:t>
      </w:r>
      <w:r w:rsidRPr="00EF3710">
        <w:rPr>
          <w:rFonts w:ascii="Calibri" w:hAnsi="Calibri"/>
          <w:noProof/>
          <w:sz w:val="20"/>
          <w:szCs w:val="20"/>
        </w:rPr>
        <w:t>(1), 96–107.</w:t>
      </w:r>
    </w:p>
    <w:p w14:paraId="1A657CE9"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Westoby, M. (1998). A leaf-height-seed (LHS) plant ecology strategy scheme. </w:t>
      </w:r>
      <w:r w:rsidRPr="00EF3710">
        <w:rPr>
          <w:rFonts w:ascii="Calibri" w:hAnsi="Calibri"/>
          <w:i/>
          <w:iCs/>
          <w:noProof/>
          <w:sz w:val="20"/>
          <w:szCs w:val="20"/>
        </w:rPr>
        <w:t>Plant and Soil</w:t>
      </w:r>
      <w:r w:rsidRPr="00EF3710">
        <w:rPr>
          <w:rFonts w:ascii="Calibri" w:hAnsi="Calibri"/>
          <w:noProof/>
          <w:sz w:val="20"/>
          <w:szCs w:val="20"/>
        </w:rPr>
        <w:t xml:space="preserve">, </w:t>
      </w:r>
      <w:r w:rsidRPr="00EF3710">
        <w:rPr>
          <w:rFonts w:ascii="Calibri" w:hAnsi="Calibri"/>
          <w:i/>
          <w:iCs/>
          <w:noProof/>
          <w:sz w:val="20"/>
          <w:szCs w:val="20"/>
        </w:rPr>
        <w:t>199</w:t>
      </w:r>
      <w:r w:rsidRPr="00EF3710">
        <w:rPr>
          <w:rFonts w:ascii="Calibri" w:hAnsi="Calibri"/>
          <w:noProof/>
          <w:sz w:val="20"/>
          <w:szCs w:val="20"/>
        </w:rPr>
        <w:t>(2), 213–227. Retrieved from http://www.springerlink.com/index/H5163540255151QR.pdf</w:t>
      </w:r>
    </w:p>
    <w:p w14:paraId="4275C638"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lastRenderedPageBreak/>
        <w:t xml:space="preserve">Westoby, M., Falster, D. S., Moles, A. T., Vesk, P. a., &amp; Wright, I. J. (2002). PLANT ECOLOGICAL STRATEGIES: Some Leading Dimensions of Variation Between Species. </w:t>
      </w:r>
      <w:r w:rsidRPr="00EF3710">
        <w:rPr>
          <w:rFonts w:ascii="Calibri" w:hAnsi="Calibri"/>
          <w:i/>
          <w:iCs/>
          <w:noProof/>
          <w:sz w:val="20"/>
          <w:szCs w:val="20"/>
        </w:rPr>
        <w:t>Annual Review of Ecology and Systematics</w:t>
      </w:r>
      <w:r w:rsidRPr="00EF3710">
        <w:rPr>
          <w:rFonts w:ascii="Calibri" w:hAnsi="Calibri"/>
          <w:noProof/>
          <w:sz w:val="20"/>
          <w:szCs w:val="20"/>
        </w:rPr>
        <w:t xml:space="preserve">, </w:t>
      </w:r>
      <w:r w:rsidRPr="00EF3710">
        <w:rPr>
          <w:rFonts w:ascii="Calibri" w:hAnsi="Calibri"/>
          <w:i/>
          <w:iCs/>
          <w:noProof/>
          <w:sz w:val="20"/>
          <w:szCs w:val="20"/>
        </w:rPr>
        <w:t>33</w:t>
      </w:r>
      <w:r w:rsidRPr="00EF3710">
        <w:rPr>
          <w:rFonts w:ascii="Calibri" w:hAnsi="Calibri"/>
          <w:noProof/>
          <w:sz w:val="20"/>
          <w:szCs w:val="20"/>
        </w:rPr>
        <w:t>(1), 125–159. doi:10.1146/annurev.ecolsys.33.010802.150452</w:t>
      </w:r>
    </w:p>
    <w:p w14:paraId="3B422870"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Westoby, M., &amp; Wright, I. J. (2006). Land-plant ecology on the basis of functional traits. </w:t>
      </w:r>
      <w:r w:rsidRPr="00EF3710">
        <w:rPr>
          <w:rFonts w:ascii="Calibri" w:hAnsi="Calibri"/>
          <w:i/>
          <w:iCs/>
          <w:noProof/>
          <w:sz w:val="20"/>
          <w:szCs w:val="20"/>
        </w:rPr>
        <w:t>Trends in Ecology &amp; Evolution</w:t>
      </w:r>
      <w:r w:rsidRPr="00EF3710">
        <w:rPr>
          <w:rFonts w:ascii="Calibri" w:hAnsi="Calibri"/>
          <w:noProof/>
          <w:sz w:val="20"/>
          <w:szCs w:val="20"/>
        </w:rPr>
        <w:t xml:space="preserve">, </w:t>
      </w:r>
      <w:r w:rsidRPr="00EF3710">
        <w:rPr>
          <w:rFonts w:ascii="Calibri" w:hAnsi="Calibri"/>
          <w:i/>
          <w:iCs/>
          <w:noProof/>
          <w:sz w:val="20"/>
          <w:szCs w:val="20"/>
        </w:rPr>
        <w:t>21</w:t>
      </w:r>
      <w:r w:rsidRPr="00EF3710">
        <w:rPr>
          <w:rFonts w:ascii="Calibri" w:hAnsi="Calibri"/>
          <w:noProof/>
          <w:sz w:val="20"/>
          <w:szCs w:val="20"/>
        </w:rPr>
        <w:t>(5), 261–8. doi:10.1016/j.tree.2006.02.004</w:t>
      </w:r>
    </w:p>
    <w:p w14:paraId="74161F36"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Woolfrey, A. R., &amp; Ladd, P. . (2001). Habitat preference and reproductive traits of a major Australian riparian tree species (Casuarina cunninghamiana). </w:t>
      </w:r>
      <w:r w:rsidRPr="00EF3710">
        <w:rPr>
          <w:rFonts w:ascii="Calibri" w:hAnsi="Calibri"/>
          <w:i/>
          <w:iCs/>
          <w:noProof/>
          <w:sz w:val="20"/>
          <w:szCs w:val="20"/>
        </w:rPr>
        <w:t>Australian Journal of Botany</w:t>
      </w:r>
      <w:r w:rsidRPr="00EF3710">
        <w:rPr>
          <w:rFonts w:ascii="Calibri" w:hAnsi="Calibri"/>
          <w:noProof/>
          <w:sz w:val="20"/>
          <w:szCs w:val="20"/>
        </w:rPr>
        <w:t xml:space="preserve">, </w:t>
      </w:r>
      <w:r w:rsidRPr="00EF3710">
        <w:rPr>
          <w:rFonts w:ascii="Calibri" w:hAnsi="Calibri"/>
          <w:i/>
          <w:iCs/>
          <w:noProof/>
          <w:sz w:val="20"/>
          <w:szCs w:val="20"/>
        </w:rPr>
        <w:t>49</w:t>
      </w:r>
      <w:r w:rsidRPr="00EF3710">
        <w:rPr>
          <w:rFonts w:ascii="Calibri" w:hAnsi="Calibri"/>
          <w:noProof/>
          <w:sz w:val="20"/>
          <w:szCs w:val="20"/>
        </w:rPr>
        <w:t>(6), 705–715.</w:t>
      </w:r>
    </w:p>
    <w:p w14:paraId="0FB8423F"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Wright, S. J., Kitajima, K., Kraft, N. J. B., Reich, P. B., Wright, I. J., Bunker, D. E., … Zanne, A. E. (2010). Functional traits and the growth-mortality trade-off in tropical trees. </w:t>
      </w:r>
      <w:r w:rsidRPr="00EF3710">
        <w:rPr>
          <w:rFonts w:ascii="Calibri" w:hAnsi="Calibri"/>
          <w:i/>
          <w:iCs/>
          <w:noProof/>
          <w:sz w:val="20"/>
          <w:szCs w:val="20"/>
        </w:rPr>
        <w:t>Ecology</w:t>
      </w:r>
      <w:r w:rsidRPr="00EF3710">
        <w:rPr>
          <w:rFonts w:ascii="Calibri" w:hAnsi="Calibri"/>
          <w:noProof/>
          <w:sz w:val="20"/>
          <w:szCs w:val="20"/>
        </w:rPr>
        <w:t xml:space="preserve">, </w:t>
      </w:r>
      <w:r w:rsidRPr="00EF3710">
        <w:rPr>
          <w:rFonts w:ascii="Calibri" w:hAnsi="Calibri"/>
          <w:i/>
          <w:iCs/>
          <w:noProof/>
          <w:sz w:val="20"/>
          <w:szCs w:val="20"/>
        </w:rPr>
        <w:t>91</w:t>
      </w:r>
      <w:r w:rsidRPr="00EF3710">
        <w:rPr>
          <w:rFonts w:ascii="Calibri" w:hAnsi="Calibri"/>
          <w:noProof/>
          <w:sz w:val="20"/>
          <w:szCs w:val="20"/>
        </w:rPr>
        <w:t>(12), 3664–74. Retrieved from http://www.ncbi.nlm.nih.gov/pubmed/21302837</w:t>
      </w:r>
    </w:p>
    <w:p w14:paraId="2AD22675"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Zieminska, K., Butler, D. W., Gleason, S. M., Wright, I. J., &amp; Westoby, M. (2013). Fibre wall and lumen fractions drive wood density variation across 24 Australian angiosperms. </w:t>
      </w:r>
      <w:r w:rsidRPr="00EF3710">
        <w:rPr>
          <w:rFonts w:ascii="Calibri" w:hAnsi="Calibri"/>
          <w:i/>
          <w:iCs/>
          <w:noProof/>
          <w:sz w:val="20"/>
          <w:szCs w:val="20"/>
        </w:rPr>
        <w:t>AoB PLANTS</w:t>
      </w:r>
      <w:r w:rsidRPr="00EF3710">
        <w:rPr>
          <w:rFonts w:ascii="Calibri" w:hAnsi="Calibri"/>
          <w:noProof/>
          <w:sz w:val="20"/>
          <w:szCs w:val="20"/>
        </w:rPr>
        <w:t xml:space="preserve">, </w:t>
      </w:r>
      <w:r w:rsidRPr="00EF3710">
        <w:rPr>
          <w:rFonts w:ascii="Calibri" w:hAnsi="Calibri"/>
          <w:i/>
          <w:iCs/>
          <w:noProof/>
          <w:sz w:val="20"/>
          <w:szCs w:val="20"/>
        </w:rPr>
        <w:t>5</w:t>
      </w:r>
      <w:r w:rsidRPr="00EF3710">
        <w:rPr>
          <w:rFonts w:ascii="Calibri" w:hAnsi="Calibri"/>
          <w:noProof/>
          <w:sz w:val="20"/>
          <w:szCs w:val="20"/>
        </w:rPr>
        <w:t>, plt046–plt046. doi:10.1093/aobpla/plt046</w:t>
      </w:r>
    </w:p>
    <w:p w14:paraId="4E656F6A" w14:textId="103B9D5E" w:rsidR="007137EA" w:rsidRPr="00EA700F" w:rsidRDefault="007137EA" w:rsidP="00A22B81">
      <w:pPr>
        <w:spacing w:line="360" w:lineRule="auto"/>
        <w:jc w:val="both"/>
        <w:rPr>
          <w:b/>
        </w:rPr>
      </w:pPr>
      <w:r w:rsidRPr="00EF3710">
        <w:rPr>
          <w:b/>
          <w:sz w:val="20"/>
          <w:szCs w:val="20"/>
        </w:rPr>
        <w:fldChar w:fldCharType="end"/>
      </w:r>
    </w:p>
    <w:sectPr w:rsidR="007137EA" w:rsidRPr="00EA700F" w:rsidSect="00B55332">
      <w:pgSz w:w="11906" w:h="16838"/>
      <w:pgMar w:top="1440" w:right="1440" w:bottom="1440" w:left="1440" w:header="708" w:footer="708" w:gutter="0"/>
      <w:lnNumType w:countBy="1"/>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34E6"/>
    <w:rsid w:val="001049B7"/>
    <w:rsid w:val="001133BD"/>
    <w:rsid w:val="00180A63"/>
    <w:rsid w:val="001D57C9"/>
    <w:rsid w:val="00290091"/>
    <w:rsid w:val="00311F05"/>
    <w:rsid w:val="00335320"/>
    <w:rsid w:val="003721C9"/>
    <w:rsid w:val="003F4885"/>
    <w:rsid w:val="00417C34"/>
    <w:rsid w:val="00576141"/>
    <w:rsid w:val="005779AB"/>
    <w:rsid w:val="005E166E"/>
    <w:rsid w:val="00617ABD"/>
    <w:rsid w:val="00621641"/>
    <w:rsid w:val="00625ED2"/>
    <w:rsid w:val="00630B93"/>
    <w:rsid w:val="00650D8B"/>
    <w:rsid w:val="0069430E"/>
    <w:rsid w:val="006A025A"/>
    <w:rsid w:val="006B1A67"/>
    <w:rsid w:val="006E5D88"/>
    <w:rsid w:val="006F4B8F"/>
    <w:rsid w:val="007018A5"/>
    <w:rsid w:val="007137EA"/>
    <w:rsid w:val="007166A1"/>
    <w:rsid w:val="007760E7"/>
    <w:rsid w:val="007845D8"/>
    <w:rsid w:val="00842036"/>
    <w:rsid w:val="0085737E"/>
    <w:rsid w:val="00873269"/>
    <w:rsid w:val="00947919"/>
    <w:rsid w:val="009546E2"/>
    <w:rsid w:val="00980EC2"/>
    <w:rsid w:val="009D2CA8"/>
    <w:rsid w:val="00A22B81"/>
    <w:rsid w:val="00A87877"/>
    <w:rsid w:val="00AF1FDB"/>
    <w:rsid w:val="00B064E3"/>
    <w:rsid w:val="00B55332"/>
    <w:rsid w:val="00B634E6"/>
    <w:rsid w:val="00C175AC"/>
    <w:rsid w:val="00C83CE4"/>
    <w:rsid w:val="00CC24F8"/>
    <w:rsid w:val="00CD354D"/>
    <w:rsid w:val="00D0402B"/>
    <w:rsid w:val="00DB30C6"/>
    <w:rsid w:val="00DE7C76"/>
    <w:rsid w:val="00E665A9"/>
    <w:rsid w:val="00EA700F"/>
    <w:rsid w:val="00ED02F3"/>
    <w:rsid w:val="00EF3710"/>
    <w:rsid w:val="00F42B80"/>
    <w:rsid w:val="00FA2416"/>
    <w:rsid w:val="00FC0DFA"/>
    <w:rsid w:val="00FD175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520DC"/>
  <w15:chartTrackingRefBased/>
  <w15:docId w15:val="{8C2D5DC2-23B6-4210-87FC-D0C9740A93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34E6"/>
  </w:style>
  <w:style w:type="paragraph" w:styleId="Heading1">
    <w:name w:val="heading 1"/>
    <w:basedOn w:val="Normal"/>
    <w:link w:val="Heading1Char"/>
    <w:uiPriority w:val="9"/>
    <w:qFormat/>
    <w:rsid w:val="00B634E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34E6"/>
    <w:rPr>
      <w:rFonts w:ascii="Times New Roman" w:eastAsia="Times New Roman" w:hAnsi="Times New Roman" w:cs="Times New Roman"/>
      <w:b/>
      <w:bCs/>
      <w:kern w:val="36"/>
      <w:sz w:val="48"/>
      <w:szCs w:val="48"/>
      <w:lang w:eastAsia="en-AU"/>
    </w:rPr>
  </w:style>
  <w:style w:type="character" w:styleId="CommentReference">
    <w:name w:val="annotation reference"/>
    <w:basedOn w:val="DefaultParagraphFont"/>
    <w:uiPriority w:val="99"/>
    <w:semiHidden/>
    <w:unhideWhenUsed/>
    <w:rsid w:val="00B634E6"/>
    <w:rPr>
      <w:sz w:val="16"/>
      <w:szCs w:val="16"/>
    </w:rPr>
  </w:style>
  <w:style w:type="paragraph" w:styleId="CommentText">
    <w:name w:val="annotation text"/>
    <w:basedOn w:val="Normal"/>
    <w:link w:val="CommentTextChar"/>
    <w:uiPriority w:val="99"/>
    <w:semiHidden/>
    <w:unhideWhenUsed/>
    <w:rsid w:val="00B634E6"/>
    <w:pPr>
      <w:spacing w:line="240" w:lineRule="auto"/>
    </w:pPr>
    <w:rPr>
      <w:sz w:val="20"/>
      <w:szCs w:val="20"/>
    </w:rPr>
  </w:style>
  <w:style w:type="character" w:customStyle="1" w:styleId="CommentTextChar">
    <w:name w:val="Comment Text Char"/>
    <w:basedOn w:val="DefaultParagraphFont"/>
    <w:link w:val="CommentText"/>
    <w:uiPriority w:val="99"/>
    <w:semiHidden/>
    <w:rsid w:val="00B634E6"/>
    <w:rPr>
      <w:sz w:val="20"/>
      <w:szCs w:val="20"/>
    </w:rPr>
  </w:style>
  <w:style w:type="character" w:styleId="Hyperlink">
    <w:name w:val="Hyperlink"/>
    <w:basedOn w:val="DefaultParagraphFont"/>
    <w:uiPriority w:val="99"/>
    <w:semiHidden/>
    <w:unhideWhenUsed/>
    <w:rsid w:val="00B634E6"/>
    <w:rPr>
      <w:color w:val="0000FF"/>
      <w:u w:val="single"/>
    </w:rPr>
  </w:style>
  <w:style w:type="paragraph" w:styleId="BalloonText">
    <w:name w:val="Balloon Text"/>
    <w:basedOn w:val="Normal"/>
    <w:link w:val="BalloonTextChar"/>
    <w:uiPriority w:val="99"/>
    <w:semiHidden/>
    <w:unhideWhenUsed/>
    <w:rsid w:val="00B634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34E6"/>
    <w:rPr>
      <w:rFonts w:ascii="Segoe UI" w:hAnsi="Segoe UI" w:cs="Segoe UI"/>
      <w:sz w:val="18"/>
      <w:szCs w:val="18"/>
    </w:rPr>
  </w:style>
  <w:style w:type="table" w:styleId="TableGrid">
    <w:name w:val="Table Grid"/>
    <w:basedOn w:val="TableNormal"/>
    <w:uiPriority w:val="39"/>
    <w:rsid w:val="00B634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B634E6"/>
    <w:pPr>
      <w:spacing w:after="200" w:line="240" w:lineRule="auto"/>
    </w:pPr>
    <w:rPr>
      <w:i/>
      <w:iCs/>
      <w:color w:val="44546A" w:themeColor="text2"/>
      <w:sz w:val="18"/>
      <w:szCs w:val="18"/>
    </w:rPr>
  </w:style>
  <w:style w:type="character" w:styleId="LineNumber">
    <w:name w:val="line number"/>
    <w:basedOn w:val="DefaultParagraphFont"/>
    <w:uiPriority w:val="99"/>
    <w:semiHidden/>
    <w:unhideWhenUsed/>
    <w:rsid w:val="00B55332"/>
  </w:style>
  <w:style w:type="paragraph" w:styleId="NormalWeb">
    <w:name w:val="Normal (Web)"/>
    <w:basedOn w:val="Normal"/>
    <w:uiPriority w:val="99"/>
    <w:unhideWhenUsed/>
    <w:rsid w:val="007137EA"/>
    <w:pPr>
      <w:spacing w:before="100" w:beforeAutospacing="1" w:after="100" w:afterAutospacing="1" w:line="240" w:lineRule="auto"/>
    </w:pPr>
    <w:rPr>
      <w:rFonts w:ascii="Times New Roman" w:eastAsiaTheme="minorEastAsia" w:hAnsi="Times New Roman" w:cs="Times New Roman"/>
      <w:sz w:val="24"/>
      <w:szCs w:val="24"/>
      <w:lang w:eastAsia="en-AU"/>
    </w:rPr>
  </w:style>
  <w:style w:type="paragraph" w:styleId="CommentSubject">
    <w:name w:val="annotation subject"/>
    <w:basedOn w:val="CommentText"/>
    <w:next w:val="CommentText"/>
    <w:link w:val="CommentSubjectChar"/>
    <w:uiPriority w:val="99"/>
    <w:semiHidden/>
    <w:unhideWhenUsed/>
    <w:rsid w:val="00F42B80"/>
    <w:rPr>
      <w:b/>
      <w:bCs/>
    </w:rPr>
  </w:style>
  <w:style w:type="character" w:customStyle="1" w:styleId="CommentSubjectChar">
    <w:name w:val="Comment Subject Char"/>
    <w:basedOn w:val="CommentTextChar"/>
    <w:link w:val="CommentSubject"/>
    <w:uiPriority w:val="99"/>
    <w:semiHidden/>
    <w:rsid w:val="00F42B8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9859537">
      <w:bodyDiv w:val="1"/>
      <w:marLeft w:val="0"/>
      <w:marRight w:val="0"/>
      <w:marTop w:val="0"/>
      <w:marBottom w:val="0"/>
      <w:divBdr>
        <w:top w:val="none" w:sz="0" w:space="0" w:color="auto"/>
        <w:left w:val="none" w:sz="0" w:space="0" w:color="auto"/>
        <w:bottom w:val="none" w:sz="0" w:space="0" w:color="auto"/>
        <w:right w:val="none" w:sz="0" w:space="0" w:color="auto"/>
      </w:divBdr>
    </w:div>
    <w:div w:id="1471938772">
      <w:bodyDiv w:val="1"/>
      <w:marLeft w:val="0"/>
      <w:marRight w:val="0"/>
      <w:marTop w:val="0"/>
      <w:marBottom w:val="0"/>
      <w:divBdr>
        <w:top w:val="none" w:sz="0" w:space="0" w:color="auto"/>
        <w:left w:val="none" w:sz="0" w:space="0" w:color="auto"/>
        <w:bottom w:val="none" w:sz="0" w:space="0" w:color="auto"/>
        <w:right w:val="none" w:sz="0" w:space="0" w:color="auto"/>
      </w:divBdr>
      <w:divsChild>
        <w:div w:id="1149975574">
          <w:marLeft w:val="0"/>
          <w:marRight w:val="0"/>
          <w:marTop w:val="0"/>
          <w:marBottom w:val="0"/>
          <w:divBdr>
            <w:top w:val="none" w:sz="0" w:space="0" w:color="auto"/>
            <w:left w:val="none" w:sz="0" w:space="0" w:color="auto"/>
            <w:bottom w:val="none" w:sz="0" w:space="0" w:color="auto"/>
            <w:right w:val="none" w:sz="0" w:space="0" w:color="auto"/>
          </w:divBdr>
          <w:divsChild>
            <w:div w:id="187060757">
              <w:marLeft w:val="0"/>
              <w:marRight w:val="0"/>
              <w:marTop w:val="0"/>
              <w:marBottom w:val="0"/>
              <w:divBdr>
                <w:top w:val="none" w:sz="0" w:space="0" w:color="auto"/>
                <w:left w:val="none" w:sz="0" w:space="0" w:color="auto"/>
                <w:bottom w:val="none" w:sz="0" w:space="0" w:color="auto"/>
                <w:right w:val="none" w:sz="0" w:space="0" w:color="auto"/>
              </w:divBdr>
              <w:divsChild>
                <w:div w:id="1821313335">
                  <w:marLeft w:val="0"/>
                  <w:marRight w:val="0"/>
                  <w:marTop w:val="0"/>
                  <w:marBottom w:val="0"/>
                  <w:divBdr>
                    <w:top w:val="none" w:sz="0" w:space="0" w:color="auto"/>
                    <w:left w:val="none" w:sz="0" w:space="0" w:color="auto"/>
                    <w:bottom w:val="none" w:sz="0" w:space="0" w:color="auto"/>
                    <w:right w:val="none" w:sz="0" w:space="0" w:color="auto"/>
                  </w:divBdr>
                  <w:divsChild>
                    <w:div w:id="376441517">
                      <w:marLeft w:val="0"/>
                      <w:marRight w:val="0"/>
                      <w:marTop w:val="0"/>
                      <w:marBottom w:val="0"/>
                      <w:divBdr>
                        <w:top w:val="none" w:sz="0" w:space="0" w:color="auto"/>
                        <w:left w:val="none" w:sz="0" w:space="0" w:color="auto"/>
                        <w:bottom w:val="none" w:sz="0" w:space="0" w:color="auto"/>
                        <w:right w:val="none" w:sz="0" w:space="0" w:color="auto"/>
                      </w:divBdr>
                      <w:divsChild>
                        <w:div w:id="902713598">
                          <w:marLeft w:val="0"/>
                          <w:marRight w:val="0"/>
                          <w:marTop w:val="0"/>
                          <w:marBottom w:val="0"/>
                          <w:divBdr>
                            <w:top w:val="none" w:sz="0" w:space="0" w:color="auto"/>
                            <w:left w:val="none" w:sz="0" w:space="0" w:color="auto"/>
                            <w:bottom w:val="none" w:sz="0" w:space="0" w:color="auto"/>
                            <w:right w:val="none" w:sz="0" w:space="0" w:color="auto"/>
                          </w:divBdr>
                          <w:divsChild>
                            <w:div w:id="205259911">
                              <w:marLeft w:val="0"/>
                              <w:marRight w:val="0"/>
                              <w:marTop w:val="0"/>
                              <w:marBottom w:val="0"/>
                              <w:divBdr>
                                <w:top w:val="none" w:sz="0" w:space="0" w:color="auto"/>
                                <w:left w:val="none" w:sz="0" w:space="0" w:color="auto"/>
                                <w:bottom w:val="none" w:sz="0" w:space="0" w:color="auto"/>
                                <w:right w:val="none" w:sz="0" w:space="0" w:color="auto"/>
                              </w:divBdr>
                              <w:divsChild>
                                <w:div w:id="2074740275">
                                  <w:marLeft w:val="0"/>
                                  <w:marRight w:val="0"/>
                                  <w:marTop w:val="0"/>
                                  <w:marBottom w:val="0"/>
                                  <w:divBdr>
                                    <w:top w:val="none" w:sz="0" w:space="0" w:color="auto"/>
                                    <w:left w:val="none" w:sz="0" w:space="0" w:color="auto"/>
                                    <w:bottom w:val="none" w:sz="0" w:space="0" w:color="auto"/>
                                    <w:right w:val="none" w:sz="0" w:space="0" w:color="auto"/>
                                  </w:divBdr>
                                  <w:divsChild>
                                    <w:div w:id="197623600">
                                      <w:marLeft w:val="0"/>
                                      <w:marRight w:val="0"/>
                                      <w:marTop w:val="0"/>
                                      <w:marBottom w:val="0"/>
                                      <w:divBdr>
                                        <w:top w:val="none" w:sz="0" w:space="0" w:color="auto"/>
                                        <w:left w:val="none" w:sz="0" w:space="0" w:color="auto"/>
                                        <w:bottom w:val="none" w:sz="0" w:space="0" w:color="auto"/>
                                        <w:right w:val="none" w:sz="0" w:space="0" w:color="auto"/>
                                      </w:divBdr>
                                      <w:divsChild>
                                        <w:div w:id="1243639071">
                                          <w:marLeft w:val="0"/>
                                          <w:marRight w:val="0"/>
                                          <w:marTop w:val="0"/>
                                          <w:marBottom w:val="0"/>
                                          <w:divBdr>
                                            <w:top w:val="none" w:sz="0" w:space="0" w:color="auto"/>
                                            <w:left w:val="none" w:sz="0" w:space="0" w:color="auto"/>
                                            <w:bottom w:val="none" w:sz="0" w:space="0" w:color="auto"/>
                                            <w:right w:val="none" w:sz="0" w:space="0" w:color="auto"/>
                                          </w:divBdr>
                                          <w:divsChild>
                                            <w:div w:id="494762470">
                                              <w:marLeft w:val="0"/>
                                              <w:marRight w:val="0"/>
                                              <w:marTop w:val="0"/>
                                              <w:marBottom w:val="0"/>
                                              <w:divBdr>
                                                <w:top w:val="none" w:sz="0" w:space="0" w:color="auto"/>
                                                <w:left w:val="none" w:sz="0" w:space="0" w:color="auto"/>
                                                <w:bottom w:val="none" w:sz="0" w:space="0" w:color="auto"/>
                                                <w:right w:val="none" w:sz="0" w:space="0" w:color="auto"/>
                                              </w:divBdr>
                                              <w:divsChild>
                                                <w:div w:id="1934779555">
                                                  <w:marLeft w:val="0"/>
                                                  <w:marRight w:val="0"/>
                                                  <w:marTop w:val="0"/>
                                                  <w:marBottom w:val="0"/>
                                                  <w:divBdr>
                                                    <w:top w:val="none" w:sz="0" w:space="0" w:color="auto"/>
                                                    <w:left w:val="none" w:sz="0" w:space="0" w:color="auto"/>
                                                    <w:bottom w:val="none" w:sz="0" w:space="0" w:color="auto"/>
                                                    <w:right w:val="none" w:sz="0" w:space="0" w:color="auto"/>
                                                  </w:divBdr>
                                                  <w:divsChild>
                                                    <w:div w:id="783620737">
                                                      <w:marLeft w:val="0"/>
                                                      <w:marRight w:val="0"/>
                                                      <w:marTop w:val="0"/>
                                                      <w:marBottom w:val="0"/>
                                                      <w:divBdr>
                                                        <w:top w:val="none" w:sz="0" w:space="0" w:color="auto"/>
                                                        <w:left w:val="none" w:sz="0" w:space="0" w:color="auto"/>
                                                        <w:bottom w:val="none" w:sz="0" w:space="0" w:color="auto"/>
                                                        <w:right w:val="none" w:sz="0" w:space="0" w:color="auto"/>
                                                      </w:divBdr>
                                                      <w:divsChild>
                                                        <w:div w:id="1203832088">
                                                          <w:marLeft w:val="0"/>
                                                          <w:marRight w:val="0"/>
                                                          <w:marTop w:val="0"/>
                                                          <w:marBottom w:val="0"/>
                                                          <w:divBdr>
                                                            <w:top w:val="none" w:sz="0" w:space="0" w:color="auto"/>
                                                            <w:left w:val="none" w:sz="0" w:space="0" w:color="auto"/>
                                                            <w:bottom w:val="none" w:sz="0" w:space="0" w:color="auto"/>
                                                            <w:right w:val="none" w:sz="0" w:space="0" w:color="auto"/>
                                                          </w:divBdr>
                                                          <w:divsChild>
                                                            <w:div w:id="2086222032">
                                                              <w:marLeft w:val="0"/>
                                                              <w:marRight w:val="0"/>
                                                              <w:marTop w:val="0"/>
                                                              <w:marBottom w:val="0"/>
                                                              <w:divBdr>
                                                                <w:top w:val="none" w:sz="0" w:space="0" w:color="auto"/>
                                                                <w:left w:val="none" w:sz="0" w:space="0" w:color="auto"/>
                                                                <w:bottom w:val="none" w:sz="0" w:space="0" w:color="auto"/>
                                                                <w:right w:val="none" w:sz="0" w:space="0" w:color="auto"/>
                                                              </w:divBdr>
                                                              <w:divsChild>
                                                                <w:div w:id="1310670095">
                                                                  <w:marLeft w:val="0"/>
                                                                  <w:marRight w:val="0"/>
                                                                  <w:marTop w:val="0"/>
                                                                  <w:marBottom w:val="0"/>
                                                                  <w:divBdr>
                                                                    <w:top w:val="none" w:sz="0" w:space="0" w:color="auto"/>
                                                                    <w:left w:val="none" w:sz="0" w:space="0" w:color="auto"/>
                                                                    <w:bottom w:val="none" w:sz="0" w:space="0" w:color="auto"/>
                                                                    <w:right w:val="none" w:sz="0" w:space="0" w:color="auto"/>
                                                                  </w:divBdr>
                                                                  <w:divsChild>
                                                                    <w:div w:id="448010334">
                                                                      <w:marLeft w:val="0"/>
                                                                      <w:marRight w:val="0"/>
                                                                      <w:marTop w:val="0"/>
                                                                      <w:marBottom w:val="0"/>
                                                                      <w:divBdr>
                                                                        <w:top w:val="none" w:sz="0" w:space="0" w:color="auto"/>
                                                                        <w:left w:val="none" w:sz="0" w:space="0" w:color="auto"/>
                                                                        <w:bottom w:val="none" w:sz="0" w:space="0" w:color="auto"/>
                                                                        <w:right w:val="none" w:sz="0" w:space="0" w:color="auto"/>
                                                                      </w:divBdr>
                                                                      <w:divsChild>
                                                                        <w:div w:id="440297090">
                                                                          <w:marLeft w:val="0"/>
                                                                          <w:marRight w:val="0"/>
                                                                          <w:marTop w:val="0"/>
                                                                          <w:marBottom w:val="0"/>
                                                                          <w:divBdr>
                                                                            <w:top w:val="none" w:sz="0" w:space="0" w:color="auto"/>
                                                                            <w:left w:val="none" w:sz="0" w:space="0" w:color="auto"/>
                                                                            <w:bottom w:val="none" w:sz="0" w:space="0" w:color="auto"/>
                                                                            <w:right w:val="none" w:sz="0" w:space="0" w:color="auto"/>
                                                                          </w:divBdr>
                                                                          <w:divsChild>
                                                                            <w:div w:id="185395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data.water.vic.gov.au/monitoring.htm"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realtimedata.water.nsw.gov.au/water.stm"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CF1A99-68B6-4ED4-AC87-A2F75B21A8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1359</TotalTime>
  <Pages>26</Pages>
  <Words>26016</Words>
  <Characters>148292</Characters>
  <Application>Microsoft Office Word</Application>
  <DocSecurity>0</DocSecurity>
  <Lines>1235</Lines>
  <Paragraphs>347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173961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James Lawson</cp:lastModifiedBy>
  <cp:revision>41</cp:revision>
  <dcterms:created xsi:type="dcterms:W3CDTF">2014-03-06T05:57:00Z</dcterms:created>
  <dcterms:modified xsi:type="dcterms:W3CDTF">2014-03-07T04:58:00Z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the.hierarchy@gmail.com@www.mendeley.com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