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note that this solution was implemented on windows with XAMPP, as that is the setup I have at home. I hope this doesn’t cause any compatibility issues on your side.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spent 5 days working on the solution.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Description for Client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Any orders placed over the R500 threshold will automatically be allocated to an account manager according to the province in the customer’s billing address (based on the account manager mapping you provided).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can view which account managers are linked to which orders by visiting the Sales&gt;Orders page on the admin portal . We have added an additional column on the end of the 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adjust this threshold in the admin portal by following the menu options:</w:t>
        <w:br w:type="textWrapping"/>
        <w:t xml:space="preserve">Stores&gt;Configuration.</w:t>
      </w:r>
    </w:p>
    <w:p w:rsidR="00000000" w:rsidDel="00000000" w:rsidP="00000000" w:rsidRDefault="00000000" w:rsidRPr="00000000" w14:paraId="0000000C">
      <w:pPr>
        <w:rPr/>
      </w:pPr>
      <w:r w:rsidDel="00000000" w:rsidR="00000000" w:rsidRPr="00000000">
        <w:rPr>
          <w:rtl w:val="0"/>
        </w:rPr>
        <w:t xml:space="preserve">If the threshold setting doesn’t automatically appear then you can simply select the Vaimo&gt;Threshold tab.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you would like to review the Account Manager Mappings, we have added an additional menu item titled Account Managers just below the Stores menu item. This will display a table of provinces and their respective account managers.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