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45" w:name="statistical-analysis"/>
    <w:p>
      <w:pPr>
        <w:pStyle w:val="Heading1"/>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20">
        <w:r>
          <w:rPr>
            <w:rStyle w:val="Hyperlink"/>
          </w:rPr>
          <w:t xml:space="preserve">https://osf.io/c2657/</w:t>
        </w:r>
      </w:hyperlink>
      <w:r>
        <w:t xml:space="preserve"> </w:t>
      </w:r>
      <w:r>
        <w:t xml:space="preserve">or the corresponding GitHub repository</w:t>
      </w:r>
      <w:r>
        <w:t xml:space="preserve"> </w:t>
      </w:r>
      <w:hyperlink r:id="rId21">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 Further, given the ambiguity we have conducted several additional analyses, including varying the priors used and the model parametrization, the methods and results of which are described in full detail in the supplementary materials here</w:t>
      </w:r>
      <w:r>
        <w:t xml:space="preserve"> </w:t>
      </w:r>
      <w:hyperlink r:id="rId23">
        <w:r>
          <w:rPr>
            <w:rStyle w:val="Hyperlink"/>
          </w:rPr>
          <w:t xml:space="preserve">https://osf.io/rqavs</w:t>
        </w:r>
      </w:hyperlink>
      <w:r>
        <w:t xml:space="preserve">. In the main text here we report only the pre-registered main models.</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We deviate from the pre-registration in the number of sampling iterations (pre-registered as 6000) used as we include comparisons between all models fit in the supplementary materials using Bayes Factors and the Savage-Dickey ratio where it is recommended that at least 40000 iterations are used to obtain precise Bayes-Factors</w:t>
      </w:r>
      <w:r>
        <w:t xml:space="preserve"> </w:t>
      </w:r>
      <w:r>
        <w:t xml:space="preserve">(Gronau et al.,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bookmarkStart w:id="24" w:name="effect-sizes"/>
    <w:p>
      <w:pPr>
        <w:pStyle w:val="Heading2"/>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RT study outcomes</w:t>
      </w:r>
      <w:r>
        <w:t xml:space="preserve"> </w:t>
      </w:r>
      <w:r>
        <w:t xml:space="preserve">(Steele et al., 2023)</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(Nakagawa et al., 2017; Spake et al., 2023)</w:t>
      </w:r>
      <w:r>
        <w:t xml:space="preserve">, as this effect size statistic is unaffected (except in its sampling variance) by the estimates for standard deviations within individual studies which are likely underpowered in the typical sample sizes found in the RT literature</w:t>
      </w:r>
      <w:r>
        <w:t xml:space="preserve"> </w:t>
      </w:r>
      <w:r>
        <w:t xml:space="preserve">(Steele et al., 2023)</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&amp; Arslan, 2021; Spake et al., 2023)</w:t>
      </w:r>
      <w:r>
        <w:t xml:space="preserve">. Effects were weighted in each model by their inverse sampling variance.</w:t>
      </w:r>
    </w:p>
    <w:bookmarkEnd w:id="24"/>
    <w:bookmarkStart w:id="44" w:name="models"/>
    <w:p>
      <w:pPr>
        <w:pStyle w:val="Heading2"/>
      </w:pPr>
      <w:r>
        <w:t xml:space="preserve">Models</w:t>
      </w:r>
    </w:p>
    <w:p>
      <w:pPr>
        <w:pStyle w:val="FirstParagraph"/>
      </w:pPr>
      <w:r>
        <w:t xml:space="preserve">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25"/>
      </w:r>
      <w:r>
        <w:t xml:space="preserve">. As such, the population level coefficients in each of the models corresponded to the overall average effect of RT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at three levels of site of measurement (25%, 50%, and 75%). The slopes for muscle length were transformed to reflect the average contrast in mean muscle length between</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conditions in the included studies which was</w:t>
      </w:r>
      <w:r>
        <w:t xml:space="preserve"> </w:t>
      </w:r>
      <m:oMath>
        <m:r>
          <m:t>21.8</m:t>
        </m:r>
        <m:r>
          <m:rPr>
            <m:sty m:val="p"/>
          </m:rPr>
          <m:t>±</m:t>
        </m:r>
        <m:r>
          <m:t>13.6</m:t>
        </m:r>
        <m:r>
          <m:rPr>
            <m:sty m:val="p"/>
          </m:rPr>
          <m:t>%</m:t>
        </m:r>
      </m:oMath>
      <w:r>
        <w:t xml:space="preserve">. Thus the slopes reflected a difference in muscle length of 21.8% e.g., the slope of the difference between 32.4% (the average</w:t>
      </w:r>
      <w:r>
        <w:t xml:space="preserve"> </w:t>
      </w:r>
      <w:r>
        <w:t xml:space="preserve">“</w:t>
      </w:r>
      <w:r>
        <w:t xml:space="preserve">short</w:t>
      </w:r>
      <w:r>
        <w:t xml:space="preserve">”</w:t>
      </w:r>
      <w:r>
        <w:t xml:space="preserve"> </w:t>
      </w:r>
      <w:r>
        <w:t xml:space="preserve">condition in the included studies) and 54.2% muscle length which shows the magnitude of the difference in effect size for a 21.8% difference in muscle length at different sites. We present the predicted values and slopes as mean and 95% quantile intervals. We also, whilst not pre-registered for this project, agreed upon a smallest effect size of interest on both the standardized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26"/>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34" w:name="pre-registered-main-model"/>
    <w:p>
      <w:pPr>
        <w:pStyle w:val="Heading3"/>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28" w:name="eq-main-model"/>
      <m:oMathPara>
        <m:oMathParaPr>
          <m:jc m:val="center"/>
        </m:oMathParaPr>
        <m:oMath>
          <m:m>
            <m:mPr>
              <m:baseJc m:val="center"/>
              <m:plcHide m:val="1"/>
              <m:mcs>
                <m:mc>
                  <m:mcPr>
                    <m:mcJc m:val="right"/>
                    <m:count m:val="1"/>
                  </m:mcPr>
                </m:mc>
                <m:mc>
                  <m:mcPr>
                    <m:mcJc m:val="left"/>
                    <m:count m:val="1"/>
                  </m:mcPr>
                </m:mc>
              </m:mcs>
            </m:mPr>
            <m:mr>
              <m:e>
                <m:sSub>
                  <m:e>
                    <m:acc>
                      <m:accPr>
                        <m:chr m:val="̂"/>
                      </m:accPr>
                      <m:e>
                        <m: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i</m:t>
                    </m:r>
                  </m:sub>
                </m:sSub>
              </m:e>
              <m:e>
                <m:r>
                  <m:rPr>
                    <m:sty m:val="p"/>
                  </m:rPr>
                  <m:t>∼</m:t>
                </m:r>
                <m:r>
                  <m:t>N</m:t>
                </m:r>
                <m:d>
                  <m:dPr>
                    <m:begChr m:val="("/>
                    <m:endChr m:val=")"/>
                    <m:sepChr m:val=""/>
                    <m:grow/>
                  </m:dPr>
                  <m:e>
                    <m:sSub>
                      <m:e>
                        <m:r>
                          <m:t>μ</m:t>
                        </m:r>
                      </m:e>
                      <m:sub>
                        <m:sSub>
                          <m:e>
                            <m:r>
                              <m:t>α</m:t>
                            </m:r>
                          </m:e>
                          <m:sub>
                            <m:r>
                              <m:t>i</m:t>
                            </m:r>
                          </m:sub>
                        </m:sSub>
                      </m:sub>
                    </m:sSub>
                    <m:r>
                      <m:rPr>
                        <m:sty m:val="p"/>
                      </m:rPr>
                      <m:t>,</m:t>
                    </m:r>
                    <m:sSub>
                      <m:e>
                        <m:r>
                          <m:t>σ</m:t>
                        </m:r>
                      </m:e>
                      <m:sub>
                        <m:sSub>
                          <m:e>
                            <m:r>
                              <m:t>α</m:t>
                            </m:r>
                          </m:e>
                          <m:sub>
                            <m:r>
                              <m:t>i</m:t>
                            </m:r>
                          </m:sub>
                        </m:sSub>
                      </m:sub>
                    </m:sSub>
                  </m:e>
                </m:d>
                <m:r>
                  <m:rPr>
                    <m:nor/>
                    <m:sty m:val="p"/>
                  </m:rPr>
                  <m:t>, for study i = 1,</m:t>
                </m:r>
                <m:r>
                  <m:rPr>
                    <m:sty m:val="p"/>
                  </m:rPr>
                  <m:t>…</m:t>
                </m:r>
                <m:r>
                  <m:rPr>
                    <m:nor/>
                    <m:sty m:val="p"/>
                  </m:rPr>
                  <m:t>,I</m:t>
                </m:r>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
          <m:r>
            <m:t>  </m:t>
          </m:r>
          <m:d>
            <m:dPr>
              <m:begChr m:val="("/>
              <m:endChr m:val=")"/>
              <m:sepChr m:val=""/>
              <m:grow/>
            </m:dPr>
            <m:e>
              <m:r>
                <m:t>1</m:t>
              </m:r>
            </m:e>
          </m:d>
        </m:oMath>
      </m:oMathPara>
      <w:bookmarkEnd w:id="28"/>
    </w:p>
    <w:p>
      <w:pPr>
        <w:pStyle w:val="FirstParagraph"/>
      </w:pPr>
      <w:r>
        <w:t xml:space="preserve">where</w:t>
      </w:r>
      <w:r>
        <w:t xml:space="preserve"> </w:t>
      </w:r>
      <m:oMath>
        <m:sSub>
          <m:e>
            <m:acc>
              <m:accPr>
                <m:chr m:val="̂"/>
              </m:accPr>
              <m:e>
                <m: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t>α</m:t>
            </m:r>
          </m:e>
          <m:sub>
            <m:r>
              <m:t>i</m:t>
            </m:r>
          </m:sub>
        </m:sSub>
      </m:oMath>
      <w:r>
        <w:t xml:space="preserve">,</w:t>
      </w:r>
      <w:r>
        <w:t xml:space="preserve"> </w:t>
      </w:r>
      <m:oMath>
        <m:sSub>
          <m:e>
            <m:r>
              <m:t>α</m:t>
            </m:r>
          </m:e>
          <m:sub>
            <m:r>
              <m:t>j</m:t>
            </m:r>
          </m:sub>
        </m:sSub>
      </m:oMath>
      <w:r>
        <w:t xml:space="preserve">, and</w:t>
      </w:r>
      <w:r>
        <w:t xml:space="preserve"> </w:t>
      </w:r>
      <m:oMath>
        <m:sSub>
          <m:e>
            <m:r>
              <m:t>α</m:t>
            </m:r>
          </m:e>
          <m:sub>
            <m:r>
              <m:t>k</m:t>
            </m:r>
          </m:sub>
        </m:sSub>
      </m:oMath>
      <w:r>
        <w:t xml:space="preserve"> </w:t>
      </w:r>
      <w:r>
        <w:t xml:space="preserve">are the random intercepts for study, arm, and effect respectively. Prior distributions</w:t>
      </w:r>
      <w:r>
        <w:rPr>
          <w:rStyle w:val="FootnoteReference"/>
        </w:rPr>
        <w:footnoteReference w:id="29"/>
      </w:r>
      <w:r>
        <w:t xml:space="preserve"> </w:t>
      </w:r>
      <w:r>
        <w:t xml:space="preserve">taken from Wolf et al.</w:t>
      </w:r>
      <w:r>
        <w:t xml:space="preserve"> </w:t>
      </w:r>
      <w:r>
        <w:t xml:space="preserve">(2023)</w:t>
      </w:r>
      <w:r>
        <w:t xml:space="preserve"> </w:t>
      </w:r>
      <w:r>
        <w:t xml:space="preserve">for the SMD model were (note, values rounded; plots for the population level effect distributions can be seen in the supplementary materials here</w:t>
      </w:r>
      <w:r>
        <w:t xml:space="preserve"> </w:t>
      </w:r>
      <w:hyperlink r:id="rId30">
        <w:r>
          <w:rPr>
            <w:rStyle w:val="Hyperlink"/>
          </w:rPr>
          <w:t xml:space="preserve">https://osf.io/uxhdj</w:t>
        </w:r>
      </w:hyperlink>
      <w:r>
        <w:t xml:space="preserve">):</w:t>
      </w:r>
    </w:p>
    <w:p>
      <w:pPr>
        <w:pStyle w:val="BodyText"/>
      </w:pPr>
      <w:bookmarkStart w:id="31"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2</m:t>
              </m:r>
            </m:e>
          </m:d>
        </m:oMath>
      </m:oMathPara>
      <w:bookmarkEnd w:id="31"/>
    </w:p>
    <w:p>
      <w:pPr>
        <w:pStyle w:val="FirstParagraph"/>
      </w:pPr>
      <w:r>
        <w:t xml:space="preserve">Prior distributions taken from Wolf et al.</w:t>
      </w:r>
      <w:r>
        <w:t xml:space="preserve"> </w:t>
      </w:r>
      <w:r>
        <w:t xml:space="preserve">(2023)</w:t>
      </w:r>
      <w:r>
        <w:t xml:space="preserve"> </w:t>
      </w:r>
      <w:r>
        <w:t xml:space="preserve">for the lnRR model were (note, values rounded; plots for the population level effect distributions can be seen in the supplementary materials here</w:t>
      </w:r>
      <w:r>
        <w:t xml:space="preserve"> </w:t>
      </w:r>
      <w:hyperlink r:id="rId32">
        <w:r>
          <w:rPr>
            <w:rStyle w:val="Hyperlink"/>
          </w:rPr>
          <w:t xml:space="preserve">https://osf.io/tvpes</w:t>
        </w:r>
      </w:hyperlink>
      <w:r>
        <w:t xml:space="preserve">):</w:t>
      </w:r>
    </w:p>
    <w:p>
      <w:pPr>
        <w:pStyle w:val="BodyText"/>
      </w:pPr>
      <w:bookmarkStart w:id="33"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3</m:t>
              </m:r>
            </m:e>
          </m:d>
        </m:oMath>
      </m:oMathPara>
      <w:bookmarkEnd w:id="33"/>
    </w:p>
    <w:bookmarkEnd w:id="34"/>
    <w:bookmarkStart w:id="43" w:name="X81301ee81ae59f7c078466a0fc5ca2bc228f9e6"/>
    <w:p>
      <w:pPr>
        <w:pStyle w:val="Heading3"/>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35">
        <w:r>
          <w:rPr>
            <w:rStyle w:val="Hyperlink"/>
          </w:rPr>
          <w:t xml:space="preserve">https://osf.io/tgzpk</w:t>
        </w:r>
      </w:hyperlink>
      <w:r>
        <w:t xml:space="preserve">,</w:t>
      </w:r>
      <w:r>
        <w:t xml:space="preserve"> </w:t>
      </w:r>
      <w:hyperlink r:id="rId36">
        <w:r>
          <w:rPr>
            <w:rStyle w:val="Hyperlink"/>
          </w:rPr>
          <w:t xml:space="preserve">https://osf.io/f86ng</w:t>
        </w:r>
      </w:hyperlink>
      <w:r>
        <w:t xml:space="preserve">, and</w:t>
      </w:r>
      <w:r>
        <w:t xml:space="preserve"> </w:t>
      </w:r>
      <w:hyperlink r:id="rId37">
        <w:r>
          <w:rPr>
            <w:rStyle w:val="Hyperlink"/>
          </w:rPr>
          <w:t xml:space="preserve">https://osf.io/gp2vr</w:t>
        </w:r>
      </w:hyperlink>
      <w:r>
        <w:t xml:space="preserve"> </w:t>
      </w:r>
      <w:r>
        <w:t xml:space="preserve">for the upper or lower body, muscle group, and muscle action SMD models respectively and</w:t>
      </w:r>
      <w:r>
        <w:t xml:space="preserve"> </w:t>
      </w:r>
      <w:hyperlink r:id="rId38">
        <w:r>
          <w:rPr>
            <w:rStyle w:val="Hyperlink"/>
          </w:rPr>
          <w:t xml:space="preserve">https://osf.io/hxbv6</w:t>
        </w:r>
      </w:hyperlink>
      <w:r>
        <w:t xml:space="preserve">,</w:t>
      </w:r>
      <w:r>
        <w:t xml:space="preserve"> </w:t>
      </w:r>
      <w:hyperlink r:id="rId39">
        <w:r>
          <w:rPr>
            <w:rStyle w:val="Hyperlink"/>
          </w:rPr>
          <w:t xml:space="preserve">https://osf.io/w8mbg</w:t>
        </w:r>
      </w:hyperlink>
      <w:r>
        <w:t xml:space="preserve">, and</w:t>
      </w:r>
      <w:r>
        <w:t xml:space="preserve"> </w:t>
      </w:r>
      <w:hyperlink r:id="rId40">
        <w:r>
          <w:rPr>
            <w:rStyle w:val="Hyperlink"/>
          </w:rPr>
          <w:t xml:space="preserve">https://osf.io/9mhcu</w:t>
        </w:r>
      </w:hyperlink>
      <w:r>
        <w:t xml:space="preserve"> </w:t>
      </w:r>
      <w:r>
        <w:t xml:space="preserve">for the upper or lower body, muscle group, and muscle action lnRR models respectively). In addition, and not pre-registered either, we included a model comparing studies which manipulated mean muscle length by means of range of motion manipulation, or by means of exercise selection (see</w:t>
      </w:r>
      <w:r>
        <w:t xml:space="preserve"> </w:t>
      </w:r>
      <w:hyperlink r:id="rId41">
        <w:r>
          <w:rPr>
            <w:rStyle w:val="Hyperlink"/>
          </w:rPr>
          <w:t xml:space="preserve">https://osf.io/pbqwe</w:t>
        </w:r>
      </w:hyperlink>
      <w:r>
        <w:t xml:space="preserve"> </w:t>
      </w:r>
      <w:r>
        <w:t xml:space="preserve">and</w:t>
      </w:r>
      <w:r>
        <w:t xml:space="preserve"> </w:t>
      </w:r>
      <w:hyperlink r:id="rId42">
        <w:r>
          <w:rPr>
            <w:rStyle w:val="Hyperlink"/>
          </w:rPr>
          <w:t xml:space="preserve">https://osf.io/9snkh</w:t>
        </w:r>
      </w:hyperlink>
      <w:r>
        <w:t xml:space="preserve">). For reference these models were the same parametrization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43"/>
    <w:bookmarkEnd w:id="44"/>
    <w:bookmarkEnd w:id="45"/>
    <w:bookmarkStart w:id="56" w:name="results"/>
    <w:p>
      <w:pPr>
        <w:pStyle w:val="Heading1"/>
      </w:pPr>
      <w:r>
        <w:t xml:space="preserve">Results</w:t>
      </w:r>
    </w:p>
    <w:p>
      <w:pPr>
        <w:pStyle w:val="FirstParagraph"/>
      </w:pPr>
      <w:r>
        <w:t xml:space="preserve">The final models presented all included 184 effects nested within 22 intervention arms extracted from 12 studies.</w:t>
      </w:r>
    </w:p>
    <w:bookmarkStart w:id="55" w:name="pre-registered-main-model-1"/>
    <w:p>
      <w:pPr>
        <w:pStyle w:val="Heading2"/>
      </w:pPr>
      <w:r>
        <w:t xml:space="preserve">Pre-Registered Main Model</w:t>
      </w:r>
    </w:p>
    <w:p>
      <w:pPr>
        <w:pStyle w:val="FirstParagraph"/>
      </w:pPr>
      <w:r>
        <w:t xml:space="preserve">For the main pre-registered model utilizing priors from Wolf et al.</w:t>
      </w:r>
      <w:r>
        <w:t xml:space="preserve"> </w:t>
      </w:r>
      <w:r>
        <w:t xml:space="preserve">(2023)</w:t>
      </w:r>
      <w:r>
        <w:t xml:space="preserve"> </w:t>
      </w:r>
      <w:r>
        <w:t xml:space="preserve">the predicted effect size magnitudes across muscle length and at three levels of site of measurement (25%, 50%, and 75%) in addition to the slopes for muscle length (transformed to be the slope of a difference in muscle length of 21.8% e.g., the slope of the difference between ~32.4% and ~54.2% muscle length) at three levels of site of measurement (25%, 50%, and 75%) can be seen in</w:t>
      </w:r>
      <w:r>
        <w:t xml:space="preserve"> </w:t>
      </w:r>
      <w:hyperlink w:anchor="fig-wolf-SMD-plot">
        <w:r>
          <w:rPr>
            <w:rStyle w:val="Hyperlink"/>
          </w:rPr>
          <w:t xml:space="preserve">Figure 1</w:t>
        </w:r>
      </w:hyperlink>
      <w:r>
        <w:t xml:space="preserve"> </w:t>
      </w:r>
      <w:r>
        <w:t xml:space="preserve">for the SMD model, and</w:t>
      </w:r>
      <w:r>
        <w:t xml:space="preserve"> </w:t>
      </w:r>
      <w:hyperlink w:anchor="fig-wolf-lnRR-plot">
        <w:r>
          <w:rPr>
            <w:rStyle w:val="Hyperlink"/>
          </w:rPr>
          <w:t xml:space="preserve">Figure 2</w:t>
        </w:r>
      </w:hyperlink>
      <w:r>
        <w:t xml:space="preserve"> </w:t>
      </w:r>
      <w:r>
        <w:t xml:space="preserve">for the lnRR model.</w:t>
      </w:r>
    </w:p>
    <w:p>
      <w:pPr>
        <w:pStyle w:val="BodyText"/>
      </w:pPr>
      <w:r>
        <w:t xml:space="preserve">For the SMD model the magnitude of muscle length slope was 0.05 [95% quantile interval: -0.07, 0.16] at the 25% measurement site with probability of a meaningful positive effect (i.e., 0.1) of 17.75% and percentage within the ROPE (i.e., -0.1,0.1) of 81.6%, 0.07 [95% quantile interval: -0.02,0.15] at the 50% measurement site with probability of a meaningful positive effect (i.e., 0.1) of 23.98% and percentage within the ROPE (i.e., -0.1,0.1) of 76%, and 0.09 [95% quantile interval: -0.01,0.19] at the 75% measurement site with probability of a meaningful positive effect (i.e., 0.1) of 42.51% and percentage within the ROPE (i.e., -0.1,0.1) of 57.47%.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0.04 [95% quantile interval: 0.03,0.36],</w:t>
      </w:r>
      <w:r>
        <w:t xml:space="preserve"> </w:t>
      </w:r>
      <m:oMath>
        <m:sSub>
          <m:e>
            <m:r>
              <m:t>τ</m:t>
            </m:r>
          </m:e>
          <m:sub>
            <m:r>
              <m:t>a</m:t>
            </m:r>
            <m:r>
              <m:t>r</m:t>
            </m:r>
            <m:r>
              <m:t>m</m:t>
            </m:r>
          </m:sub>
        </m:sSub>
        <m:r>
          <m:rPr>
            <m:sty m:val="p"/>
          </m:rPr>
          <m:t>=</m:t>
        </m:r>
      </m:oMath>
      <w:r>
        <w:t xml:space="preserve"> </w:t>
      </w:r>
      <w:r>
        <w:t xml:space="preserve">0.03 [95% quantile interval: 0.01,0.26], and</w:t>
      </w:r>
      <w:r>
        <w:t xml:space="preserve"> </w:t>
      </w:r>
      <m:oMath>
        <m:sSub>
          <m:e>
            <m:r>
              <m:t>τ</m:t>
            </m:r>
          </m:e>
          <m:sub>
            <m:r>
              <m:t>e</m:t>
            </m:r>
            <m:r>
              <m:t>f</m:t>
            </m:r>
            <m:r>
              <m:t>f</m:t>
            </m:r>
            <m:r>
              <m:t>e</m:t>
            </m:r>
            <m:r>
              <m:t>c</m:t>
            </m:r>
            <m:r>
              <m:t>t</m:t>
            </m:r>
          </m:sub>
        </m:sSub>
        <m:r>
          <m:rPr>
            <m:sty m:val="p"/>
          </m:rPr>
          <m:t>=</m:t>
        </m:r>
      </m:oMath>
      <w:r>
        <w:t xml:space="preserve"> </w:t>
      </w:r>
      <w:r>
        <w:t xml:space="preserve">0.01 [95% quantile interval: 0,0.07].</w:t>
      </w:r>
    </w:p>
    <w:p>
      <w:pPr>
        <w:pStyle w:val="BodyText"/>
      </w:pPr>
      <w:r>
        <w:t xml:space="preserve">For the lnRR model the magnitude of muscle length slope was 0.57% [95% quantile interval: -1.92%, 3.24%] at the 25% measurement site with probability of a meaningful positive effect (i.e., 0.1) of 3.7% and percentage within the ROPE (i.e., -0.1,0.1) of 96.08%, 1.22% [95% quantile interval: -0.77%,3.22%] at the 50% measurement site with probability of a meaningful positive effect (i.e., 0.1) of 3.99% and percentage within the ROPE (i.e., -0.1,0.1) of 96.01%, and 1.88% [95% quantile interval: -0.44%,4.34%] at the 75% measurement site with probability of a meaningful positive effect (i.e., 0.1) of 18.09% and percentage within the ROPE (i.e., -0.1,0.1) of 81.91%.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2% [95% quantile interval: 3.59%,14.74%],</w:t>
      </w:r>
      <w:r>
        <w:t xml:space="preserve"> </w:t>
      </w:r>
      <m:oMath>
        <m:sSub>
          <m:e>
            <m:r>
              <m:t>τ</m:t>
            </m:r>
          </m:e>
          <m:sub>
            <m:r>
              <m:t>a</m:t>
            </m:r>
            <m:r>
              <m:t>r</m:t>
            </m:r>
            <m:r>
              <m:t>m</m:t>
            </m:r>
          </m:sub>
        </m:sSub>
        <m:r>
          <m:rPr>
            <m:sty m:val="p"/>
          </m:rPr>
          <m:t>=</m:t>
        </m:r>
      </m:oMath>
      <w:r>
        <w:t xml:space="preserve"> </w:t>
      </w:r>
      <w:r>
        <w:t xml:space="preserve">1.12% [95% quantile interval: 1.68%,7.87%], and</w:t>
      </w:r>
      <w:r>
        <w:t xml:space="preserve"> </w:t>
      </w:r>
      <m:oMath>
        <m:sSub>
          <m:e>
            <m:r>
              <m:t>τ</m:t>
            </m:r>
          </m:e>
          <m:sub>
            <m:r>
              <m:t>e</m:t>
            </m:r>
            <m:r>
              <m:t>f</m:t>
            </m:r>
            <m:r>
              <m:t>f</m:t>
            </m:r>
            <m:r>
              <m:t>e</m:t>
            </m:r>
            <m:r>
              <m:t>c</m:t>
            </m:r>
            <m:r>
              <m:t>t</m:t>
            </m:r>
          </m:sub>
        </m:sSub>
        <m:r>
          <m:rPr>
            <m:sty m:val="p"/>
          </m:rPr>
          <m:t>=</m:t>
        </m:r>
      </m:oMath>
      <w:r>
        <w:t xml:space="preserve"> </w:t>
      </w:r>
      <w:r>
        <w:t xml:space="preserve">0.45% [95% quantile interval: 0.37%,1.68%].</w:t>
      </w:r>
    </w:p>
    <w:p>
      <w:pPr>
        <w:pStyle w:val="BodyText"/>
      </w:pPr>
      <w:r>
        <w:t xml:space="preserve">Model diagnostics can be seen in the supplementary materials here:</w:t>
      </w:r>
      <w:r>
        <w:t xml:space="preserve"> </w:t>
      </w:r>
      <w:hyperlink r:id="rId46">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wolf-SMD-plot"/>
          <w:p>
            <w:pPr>
              <w:jc w:val="center"/>
            </w:pPr>
            <w:r>
              <w:drawing>
                <wp:inline>
                  <wp:extent cx="5334000" cy="2933700"/>
                  <wp:effectExtent b="0" l="0" r="0" t="0"/>
                  <wp:docPr descr="" title="" id="48" name="Picture"/>
                  <a:graphic>
                    <a:graphicData uri="http://schemas.openxmlformats.org/drawingml/2006/picture">
                      <pic:pic>
                        <pic:nvPicPr>
                          <pic:cNvPr descr="analysis_results_brief_files/figure-docx/fig-wolf-SMD-plot-1.png" id="49" name="Picture"/>
                          <pic:cNvPicPr>
                            <a:picLocks noChangeArrowheads="1" noChangeAspect="1"/>
                          </pic:cNvPicPr>
                        </pic:nvPicPr>
                        <pic:blipFill>
                          <a:blip r:embed="rId47"/>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from primary pre-registered main model for standardized mean difference effects.</w:t>
            </w:r>
          </w:p>
          <w:bookmarkEnd w:id="5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4" w:name="fig-wolf-lnRR-plot"/>
          <w:p>
            <w:pPr>
              <w:jc w:val="center"/>
            </w:pPr>
            <w:r>
              <w:drawing>
                <wp:inline>
                  <wp:extent cx="5334000" cy="2933700"/>
                  <wp:effectExtent b="0" l="0" r="0" t="0"/>
                  <wp:docPr descr="" title="" id="52" name="Picture"/>
                  <a:graphic>
                    <a:graphicData uri="http://schemas.openxmlformats.org/drawingml/2006/picture">
                      <pic:pic>
                        <pic:nvPicPr>
                          <pic:cNvPr descr="analysis_results_brief_files/figure-docx/fig-wolf-lnRR-plot-1.png" id="53" name="Picture"/>
                          <pic:cNvPicPr>
                            <a:picLocks noChangeArrowheads="1" noChangeAspect="1"/>
                          </pic:cNvPicPr>
                        </pic:nvPicPr>
                        <pic:blipFill>
                          <a:blip r:embed="rId51"/>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exponentiated log response ratio effects.</w:t>
            </w:r>
          </w:p>
          <w:bookmarkEnd w:id="54"/>
        </w:tc>
      </w:tr>
    </w:tbl>
    <w:bookmarkEnd w:id="55"/>
    <w:bookmarkEnd w:id="56"/>
    <w:bookmarkStart w:id="77" w:name="references"/>
    <w:p>
      <w:pPr>
        <w:pStyle w:val="Heading1"/>
      </w:pPr>
      <w:r>
        <w:t xml:space="preserve">References</w:t>
      </w:r>
    </w:p>
    <w:bookmarkStart w:id="76" w:name="refs"/>
    <w:bookmarkStart w:id="58" w:name="Xedeb47b0dbf4551bbf1db9b9b53e7bd5f745362"/>
    <w:p>
      <w:pPr>
        <w:pStyle w:val="Bibliography"/>
      </w:pPr>
      <w:r>
        <w:t xml:space="preserve">Bonett, D. G. (2008). Confidence intervals for standardized linear contrasts of means.</w:t>
      </w:r>
      <w:r>
        <w:t xml:space="preserve"> </w:t>
      </w:r>
      <w:r>
        <w:rPr>
          <w:iCs/>
          <w:i/>
        </w:rPr>
        <w:t xml:space="preserve">Psychological Methods</w:t>
      </w:r>
      <w:r>
        <w:t xml:space="preserve">,</w:t>
      </w:r>
      <w:r>
        <w:t xml:space="preserve"> </w:t>
      </w:r>
      <w:r>
        <w:rPr>
          <w:iCs/>
          <w:i/>
        </w:rPr>
        <w:t xml:space="preserve">13</w:t>
      </w:r>
      <w:r>
        <w:t xml:space="preserve">(2), 99–109.</w:t>
      </w:r>
      <w:r>
        <w:t xml:space="preserve"> </w:t>
      </w:r>
      <w:hyperlink r:id="rId57">
        <w:r>
          <w:rPr>
            <w:rStyle w:val="Hyperlink"/>
          </w:rPr>
          <w:t xml:space="preserve">https://doi.org/10.1037/1082-989X.13.2.99</w:t>
        </w:r>
      </w:hyperlink>
    </w:p>
    <w:bookmarkEnd w:id="58"/>
    <w:bookmarkStart w:id="60" w:name="Xfdf9c290cfc9cda25c27a23676572fbcacefdf9"/>
    <w:p>
      <w:pPr>
        <w:pStyle w:val="Bibliography"/>
      </w:pPr>
      <w:r>
        <w:t xml:space="preserve">Gronau, Q. F., Singmann, H., &amp; Wagenmakers, E.-J. (2020). 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w:t>
      </w:r>
      <w:r>
        <w:t xml:space="preserve"> </w:t>
      </w:r>
      <w:r>
        <w:rPr>
          <w:iCs/>
          <w:i/>
        </w:rPr>
        <w:t xml:space="preserve">92</w:t>
      </w:r>
      <w:r>
        <w:t xml:space="preserve">, 1–29.</w:t>
      </w:r>
      <w:r>
        <w:t xml:space="preserve"> </w:t>
      </w:r>
      <w:hyperlink r:id="rId59">
        <w:r>
          <w:rPr>
            <w:rStyle w:val="Hyperlink"/>
          </w:rPr>
          <w:t xml:space="preserve">https://doi.org/10.18637/jss.v092.i10</w:t>
        </w:r>
      </w:hyperlink>
    </w:p>
    <w:bookmarkEnd w:id="60"/>
    <w:bookmarkStart w:id="6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61">
        <w:r>
          <w:rPr>
            <w:rStyle w:val="Hyperlink"/>
          </w:rPr>
          <w:t xml:space="preserve">https://doi.org/10.3758/s13423-016-1221-4</w:t>
        </w:r>
      </w:hyperlink>
    </w:p>
    <w:bookmarkEnd w:id="62"/>
    <w:bookmarkStart w:id="64" w:name="Xb5640647e0b4a41d0054441a36f6f03cd8eecc9"/>
    <w:p>
      <w:pPr>
        <w:pStyle w:val="Bibliography"/>
      </w:pPr>
      <w:r>
        <w:t xml:space="preserve">Lajeunesse, M. J. (2011). On the meta-analysis of response ratios for studies with correlated and multi-group designs.</w:t>
      </w:r>
      <w:r>
        <w:t xml:space="preserve"> </w:t>
      </w:r>
      <w:r>
        <w:rPr>
          <w:iCs/>
          <w:i/>
        </w:rPr>
        <w:t xml:space="preserve">Ecology</w:t>
      </w:r>
      <w:r>
        <w:t xml:space="preserve">,</w:t>
      </w:r>
      <w:r>
        <w:t xml:space="preserve"> </w:t>
      </w:r>
      <w:r>
        <w:rPr>
          <w:iCs/>
          <w:i/>
        </w:rPr>
        <w:t xml:space="preserve">92</w:t>
      </w:r>
      <w:r>
        <w:t xml:space="preserve">(11), 2049–2055.</w:t>
      </w:r>
      <w:r>
        <w:t xml:space="preserve"> </w:t>
      </w:r>
      <w:hyperlink r:id="rId63">
        <w:r>
          <w:rPr>
            <w:rStyle w:val="Hyperlink"/>
          </w:rPr>
          <w:t xml:space="preserve">https://doi.org/10.1890/11-0423.1</w:t>
        </w:r>
      </w:hyperlink>
    </w:p>
    <w:bookmarkEnd w:id="64"/>
    <w:bookmarkStart w:id="66" w:name="X8aee6e154d88eae1286038772706e938a4eb570"/>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65">
        <w:r>
          <w:rPr>
            <w:rStyle w:val="Hyperlink"/>
          </w:rPr>
          <w:t xml:space="preserve">https://doi.org/10.1098/rsif.2017.0213</w:t>
        </w:r>
      </w:hyperlink>
    </w:p>
    <w:bookmarkEnd w:id="66"/>
    <w:bookmarkStart w:id="67"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67"/>
    <w:bookmarkStart w:id="69" w:name="ref-rohrerPreciseAnswersVague2021"/>
    <w:p>
      <w:pPr>
        <w:pStyle w:val="Bibliography"/>
      </w:pPr>
      <w:r>
        <w:t xml:space="preserve">Rohrer, J. M., &amp; Arslan, R. C. (2021). 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w:t>
      </w:r>
      <w:r>
        <w:t xml:space="preserve"> </w:t>
      </w:r>
      <w:r>
        <w:rPr>
          <w:iCs/>
          <w:i/>
        </w:rPr>
        <w:t xml:space="preserve">4</w:t>
      </w:r>
      <w:r>
        <w:t xml:space="preserve">(2), 25152459211007368.</w:t>
      </w:r>
      <w:r>
        <w:t xml:space="preserve"> </w:t>
      </w:r>
      <w:hyperlink r:id="rId68">
        <w:r>
          <w:rPr>
            <w:rStyle w:val="Hyperlink"/>
          </w:rPr>
          <w:t xml:space="preserve">https://doi.org/10.1177/25152459211007368</w:t>
        </w:r>
      </w:hyperlink>
    </w:p>
    <w:bookmarkEnd w:id="69"/>
    <w:bookmarkStart w:id="71" w:name="ref-spakeUnderstandingItDepends2023"/>
    <w:p>
      <w:pPr>
        <w:pStyle w:val="Bibliography"/>
      </w:pPr>
      <w:r>
        <w:t xml:space="preserve">Spake, R., Bowler, D. E., Callaghan, C. T., Blowes, S. A., Doncaster, C. P., Antão, L. H., Nakagawa, S., McElreath, R., &amp; Chase, J. M. (2023). 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w:t>
      </w:r>
      <w:r>
        <w:t xml:space="preserve"> </w:t>
      </w:r>
      <w:r>
        <w:rPr>
          <w:iCs/>
          <w:i/>
        </w:rPr>
        <w:t xml:space="preserve">98</w:t>
      </w:r>
      <w:r>
        <w:t xml:space="preserve">(4), 983–1002.</w:t>
      </w:r>
      <w:r>
        <w:t xml:space="preserve"> </w:t>
      </w:r>
      <w:hyperlink r:id="rId70">
        <w:r>
          <w:rPr>
            <w:rStyle w:val="Hyperlink"/>
          </w:rPr>
          <w:t xml:space="preserve">https://doi.org/10.1111/brv.12939</w:t>
        </w:r>
      </w:hyperlink>
    </w:p>
    <w:bookmarkEnd w:id="71"/>
    <w:bookmarkStart w:id="73" w:name="X0d58ee8e83fbe58b09a10a02d49a47482e58de9"/>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72">
        <w:r>
          <w:rPr>
            <w:rStyle w:val="Hyperlink"/>
          </w:rPr>
          <w:t xml:space="preserve">https://doi.org/10.1080/02640414.2023.2286748</w:t>
        </w:r>
      </w:hyperlink>
    </w:p>
    <w:bookmarkEnd w:id="73"/>
    <w:bookmarkStart w:id="75" w:name="ref-wolfPartialVsFull2023"/>
    <w:p>
      <w:pPr>
        <w:pStyle w:val="Bibliography"/>
      </w:pPr>
      <w:r>
        <w:t xml:space="preserve">Wolf, M., Androulakis-Korakakis, P., Fisher, J., Schoenfeld, B., &amp; Steele, J. (2023). 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w:t>
      </w:r>
      <w:r>
        <w:t xml:space="preserve"> </w:t>
      </w:r>
      <w:r>
        <w:rPr>
          <w:iCs/>
          <w:i/>
        </w:rPr>
        <w:t xml:space="preserve">3</w:t>
      </w:r>
      <w:r>
        <w:t xml:space="preserve">(1).</w:t>
      </w:r>
      <w:r>
        <w:t xml:space="preserve"> </w:t>
      </w:r>
      <w:hyperlink r:id="rId74">
        <w:r>
          <w:rPr>
            <w:rStyle w:val="Hyperlink"/>
          </w:rPr>
          <w:t xml:space="preserve">https://doi.org/10.47206/ijsc.v3i1.182</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26">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27">
        <w:r>
          <w:rPr>
            <w:rStyle w:val="Hyperlink"/>
          </w:rPr>
          <w:t xml:space="preserve">https://osf.io/9sgjk</w:t>
        </w:r>
      </w:hyperlink>
      <w:r>
        <w:t xml:space="preserve">).</w:t>
      </w:r>
    </w:p>
  </w:footnote>
  <w:footnote w:id="29">
    <w:p>
      <w:pPr>
        <w:pStyle w:val="FootnoteText"/>
      </w:pPr>
      <w:r>
        <w:rPr>
          <w:rStyle w:val="FootnoteReference"/>
        </w:rPr>
        <w:footnoteRef/>
      </w:r>
      <w:r>
        <w:t xml:space="preserve"> </w:t>
      </w:r>
      <w:r>
        <w:t xml:space="preserve">We obtained priors from studies in the dataset of Wolf et al.</w:t>
      </w:r>
      <w:r>
        <w:t xml:space="preserve"> </w:t>
      </w:r>
      <w:r>
        <w:t xml:space="preserve">(2023)</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similar to the ~21.8% as noted above in extracting slopes for reporting and so these codes corresponded to ~32.4% and ~54.2% muscle length respectively. Measurement site was also centred at 50%. We then fit a model with the same parametrization as the present pre-registered model in</w:t>
      </w:r>
      <w:r>
        <w:t xml:space="preserve"> </w:t>
      </w:r>
      <w:hyperlink w:anchor="eq-main-model">
        <w:r>
          <w:rPr>
            <w:rStyle w:val="Hyperlink"/>
          </w:rPr>
          <w:t xml:space="preserve">Equation 1</w:t>
        </w:r>
      </w:hyperlink>
      <w:r>
        <w:t xml:space="preserve"> </w:t>
      </w:r>
      <w:r>
        <w:t xml:space="preserve">with the primary difference being that muscle length was categorical and the coefficient in the model fit to the Wolf et al.</w:t>
      </w:r>
      <w:r>
        <w:t xml:space="preserve"> </w:t>
      </w:r>
      <w:r>
        <w:t xml:space="preserve">(2023)</w:t>
      </w:r>
      <w:r>
        <w:t xml:space="preserve"> </w:t>
      </w:r>
      <w:r>
        <w:t xml:space="preserve">data reflected the slope of the difference i.e., comparison between ~32.4% and ~54.2% muscle length. We set weakly regularising priors of</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by measurement site interaction, and the random effects standard deviations for the study, arm, and effect level intercepts.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57" Target="https://doi.org/10.1037/1082-989X.13.2.99" TargetMode="External" /><Relationship Type="http://schemas.openxmlformats.org/officeDocument/2006/relationships/hyperlink" Id="rId72" Target="https://doi.org/10.1080/02640414.2023.2286748" TargetMode="External" /><Relationship Type="http://schemas.openxmlformats.org/officeDocument/2006/relationships/hyperlink" Id="rId65" Target="https://doi.org/10.1098/rsif.2017.0213" TargetMode="External" /><Relationship Type="http://schemas.openxmlformats.org/officeDocument/2006/relationships/hyperlink" Id="rId70" Target="https://doi.org/10.1111/brv.12939" TargetMode="External" /><Relationship Type="http://schemas.openxmlformats.org/officeDocument/2006/relationships/hyperlink" Id="rId68" Target="https://doi.org/10.1177/25152459211007368" TargetMode="External" /><Relationship Type="http://schemas.openxmlformats.org/officeDocument/2006/relationships/hyperlink" Id="rId59" Target="https://doi.org/10.18637/jss.v092.i10" TargetMode="External" /><Relationship Type="http://schemas.openxmlformats.org/officeDocument/2006/relationships/hyperlink" Id="rId63" Target="https://doi.org/10.1890/11-0423.1" TargetMode="External" /><Relationship Type="http://schemas.openxmlformats.org/officeDocument/2006/relationships/hyperlink" Id="rId61" Target="https://doi.org/10.3758/s13423-016-1221-4" TargetMode="External" /><Relationship Type="http://schemas.openxmlformats.org/officeDocument/2006/relationships/hyperlink" Id="rId74"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6"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42" Target="https://osf.io/9snkh"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41" Target="https://osf.io/pbqwe"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37/1082-989X.13.2.99" TargetMode="External" /><Relationship Type="http://schemas.openxmlformats.org/officeDocument/2006/relationships/hyperlink" Id="rId72" Target="https://doi.org/10.1080/02640414.2023.2286748" TargetMode="External" /><Relationship Type="http://schemas.openxmlformats.org/officeDocument/2006/relationships/hyperlink" Id="rId65" Target="https://doi.org/10.1098/rsif.2017.0213" TargetMode="External" /><Relationship Type="http://schemas.openxmlformats.org/officeDocument/2006/relationships/hyperlink" Id="rId70" Target="https://doi.org/10.1111/brv.12939" TargetMode="External" /><Relationship Type="http://schemas.openxmlformats.org/officeDocument/2006/relationships/hyperlink" Id="rId68" Target="https://doi.org/10.1177/25152459211007368" TargetMode="External" /><Relationship Type="http://schemas.openxmlformats.org/officeDocument/2006/relationships/hyperlink" Id="rId59" Target="https://doi.org/10.18637/jss.v092.i10" TargetMode="External" /><Relationship Type="http://schemas.openxmlformats.org/officeDocument/2006/relationships/hyperlink" Id="rId63" Target="https://doi.org/10.1890/11-0423.1" TargetMode="External" /><Relationship Type="http://schemas.openxmlformats.org/officeDocument/2006/relationships/hyperlink" Id="rId61" Target="https://doi.org/10.3758/s13423-016-1221-4" TargetMode="External" /><Relationship Type="http://schemas.openxmlformats.org/officeDocument/2006/relationships/hyperlink" Id="rId74"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6"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42" Target="https://osf.io/9snkh"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41" Target="https://osf.io/pbqwe"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2025-04-16T07:44:13Z</dcterms:created>
  <dcterms:modified xsi:type="dcterms:W3CDTF">2025-04-16T07:44:13Z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