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3"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et al., 2019)</w:t>
      </w:r>
      <w:r>
        <w:t xml:space="preserve">. For all analyses we opted to take an estimation-based approach typical when examining validity and reliability. That is, we provide point estimates and the uncertainty in them for the statistical parameters reported. Two sets of models were employed exploring the JHs recorded from CMJ trials; one to examine the agreement between the IM method using the Force Decks (i.e., gold-standard) and each of the other methods, and one to explore the test-retest reliability for each method. Given we had nested data whereby each participant provided three trials for each method on two separate testing sessions we adopted a mixed effects limits of agreement approach</w:t>
      </w:r>
      <w:r>
        <w:t xml:space="preserve"> </w:t>
      </w:r>
      <w:r>
        <w:t xml:space="preserve">(Parker et al., 2020)</w:t>
      </w:r>
      <w:r>
        <w:t xml:space="preserve">. This allowed us to estimate mean bias for each method compared with the gold-standard for agreement utilising both first and second session data, and any test retest bias for reliability, in addition to to upper and lower limits of agreement providing 95% coverage probabilities for both agreement and test-retest reliability. Models were fit using the</w:t>
      </w:r>
      <w:r>
        <w:t xml:space="preserve"> </w:t>
      </w:r>
      <w:r>
        <w:rPr>
          <w:rStyle w:val="VerbatimChar"/>
        </w:rPr>
        <w:t xml:space="preserve">lme4</w:t>
      </w:r>
      <w:r>
        <w:t xml:space="preserve"> </w:t>
      </w:r>
      <w:r>
        <w:t xml:space="preserve">package and using Restricted Maximum Likelihood Estimation. For each of the models fit we used nonparametric case based bootstrapping resampling 10000 times at the individual participant level and refitting models in order to construct 95% quantile intervals for both the mean bias and limits of agreement estimates. Bootstrapping was performed using the</w:t>
      </w:r>
      <w:r>
        <w:t xml:space="preserve"> </w:t>
      </w:r>
      <w:r>
        <w:rPr>
          <w:rStyle w:val="VerbatimChar"/>
        </w:rPr>
        <w:t xml:space="preserve">lmeresampler</w:t>
      </w:r>
      <w:r>
        <w:t xml:space="preserve"> </w:t>
      </w:r>
      <w:r>
        <w:t xml:space="preserve">package.</w:t>
      </w:r>
    </w:p>
    <w:bookmarkStart w:id="20" w:name="agreement"/>
    <w:p>
      <w:pPr>
        <w:pStyle w:val="Heading2"/>
      </w:pPr>
      <w:r>
        <w:t xml:space="preserve">1.1 Agreement</w:t>
      </w:r>
    </w:p>
    <w:p>
      <w:pPr>
        <w:pStyle w:val="FirstParagraph"/>
      </w:pPr>
      <w:r>
        <w:t xml:space="preserve">For estimation of bias and limits of agreement regarding the agreement between the gold-standard and each device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i</m:t>
                    </m:r>
                    <m:r>
                      <m:t>s</m:t>
                    </m:r>
                    <m:r>
                      <m:t>t</m:t>
                    </m:r>
                  </m:sub>
                </m:sSub>
              </m:e>
              <m:e>
                <m:r>
                  <m:rPr>
                    <m:sty m:val="p"/>
                  </m:rPr>
                  <m:t>=</m:t>
                </m:r>
                <m:r>
                  <m:t>μ</m:t>
                </m:r>
                <m:r>
                  <m:rPr>
                    <m:sty m:val="p"/>
                  </m:rPr>
                  <m:t>+</m:t>
                </m:r>
                <m:sSub>
                  <m:e>
                    <m:r>
                      <m:t>α</m:t>
                    </m:r>
                  </m:e>
                  <m:sub>
                    <m:r>
                      <m:t>i</m:t>
                    </m:r>
                  </m:sub>
                </m:sSub>
                <m:r>
                  <m:rPr>
                    <m:sty m:val="p"/>
                  </m:rPr>
                  <m:t>+</m:t>
                </m:r>
                <m:sSub>
                  <m:e>
                    <m:r>
                      <m:t>γ</m:t>
                    </m:r>
                  </m:e>
                  <m:sub>
                    <m:r>
                      <m:t>s</m:t>
                    </m:r>
                  </m:sub>
                </m:sSub>
                <m:r>
                  <m:rPr>
                    <m:sty m:val="p"/>
                  </m:rPr>
                  <m:t>+</m:t>
                </m:r>
                <m:sSub>
                  <m:e>
                    <m:r>
                      <m:t>ϵ</m:t>
                    </m:r>
                  </m:e>
                  <m:sub>
                    <m:r>
                      <m:t>i</m:t>
                    </m:r>
                    <m:r>
                      <m:t>s</m:t>
                    </m:r>
                    <m:r>
                      <m:t>t</m:t>
                    </m:r>
                  </m:sub>
                </m:sSub>
              </m:e>
            </m:mr>
            <m:mr>
              <m:e>
                <m:sSub>
                  <m:e>
                    <m:r>
                      <m:t>α</m:t>
                    </m:r>
                  </m:e>
                  <m:sub>
                    <m:r>
                      <m:t>i</m:t>
                    </m:r>
                  </m:sub>
                </m:sSub>
              </m:e>
              <m:e>
                <m:r>
                  <m:rPr>
                    <m:sty m:val="p"/>
                  </m:rPr>
                  <m:t>∼</m:t>
                </m:r>
                <m:r>
                  <m:t>N</m:t>
                </m:r>
                <m:d>
                  <m:dPr>
                    <m:begChr m:val="("/>
                    <m:endChr m:val=")"/>
                    <m:sepChr m:val=""/>
                    <m:grow/>
                  </m:dPr>
                  <m:e>
                    <m:r>
                      <m:t>0</m:t>
                    </m:r>
                    <m:r>
                      <m:rPr>
                        <m:sty m:val="p"/>
                      </m:rPr>
                      <m:t>,</m:t>
                    </m:r>
                    <m:sSubSup>
                      <m:e>
                        <m:r>
                          <m:t>σ</m:t>
                        </m:r>
                      </m:e>
                      <m:sub>
                        <m:r>
                          <m:t>α</m:t>
                        </m:r>
                      </m:sub>
                      <m:sup>
                        <m:r>
                          <m:t>2</m:t>
                        </m:r>
                      </m:sup>
                    </m:sSubSup>
                  </m:e>
                </m:d>
              </m:e>
            </m:mr>
            <m:mr>
              <m:e>
                <m:sSub>
                  <m:e>
                    <m:r>
                      <m:t>γ</m:t>
                    </m:r>
                  </m:e>
                  <m:sub>
                    <m:r>
                      <m:t>s</m:t>
                    </m:r>
                  </m:sub>
                </m:sSub>
              </m:e>
              <m:e>
                <m:r>
                  <m:rPr>
                    <m:sty m:val="p"/>
                  </m:rPr>
                  <m:t>∼</m:t>
                </m:r>
                <m:r>
                  <m:t>N</m:t>
                </m:r>
                <m:d>
                  <m:dPr>
                    <m:begChr m:val="("/>
                    <m:endChr m:val=")"/>
                    <m:sepChr m:val=""/>
                    <m:grow/>
                  </m:dPr>
                  <m:e>
                    <m:r>
                      <m:t>0</m:t>
                    </m:r>
                    <m:r>
                      <m:rPr>
                        <m:sty m:val="p"/>
                      </m:rPr>
                      <m:t>,</m:t>
                    </m:r>
                    <m:sSubSup>
                      <m:e>
                        <m:r>
                          <m:t>σ</m:t>
                        </m:r>
                      </m:e>
                      <m:sub>
                        <m:r>
                          <m:t>γ</m:t>
                        </m:r>
                      </m:sub>
                      <m:sup>
                        <m:r>
                          <m:t>2</m:t>
                        </m:r>
                      </m:sup>
                    </m:sSubSup>
                  </m:e>
                </m:d>
              </m:e>
            </m:mr>
            <m:mr>
              <m:e>
                <m:sSub>
                  <m:e>
                    <m:r>
                      <m:t>ϵ</m:t>
                    </m:r>
                  </m:e>
                  <m:sub>
                    <m:r>
                      <m:t>i</m:t>
                    </m:r>
                    <m:r>
                      <m:t>s</m:t>
                    </m:r>
                    <m:r>
                      <m:t>t</m:t>
                    </m:r>
                  </m:sub>
                </m:sSub>
              </m:e>
              <m:e>
                <m:r>
                  <m:rPr>
                    <m:sty m:val="p"/>
                  </m:rPr>
                  <m:t>∼</m:t>
                </m:r>
                <m:r>
                  <m:t>N</m:t>
                </m:r>
                <m:d>
                  <m:dPr>
                    <m:begChr m:val="("/>
                    <m:endChr m:val=")"/>
                    <m:sepChr m:val=""/>
                    <m:grow/>
                  </m:dPr>
                  <m:e>
                    <m:r>
                      <m:t>0</m:t>
                    </m:r>
                    <m:r>
                      <m:rPr>
                        <m:sty m:val="p"/>
                      </m:rPr>
                      <m:t>,</m:t>
                    </m:r>
                    <m:sSubSup>
                      <m:e>
                        <m:r>
                          <m:t>σ</m:t>
                        </m:r>
                      </m:e>
                      <m:sub>
                        <m:r>
                          <m:t>ϵ</m:t>
                        </m:r>
                      </m:sub>
                      <m:sup>
                        <m:r>
                          <m:t>2</m:t>
                        </m:r>
                      </m:sup>
                    </m:sSubSup>
                  </m:e>
                </m:d>
              </m:e>
            </m:mr>
          </m:m>
        </m:oMath>
      </m:oMathPara>
    </w:p>
    <w:p>
      <w:pPr>
        <w:pStyle w:val="FirstParagraph"/>
      </w:pPr>
      <w:r>
        <w:t xml:space="preserve">Where</w:t>
      </w:r>
      <w:r>
        <w:t xml:space="preserve"> </w:t>
      </w:r>
      <m:oMath>
        <m:sSub>
          <m:e>
            <m:r>
              <m:t>D</m:t>
            </m:r>
          </m:e>
          <m:sub>
            <m:r>
              <m:t>i</m:t>
            </m:r>
            <m:r>
              <m:t>s</m:t>
            </m:r>
            <m:r>
              <m:t>t</m:t>
            </m:r>
          </m:sub>
        </m:sSub>
      </m:oMath>
      <w:r>
        <w:t xml:space="preserve"> </w:t>
      </w:r>
      <w:r>
        <w:t xml:space="preserve">is the difference between measurements taken between the two devices (i.e.,</w:t>
      </w:r>
      <w:r>
        <w:t xml:space="preserve"> </w:t>
      </w:r>
      <m:oMath>
        <m:sSub>
          <m:e>
            <m:r>
              <m:t>y</m:t>
            </m:r>
          </m:e>
          <m:sub>
            <m:r>
              <m:t>i</m:t>
            </m:r>
            <m:r>
              <m:t>s</m:t>
            </m:r>
            <m:r>
              <m:t>t</m:t>
            </m:r>
            <m:r>
              <m:t>2</m:t>
            </m:r>
          </m:sub>
        </m:sSub>
        <m:r>
          <m:rPr>
            <m:sty m:val="p"/>
          </m:rPr>
          <m:t>−</m:t>
        </m:r>
        <m:sSub>
          <m:e>
            <m:r>
              <m:t>y</m:t>
            </m:r>
          </m:e>
          <m:sub>
            <m:r>
              <m:t>i</m:t>
            </m:r>
            <m:r>
              <m:t>s</m:t>
            </m:r>
            <m:r>
              <m:t>t</m:t>
            </m:r>
            <m:r>
              <m:t>1</m:t>
            </m:r>
          </m:sub>
        </m:sSub>
      </m:oMath>
      <w:r>
        <w:t xml:space="preserve">), where the device indexed by</w:t>
      </w:r>
      <w:r>
        <w:t xml:space="preserve"> </w:t>
      </w:r>
      <m:oMath>
        <m:r>
          <m:t>1</m:t>
        </m:r>
      </m:oMath>
      <w:r>
        <w:t xml:space="preserve"> </w:t>
      </w:r>
      <w:r>
        <w:t xml:space="preserve">is the gold-standard and device indexed by</w:t>
      </w:r>
      <w:r>
        <w:t xml:space="preserve"> </w:t>
      </w:r>
      <m:oMath>
        <m:r>
          <m:t>2</m:t>
        </m:r>
      </m:oMath>
      <w:r>
        <w:t xml:space="preserve"> </w:t>
      </w:r>
      <w:r>
        <w:t xml:space="preserve">is the comparison device, for participant</w:t>
      </w:r>
      <w:r>
        <w:t xml:space="preserve"> </w:t>
      </w:r>
      <m:oMath>
        <m:r>
          <m:t>i</m:t>
        </m:r>
      </m:oMath>
      <w:r>
        <w:t xml:space="preserve"> </w:t>
      </w:r>
      <w:r>
        <w:t xml:space="preserve">during session</w:t>
      </w:r>
      <w:r>
        <w:t xml:space="preserve"> </w:t>
      </w:r>
      <m:oMath>
        <m:r>
          <m:t>s</m:t>
        </m:r>
      </m:oMath>
      <w:r>
        <w:t xml:space="preserve"> </w:t>
      </w:r>
      <w:r>
        <w:t xml:space="preserve">and for trial</w:t>
      </w:r>
      <w:r>
        <w:t xml:space="preserve"> </w:t>
      </w:r>
      <m:oMath>
        <m:r>
          <m:t>t</m:t>
        </m:r>
      </m:oMath>
      <w:r>
        <w:t xml:space="preserve">. Here</w:t>
      </w:r>
      <w:r>
        <w:t xml:space="preserve"> </w:t>
      </w:r>
      <m:oMath>
        <m:r>
          <m:t>μ</m:t>
        </m:r>
      </m:oMath>
      <w:r>
        <w:t xml:space="preserve"> </w:t>
      </w:r>
      <w:r>
        <w:t xml:space="preserve">is the overall mean of the between device differences (i.e., the mean bias),</w:t>
      </w:r>
      <w:r>
        <w:t xml:space="preserve"> </w:t>
      </w:r>
      <m:oMath>
        <m:sSub>
          <m:e>
            <m:r>
              <m:t>α</m:t>
            </m:r>
          </m:e>
          <m:sub>
            <m:r>
              <m:t>i</m:t>
            </m:r>
          </m:sub>
        </m:sSub>
      </m:oMath>
      <w:r>
        <w:t xml:space="preserve"> </w:t>
      </w:r>
      <w:r>
        <w:t xml:space="preserve">is the random effect for the</w:t>
      </w:r>
      <w:r>
        <w:t xml:space="preserve"> </w:t>
      </w:r>
      <m:oMath>
        <m:sSup>
          <m:e>
            <m:r>
              <m:t>i</m:t>
            </m:r>
          </m:e>
          <m:sup>
            <m:r>
              <m:t>t</m:t>
            </m:r>
            <m:r>
              <m:t>h</m:t>
            </m:r>
          </m:sup>
        </m:sSup>
      </m:oMath>
      <w:r>
        <w:t xml:space="preserve"> </w:t>
      </w:r>
      <w:r>
        <w:t xml:space="preserve">participant,</w:t>
      </w:r>
      <m:oMath>
        <m:sSub>
          <m:e>
            <m:r>
              <m:t>γ</m:t>
            </m:r>
          </m:e>
          <m:sub>
            <m:r>
              <m:t>s</m:t>
            </m:r>
          </m:sub>
        </m:sSub>
      </m:oMath>
      <w:r>
        <w:t xml:space="preserve"> </w:t>
      </w:r>
      <w:r>
        <w:t xml:space="preserve">is the random effect for the</w:t>
      </w:r>
      <w:r>
        <w:t xml:space="preserve"> </w:t>
      </w:r>
      <m:oMath>
        <m:sSup>
          <m:e>
            <m:r>
              <m:t>s</m:t>
            </m:r>
          </m:e>
          <m:sup>
            <m:r>
              <m:t>t</m:t>
            </m:r>
            <m:r>
              <m:t>h</m:t>
            </m:r>
          </m:sup>
        </m:sSup>
      </m:oMath>
      <w:r>
        <w:t xml:space="preserve"> </w:t>
      </w:r>
      <w:r>
        <w:t xml:space="preserve">session which is nested within participant, and</w:t>
      </w:r>
      <w:r>
        <w:t xml:space="preserve"> </w:t>
      </w:r>
      <m:oMath>
        <m:sSub>
          <m:e>
            <m:r>
              <m:t>ϵ</m:t>
            </m:r>
          </m:e>
          <m:sub>
            <m:r>
              <m:t>i</m:t>
            </m:r>
            <m:r>
              <m:t>s</m:t>
            </m:r>
            <m:r>
              <m:t>t</m:t>
            </m:r>
          </m:sub>
        </m:sSub>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r>
                  <m:t>μ</m:t>
                </m:r>
                <m:r>
                  <m:rPr>
                    <m:sty m:val="p"/>
                  </m:rPr>
                  <m:t>±</m:t>
                </m:r>
                <m:r>
                  <m:t>1.96</m:t>
                </m:r>
                <m:rad>
                  <m:radPr>
                    <m:degHide m:val="1"/>
                  </m:radPr>
                  <m:deg/>
                  <m:e>
                    <m:sSubSup>
                      <m:e>
                        <m:r>
                          <m:t>σ</m:t>
                        </m:r>
                      </m:e>
                      <m:sub>
                        <m:r>
                          <m:t>α</m:t>
                        </m:r>
                      </m:sub>
                      <m:sup>
                        <m:r>
                          <m:t>2</m:t>
                        </m:r>
                      </m:sup>
                    </m:sSubSup>
                    <m:r>
                      <m:rPr>
                        <m:sty m:val="p"/>
                      </m:rPr>
                      <m:t>+</m:t>
                    </m:r>
                    <m:sSubSup>
                      <m:e>
                        <m:r>
                          <m:t>σ</m:t>
                        </m:r>
                      </m:e>
                      <m:sub>
                        <m:r>
                          <m:t>γ</m:t>
                        </m:r>
                      </m:sub>
                      <m:sup>
                        <m:r>
                          <m:t>2</m:t>
                        </m:r>
                      </m:sup>
                    </m:sSubSup>
                    <m:r>
                      <m:rPr>
                        <m:sty m:val="p"/>
                      </m:rPr>
                      <m:t>+</m:t>
                    </m:r>
                    <m:sSubSup>
                      <m:e>
                        <m:r>
                          <m:t>σ</m:t>
                        </m:r>
                      </m:e>
                      <m:sub>
                        <m:r>
                          <m:t>ϵ</m:t>
                        </m:r>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device in comparison o the gold-standard.</w:t>
      </w:r>
    </w:p>
    <w:bookmarkEnd w:id="20"/>
    <w:bookmarkStart w:id="21" w:name="reliability"/>
    <w:p>
      <w:pPr>
        <w:pStyle w:val="Heading2"/>
      </w:pPr>
      <w:r>
        <w:t xml:space="preserve">1.2 Reliability</w:t>
      </w:r>
    </w:p>
    <w:p>
      <w:pPr>
        <w:pStyle w:val="FirstParagraph"/>
      </w:pPr>
      <w:r>
        <w:t xml:space="preserve">For estimation of bias and limits of agreement regarding the test-retest reliability between each test session for each device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D</m:t>
                    </m:r>
                  </m:e>
                  <m:sub>
                    <m:r>
                      <m:t>i</m:t>
                    </m:r>
                    <m:r>
                      <m:t>t</m:t>
                    </m:r>
                  </m:sub>
                  <m:sup>
                    <m:r>
                      <m:rPr>
                        <m:sty m:val="p"/>
                      </m:rPr>
                      <m:t>*</m:t>
                    </m:r>
                  </m:sup>
                </m:sSubSup>
              </m:e>
              <m:e>
                <m:r>
                  <m:rPr>
                    <m:sty m:val="p"/>
                  </m:rPr>
                  <m:t>=</m:t>
                </m:r>
                <m:sSup>
                  <m:e>
                    <m:r>
                      <m:t>μ</m:t>
                    </m:r>
                  </m:e>
                  <m:sup>
                    <m:r>
                      <m:rPr>
                        <m:sty m:val="p"/>
                      </m:rPr>
                      <m:t>*</m:t>
                    </m:r>
                  </m:sup>
                </m:sSup>
                <m:r>
                  <m:rPr>
                    <m:sty m:val="p"/>
                  </m:rPr>
                  <m:t>+</m:t>
                </m:r>
                <m:sSubSup>
                  <m:e>
                    <m:r>
                      <m:t>α</m:t>
                    </m:r>
                  </m:e>
                  <m:sub>
                    <m:r>
                      <m:t>i</m:t>
                    </m:r>
                  </m:sub>
                  <m:sup>
                    <m:r>
                      <m:rPr>
                        <m:sty m:val="p"/>
                      </m:rPr>
                      <m:t>*</m:t>
                    </m:r>
                  </m:sup>
                </m:sSubSup>
                <m:r>
                  <m:rPr>
                    <m:sty m:val="p"/>
                  </m:rPr>
                  <m:t>+</m:t>
                </m:r>
                <m:sSubSup>
                  <m:e>
                    <m:r>
                      <m:t>ϵ</m:t>
                    </m:r>
                  </m:e>
                  <m:sub>
                    <m:r>
                      <m:t>i</m:t>
                    </m:r>
                    <m:r>
                      <m:t>t</m:t>
                    </m:r>
                  </m:sub>
                  <m:sup>
                    <m:r>
                      <m:rPr>
                        <m:sty m:val="p"/>
                      </m:rPr>
                      <m:t>*</m:t>
                    </m:r>
                  </m:sup>
                </m:sSubSup>
              </m:e>
            </m:mr>
            <m:mr>
              <m:e>
                <m:sSubSup>
                  <m:e>
                    <m:r>
                      <m:t>α</m:t>
                    </m:r>
                  </m:e>
                  <m:sub>
                    <m:r>
                      <m:t>i</m:t>
                    </m:r>
                  </m:sub>
                  <m:sup>
                    <m:r>
                      <m:rPr>
                        <m:sty m:val="p"/>
                      </m:rPr>
                      <m:t>*</m:t>
                    </m:r>
                  </m:sup>
                </m:sSubSup>
              </m:e>
              <m:e>
                <m:r>
                  <m:rPr>
                    <m:sty m:val="p"/>
                  </m:rPr>
                  <m:t>∼</m:t>
                </m:r>
                <m:r>
                  <m:t>N</m:t>
                </m:r>
                <m:d>
                  <m:dPr>
                    <m:begChr m:val="("/>
                    <m:endChr m:val=")"/>
                    <m:sepChr m:val=""/>
                    <m:grow/>
                  </m:dPr>
                  <m:e>
                    <m:r>
                      <m:t>0</m:t>
                    </m:r>
                    <m:r>
                      <m:rPr>
                        <m:sty m:val="p"/>
                      </m:rPr>
                      <m:t>,</m:t>
                    </m:r>
                    <m:sSubSup>
                      <m:e>
                        <m:r>
                          <m:t>σ</m:t>
                        </m:r>
                      </m:e>
                      <m:sub>
                        <m:sSup>
                          <m:e>
                            <m:r>
                              <m:t>α</m:t>
                            </m:r>
                          </m:e>
                          <m:sup>
                            <m:r>
                              <m:rPr>
                                <m:sty m:val="p"/>
                              </m:rPr>
                              <m:t>*</m:t>
                            </m:r>
                          </m:sup>
                        </m:sSup>
                      </m:sub>
                      <m:sup>
                        <m:r>
                          <m:t>2</m:t>
                        </m:r>
                      </m:sup>
                    </m:sSubSup>
                  </m:e>
                </m:d>
              </m:e>
            </m:mr>
            <m:mr>
              <m:e>
                <m:sSubSup>
                  <m:e>
                    <m:r>
                      <m:t>ϵ</m:t>
                    </m:r>
                  </m:e>
                  <m:sub>
                    <m:r>
                      <m:t>i</m:t>
                    </m:r>
                    <m:r>
                      <m:t>t</m:t>
                    </m:r>
                  </m:sub>
                  <m:sup>
                    <m:r>
                      <m:rPr>
                        <m:sty m:val="p"/>
                      </m:rPr>
                      <m:t>*</m:t>
                    </m:r>
                  </m:sup>
                </m:sSubSup>
              </m:e>
              <m:e>
                <m:r>
                  <m:rPr>
                    <m:sty m:val="p"/>
                  </m:rPr>
                  <m:t>∼</m:t>
                </m:r>
                <m:r>
                  <m:t>N</m:t>
                </m:r>
                <m:d>
                  <m:dPr>
                    <m:begChr m:val="("/>
                    <m:endChr m:val=")"/>
                    <m:sepChr m:val=""/>
                    <m:grow/>
                  </m:dPr>
                  <m:e>
                    <m:r>
                      <m:t>0</m:t>
                    </m:r>
                    <m:r>
                      <m:rPr>
                        <m:sty m:val="p"/>
                      </m:rPr>
                      <m:t>,</m:t>
                    </m:r>
                    <m:sSubSup>
                      <m:e>
                        <m:r>
                          <m:t>σ</m:t>
                        </m:r>
                      </m:e>
                      <m:sub>
                        <m:sSup>
                          <m:e>
                            <m:r>
                              <m:t>ϵ</m:t>
                            </m:r>
                          </m:e>
                          <m:sup>
                            <m:r>
                              <m:rPr>
                                <m:sty m:val="p"/>
                              </m:rPr>
                              <m:t>*</m:t>
                            </m:r>
                          </m:sup>
                        </m:sSup>
                      </m:sub>
                      <m:sup>
                        <m:r>
                          <m:t>2</m:t>
                        </m:r>
                      </m:sup>
                    </m:sSubSup>
                  </m:e>
                </m:d>
              </m:e>
            </m:mr>
          </m:m>
        </m:oMath>
      </m:oMathPara>
    </w:p>
    <w:p>
      <w:pPr>
        <w:pStyle w:val="FirstParagraph"/>
      </w:pPr>
      <w:r>
        <w:t xml:space="preserve">Where</w:t>
      </w:r>
      <w:r>
        <w:t xml:space="preserve"> </w:t>
      </w:r>
      <m:oMath>
        <m:sSub>
          <m:e>
            <m:r>
              <m:t>D</m:t>
            </m:r>
          </m:e>
          <m:sub>
            <m:r>
              <m:t>i</m:t>
            </m:r>
            <m:r>
              <m:t>t</m:t>
            </m:r>
          </m:sub>
        </m:sSub>
      </m:oMath>
      <w:r>
        <w:t xml:space="preserve"> </w:t>
      </w:r>
      <w:r>
        <w:t xml:space="preserve">is the difference between measurements taken between the two sessions for a given device (i.e.,</w:t>
      </w:r>
      <w:r>
        <w:t xml:space="preserve"> </w:t>
      </w:r>
      <m:oMath>
        <m:sSub>
          <m:e>
            <m:r>
              <m:t>y</m:t>
            </m:r>
          </m:e>
          <m:sub>
            <m:r>
              <m:t>i</m:t>
            </m:r>
            <m:r>
              <m:t>t</m:t>
            </m:r>
            <m:r>
              <m:t>2</m:t>
            </m:r>
          </m:sub>
        </m:sSub>
        <m:r>
          <m:rPr>
            <m:sty m:val="p"/>
          </m:rPr>
          <m:t>−</m:t>
        </m:r>
        <m:sSub>
          <m:e>
            <m:r>
              <m:t>y</m:t>
            </m:r>
          </m:e>
          <m:sub>
            <m:r>
              <m:t>i</m:t>
            </m:r>
            <m:r>
              <m:t>t</m:t>
            </m:r>
            <m:r>
              <m:t>1</m:t>
            </m:r>
          </m:sub>
        </m:sSub>
      </m:oMath>
      <w:r>
        <w:t xml:space="preserve">), where the session indexed by</w:t>
      </w:r>
      <w:r>
        <w:t xml:space="preserve"> </w:t>
      </w:r>
      <m:oMath>
        <m:r>
          <m:t>1</m:t>
        </m:r>
      </m:oMath>
      <w:r>
        <w:t xml:space="preserve"> </w:t>
      </w:r>
      <w:r>
        <w:t xml:space="preserve">is the first test session and the session indexed by</w:t>
      </w:r>
      <w:r>
        <w:t xml:space="preserve"> </w:t>
      </w:r>
      <m:oMath>
        <m:r>
          <m:t>2</m:t>
        </m:r>
      </m:oMath>
      <w:r>
        <w:t xml:space="preserve"> </w:t>
      </w:r>
      <w:r>
        <w:t xml:space="preserve">is the second test session, for participant</w:t>
      </w:r>
      <w:r>
        <w:t xml:space="preserve"> </w:t>
      </w:r>
      <m:oMath>
        <m:r>
          <m:t>i</m:t>
        </m:r>
      </m:oMath>
      <w:r>
        <w:t xml:space="preserve"> </w:t>
      </w:r>
      <w:r>
        <w:t xml:space="preserve">and for trial</w:t>
      </w:r>
      <w:r>
        <w:t xml:space="preserve"> </w:t>
      </w:r>
      <m:oMath>
        <m:r>
          <m:t>t</m:t>
        </m:r>
      </m:oMath>
      <w:r>
        <w:t xml:space="preserve"> </w:t>
      </w:r>
      <w:r>
        <w:t xml:space="preserve">(note we use the superscript</w:t>
      </w:r>
      <w:r>
        <w:t xml:space="preserve"> </w:t>
      </w:r>
      <m:oMath>
        <m:r>
          <m:rPr>
            <m:sty m:val="p"/>
          </m:rPr>
          <m:t>*</m:t>
        </m:r>
      </m:oMath>
      <w:r>
        <w:t xml:space="preserve"> </w:t>
      </w:r>
      <w:r>
        <w:t xml:space="preserve">to distinguish this from the agreement model. Here</w:t>
      </w:r>
      <w:r>
        <w:t xml:space="preserve"> </w:t>
      </w:r>
      <m:oMath>
        <m:sSup>
          <m:e>
            <m:r>
              <m:t>μ</m:t>
            </m:r>
          </m:e>
          <m:sup>
            <m:r>
              <m:rPr>
                <m:sty m:val="p"/>
              </m:rPr>
              <m:t>*</m:t>
            </m:r>
          </m:sup>
        </m:sSup>
      </m:oMath>
      <w:r>
        <w:t xml:space="preserve"> </w:t>
      </w:r>
      <w:r>
        <w:t xml:space="preserve">is the overall mean of the between session differences (i.e., the mean bias),</w:t>
      </w:r>
      <w:r>
        <w:t xml:space="preserve"> </w:t>
      </w:r>
      <m:oMath>
        <m:sSubSup>
          <m:e>
            <m:r>
              <m:t>α</m:t>
            </m:r>
          </m:e>
          <m:sub>
            <m:r>
              <m:t>i</m:t>
            </m:r>
          </m:sub>
          <m:sup>
            <m:r>
              <m:rPr>
                <m:sty m:val="p"/>
              </m:rPr>
              <m:t>*</m:t>
            </m:r>
          </m:sup>
        </m:sSubSup>
      </m:oMath>
      <w:r>
        <w:t xml:space="preserve"> </w:t>
      </w:r>
      <w:r>
        <w:t xml:space="preserve">is the random effect for the</w:t>
      </w:r>
      <w:r>
        <w:t xml:space="preserve"> </w:t>
      </w:r>
      <m:oMath>
        <m:sSup>
          <m:e>
            <m:r>
              <m:t>i</m:t>
            </m:r>
          </m:e>
          <m:sup>
            <m:r>
              <m:t>t</m:t>
            </m:r>
            <m:r>
              <m:t>h</m:t>
            </m:r>
          </m:sup>
        </m:sSup>
      </m:oMath>
      <w:r>
        <w:t xml:space="preserve"> </w:t>
      </w:r>
      <w:r>
        <w:t xml:space="preserve">participant, and</w:t>
      </w:r>
      <w:r>
        <w:t xml:space="preserve"> </w:t>
      </w:r>
      <m:oMath>
        <m:sSubSup>
          <m:e>
            <m:r>
              <m:t>ϵ</m:t>
            </m:r>
          </m:e>
          <m:sub>
            <m:r>
              <m:t>i</m:t>
            </m:r>
            <m:r>
              <m:t>t</m:t>
            </m:r>
          </m:sub>
          <m:sup>
            <m:r>
              <m:rPr>
                <m:sty m:val="p"/>
              </m:rPr>
              <m:t>*</m:t>
            </m:r>
          </m:sup>
        </m:sSubSup>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sSup>
                  <m:e>
                    <m:r>
                      <m:t>μ</m:t>
                    </m:r>
                  </m:e>
                  <m:sup>
                    <m:r>
                      <m:rPr>
                        <m:sty m:val="p"/>
                      </m:rPr>
                      <m:t>*</m:t>
                    </m:r>
                  </m:sup>
                </m:sSup>
                <m:r>
                  <m:rPr>
                    <m:sty m:val="p"/>
                  </m:rPr>
                  <m:t>±</m:t>
                </m:r>
                <m:r>
                  <m:t>1.96</m:t>
                </m:r>
                <m:rad>
                  <m:radPr>
                    <m:degHide m:val="1"/>
                  </m:radPr>
                  <m:deg/>
                  <m:e>
                    <m:sSubSup>
                      <m:e>
                        <m:r>
                          <m:t>σ</m:t>
                        </m:r>
                      </m:e>
                      <m:sub>
                        <m:sSup>
                          <m:e>
                            <m:r>
                              <m:t>α</m:t>
                            </m:r>
                          </m:e>
                          <m:sup>
                            <m:r>
                              <m:rPr>
                                <m:sty m:val="p"/>
                              </m:rPr>
                              <m:t>*</m:t>
                            </m:r>
                          </m:sup>
                        </m:sSup>
                      </m:sub>
                      <m:sup>
                        <m:r>
                          <m:t>2</m:t>
                        </m:r>
                      </m:sup>
                    </m:sSubSup>
                    <m:r>
                      <m:rPr>
                        <m:sty m:val="p"/>
                      </m:rPr>
                      <m:t>+</m:t>
                    </m:r>
                    <m:sSubSup>
                      <m:e>
                        <m:r>
                          <m:t>σ</m:t>
                        </m:r>
                      </m:e>
                      <m:sub>
                        <m:sSup>
                          <m:e>
                            <m:r>
                              <m:t>ϵ</m:t>
                            </m:r>
                          </m:e>
                          <m:sup>
                            <m:r>
                              <m:rPr>
                                <m:sty m:val="p"/>
                              </m:rPr>
                              <m:t>*</m:t>
                            </m:r>
                          </m:sup>
                        </m:sSup>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device in order to examine its test-retest reliability.</w:t>
      </w:r>
    </w:p>
    <w:bookmarkEnd w:id="21"/>
    <w:bookmarkStart w:id="22" w:name="open-data-code-and-materials"/>
    <w:p>
      <w:pPr>
        <w:pStyle w:val="Heading2"/>
      </w:pPr>
      <w:r>
        <w:t xml:space="preserve">1.3 Open data, code, and materials</w:t>
      </w:r>
    </w:p>
    <w:p>
      <w:pPr>
        <w:pStyle w:val="FirstParagraph"/>
      </w:pPr>
      <w:r>
        <w:t xml:space="preserve">All data and code is presented in the supplementary materials (https://osf.io/e7qg5/). The</w:t>
      </w:r>
      <w:r>
        <w:t xml:space="preserve"> </w:t>
      </w:r>
      <w:r>
        <w:rPr>
          <w:rStyle w:val="VerbatimChar"/>
        </w:rPr>
        <w:t xml:space="preserve">renv</w:t>
      </w:r>
      <w:r>
        <w:t xml:space="preserve"> </w:t>
      </w:r>
      <w:r>
        <w:t xml:space="preserve">package was used for package version reproducibility and a function based analysis pipeline using the</w:t>
      </w:r>
      <w:r>
        <w:t xml:space="preserve"> </w:t>
      </w:r>
      <w:r>
        <w:rPr>
          <w:rStyle w:val="VerbatimChar"/>
        </w:rPr>
        <w:t xml:space="preserve">targets</w:t>
      </w:r>
      <w:r>
        <w:t xml:space="preserve"> </w:t>
      </w:r>
      <w:r>
        <w:t xml:space="preserve">package was employed (the analysis pipeline can be viewed by downloading the R Project and running the function</w:t>
      </w:r>
      <w:r>
        <w:t xml:space="preserve"> </w:t>
      </w:r>
      <w:r>
        <w:rPr>
          <w:rStyle w:val="VerbatimChar"/>
        </w:rPr>
        <w:t xml:space="preserve">targets::tar_visnetwork()</w:t>
      </w:r>
      <w:r>
        <w:t xml:space="preserve">). We cite all packages used in the analysis pipeline below.</w:t>
      </w:r>
    </w:p>
    <w:p>
      <w:pPr>
        <w:pStyle w:val="BodyText"/>
      </w:pPr>
      <w:r>
        <w:t xml:space="preserve">We used R version 4.3.3</w:t>
      </w:r>
      <w:r>
        <w:t xml:space="preserve"> </w:t>
      </w:r>
      <w:r>
        <w:t xml:space="preserve">(R Core Team, 2024)</w:t>
      </w:r>
      <w:r>
        <w:t xml:space="preserve"> </w:t>
      </w:r>
      <w:r>
        <w:t xml:space="preserve">and the following R packages: glue v. 1.7.0</w:t>
      </w:r>
      <w:r>
        <w:t xml:space="preserve"> </w:t>
      </w:r>
      <w:r>
        <w:t xml:space="preserve">(Hester &amp; Bryan, 2024)</w:t>
      </w:r>
      <w:r>
        <w:t xml:space="preserve">, knitr v. 1.47</w:t>
      </w:r>
      <w:r>
        <w:t xml:space="preserve"> </w:t>
      </w:r>
      <w:r>
        <w:t xml:space="preserve">(Xie, 2014, 2015, 2024)</w:t>
      </w:r>
      <w:r>
        <w:t xml:space="preserve">, lme4 v. 1.1.35.3</w:t>
      </w:r>
      <w:r>
        <w:t xml:space="preserve"> </w:t>
      </w:r>
      <w:r>
        <w:t xml:space="preserve">(Bates et al., 2015)</w:t>
      </w:r>
      <w:r>
        <w:t xml:space="preserve">, lmeresampler v. 0.2.4</w:t>
      </w:r>
      <w:r>
        <w:t xml:space="preserve"> </w:t>
      </w:r>
      <w:r>
        <w:t xml:space="preserve">(Loy et al., 2024)</w:t>
      </w:r>
      <w:r>
        <w:t xml:space="preserve">, patchwork v. 1.2.0</w:t>
      </w:r>
      <w:r>
        <w:t xml:space="preserve"> </w:t>
      </w:r>
      <w:r>
        <w:t xml:space="preserve">(Pedersen, 2024)</w:t>
      </w:r>
      <w:r>
        <w:t xml:space="preserve">, quarto v. 1.4</w:t>
      </w:r>
      <w:r>
        <w:t xml:space="preserve"> </w:t>
      </w:r>
      <w:r>
        <w:t xml:space="preserve">(</w:t>
      </w:r>
      <w:r>
        <w:rPr>
          <w:bCs/>
          <w:b/>
        </w:rPr>
        <w:t xml:space="preserve">quarto?</w:t>
      </w:r>
      <w:r>
        <w:t xml:space="preserve">)</w:t>
      </w:r>
      <w:r>
        <w:t xml:space="preserve">, renv v. 1.0.3</w:t>
      </w:r>
      <w:r>
        <w:t xml:space="preserve"> </w:t>
      </w:r>
      <w:r>
        <w:t xml:space="preserve">(Ushey &amp; Wickham, 2023)</w:t>
      </w:r>
      <w:r>
        <w:t xml:space="preserve">, rmarkdown v. 2.27</w:t>
      </w:r>
      <w:r>
        <w:t xml:space="preserve"> </w:t>
      </w:r>
      <w:r>
        <w:t xml:space="preserve">(Allaire et al., 2024; Xie et al., 2018, 2020)</w:t>
      </w:r>
      <w:r>
        <w:t xml:space="preserve">, tarchetypes v. 0.9.0</w:t>
      </w:r>
      <w:r>
        <w:t xml:space="preserve"> </w:t>
      </w:r>
      <w:r>
        <w:t xml:space="preserve">(Landau, 2021a)</w:t>
      </w:r>
      <w:r>
        <w:t xml:space="preserve">, targets v. 1.7.0</w:t>
      </w:r>
      <w:r>
        <w:t xml:space="preserve"> </w:t>
      </w:r>
      <w:r>
        <w:t xml:space="preserve">(Landau, 2021b)</w:t>
      </w:r>
      <w:r>
        <w:t xml:space="preserve">, tidyverse v. 2.0.0</w:t>
      </w:r>
      <w:r>
        <w:t xml:space="preserve"> </w:t>
      </w:r>
      <w:r>
        <w:t xml:space="preserve">(Wickham et al., 2019)</w:t>
      </w:r>
      <w:r>
        <w:t xml:space="preserve">.</w:t>
      </w:r>
    </w:p>
    <w:bookmarkEnd w:id="22"/>
    <w:bookmarkEnd w:id="23"/>
    <w:bookmarkStart w:id="34" w:name="results"/>
    <w:p>
      <w:pPr>
        <w:pStyle w:val="Heading1"/>
      </w:pPr>
      <w:r>
        <w:t xml:space="preserve">2. Results</w:t>
      </w:r>
    </w:p>
    <w:bookmarkStart w:id="28" w:name="agreement-1"/>
    <w:p>
      <w:pPr>
        <w:pStyle w:val="Heading2"/>
      </w:pPr>
      <w:r>
        <w:t xml:space="preserve">2.1 Agreement</w:t>
      </w:r>
    </w:p>
    <w:p>
      <w:pPr>
        <w:pStyle w:val="FirstParagraph"/>
      </w:pPr>
      <w:r>
        <w:t xml:space="preserve">The exact mean bias and limits of agreement along with their bootstrapped interval estimates can be seen for the agreement of each device in comparison to the gold-standard (impulse momentum method using the Force Decks) in</w:t>
      </w:r>
      <w:r>
        <w:t xml:space="preserve"> </w:t>
      </w:r>
      <w:hyperlink w:anchor="fig-agree-plot">
        <w:r>
          <w:rPr>
            <w:rStyle w:val="Hyperlink"/>
          </w:rPr>
          <w:t xml:space="preserve">Figure 1</w:t>
        </w:r>
      </w:hyperlink>
      <w:r>
        <w:t xml:space="preserve">. Both the MyJump App and the Optojump demonstrated very similar degrees of mean bias of around ~2 cm overestimation, and a similar width to their limits of agreement ranging ~11-12 cm about the mean bias. The Jump Mat however had a much larger mean bias of ~10 cm overestimation yet a similar range for their limits of agreement as the other devices.</w:t>
      </w:r>
    </w:p>
    <w:tbl>
      <w:tblPr>
        <w:tblStyle w:val="Table"/>
        <w:tblW w:type="pct" w:w="5000"/>
        <w:tblLook w:firstRow="0" w:lastRow="0" w:firstColumn="0" w:lastColumn="0" w:noHBand="0" w:noVBand="0" w:val="0000"/>
        <w:jc w:val="start"/>
      </w:tblPr>
      <w:tblGrid>
        <w:gridCol w:w="7920"/>
      </w:tblGrid>
      <w:tr>
        <w:tc>
          <w:tcPr/>
          <w:bookmarkStart w:id="27" w:name="fig-agree-plot"/>
          <w:p>
            <w:pPr>
              <w:jc w:val="center"/>
            </w:pPr>
            <w:r>
              <w:drawing>
                <wp:inline>
                  <wp:extent cx="5334000" cy="3200400"/>
                  <wp:effectExtent b="0" l="0" r="0" t="0"/>
                  <wp:docPr descr="" title="" id="25" name="Picture"/>
                  <a:graphic>
                    <a:graphicData uri="http://schemas.openxmlformats.org/drawingml/2006/picture">
                      <pic:pic>
                        <pic:nvPicPr>
                          <pic:cNvPr descr="report_files/figure-docx/fig-agree-plot-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bias (thick horizontal line) and 95% limits of agreement (dotted horizontal lines) along with 95% quantile interval estimates for agreement of each device in comparison to the gold-standard (Force Decks impulse-momentum method).</w:t>
            </w:r>
          </w:p>
          <w:bookmarkEnd w:id="27"/>
        </w:tc>
      </w:tr>
    </w:tbl>
    <w:bookmarkEnd w:id="28"/>
    <w:bookmarkStart w:id="33" w:name="reliability-1"/>
    <w:p>
      <w:pPr>
        <w:pStyle w:val="Heading2"/>
      </w:pPr>
      <w:r>
        <w:t xml:space="preserve">2.2 Reliability</w:t>
      </w:r>
    </w:p>
    <w:p>
      <w:pPr>
        <w:pStyle w:val="FirstParagraph"/>
      </w:pPr>
      <w:r>
        <w:t xml:space="preserve">The exact mean bias and limits of agreement along with their bootstrapped interval estimates can be seen for the test-retest reliability of each device between sessions in</w:t>
      </w:r>
      <w:r>
        <w:t xml:space="preserve"> </w:t>
      </w:r>
      <w:hyperlink w:anchor="fig-agree-plot">
        <w:r>
          <w:rPr>
            <w:rStyle w:val="Hyperlink"/>
          </w:rPr>
          <w:t xml:space="preserve">Figure 1</w:t>
        </w:r>
      </w:hyperlink>
      <w:r>
        <w:t xml:space="preserve">. All devices demonstrated minimal mean bias between sessions each typically less than 1 cm, and all demonstrated a similar width to their limits of agreement ranging ~10 cm about the mean bias.</w:t>
      </w:r>
    </w:p>
    <w:tbl>
      <w:tblPr>
        <w:tblStyle w:val="Table"/>
        <w:tblW w:type="pct" w:w="5000"/>
        <w:tblLook w:firstRow="0" w:lastRow="0" w:firstColumn="0" w:lastColumn="0" w:noHBand="0" w:noVBand="0" w:val="0000"/>
        <w:jc w:val="start"/>
      </w:tblPr>
      <w:tblGrid>
        <w:gridCol w:w="7920"/>
      </w:tblGrid>
      <w:tr>
        <w:tc>
          <w:tcPr/>
          <w:bookmarkStart w:id="32" w:name="fig-reli-plot"/>
          <w:p>
            <w:pPr>
              <w:jc w:val="center"/>
            </w:pPr>
            <w:r>
              <w:drawing>
                <wp:inline>
                  <wp:extent cx="5334000" cy="5334000"/>
                  <wp:effectExtent b="0" l="0" r="0" t="0"/>
                  <wp:docPr descr="" title="" id="30" name="Picture"/>
                  <a:graphic>
                    <a:graphicData uri="http://schemas.openxmlformats.org/drawingml/2006/picture">
                      <pic:pic>
                        <pic:nvPicPr>
                          <pic:cNvPr descr="report_files/figure-docx/fig-reli-plot-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bias (thick horizontal line) and 95% limits of agreement (dotted horizontal lines) along with 95% quantile interval estimates for each the test-retest reliability of device between sessions.</w:t>
            </w:r>
          </w:p>
          <w:bookmarkEnd w:id="32"/>
        </w:tc>
      </w:tr>
    </w:tbl>
    <w:bookmarkEnd w:id="33"/>
    <w:bookmarkEnd w:id="34"/>
    <w:bookmarkStart w:id="57" w:name="references"/>
    <w:p>
      <w:pPr>
        <w:pStyle w:val="Heading1"/>
      </w:pPr>
      <w:r>
        <w:t xml:space="preserve">3. References</w:t>
      </w:r>
    </w:p>
    <w:bookmarkStart w:id="56" w:name="refs"/>
    <w:bookmarkStart w:id="35" w:name="ref-rmarkdown2024"/>
    <w:p>
      <w:pPr>
        <w:pStyle w:val="Bibliography"/>
      </w:pPr>
      <w:r>
        <w:t xml:space="preserve">Allaire, J., Xie, Y., Dervieux, C., McPherson, J., Luraschi, J., Ushey, K., Atkins, A., Wickham, H., Cheng, J., Chang, W., &amp; Iannone, R. (2024).</w:t>
      </w:r>
      <w:r>
        <w:t xml:space="preserve"> </w:t>
      </w:r>
      <w:r>
        <w:rPr>
          <w:iCs/>
          <w:i/>
        </w:rPr>
        <w:t xml:space="preserve">rmarkdown</w:t>
      </w:r>
      <w:r>
        <w:rPr>
          <w:iCs/>
          <w:i/>
        </w:rPr>
        <w:t xml:space="preserve">:</w:t>
      </w:r>
      <w:r>
        <w:rPr>
          <w:iCs/>
          <w:i/>
        </w:rPr>
        <w:t xml:space="preserve"> </w:t>
      </w:r>
      <w:r>
        <w:rPr>
          <w:iCs/>
          <w:i/>
        </w:rPr>
        <w:t xml:space="preserve">Dynamic</w:t>
      </w:r>
      <w:r>
        <w:rPr>
          <w:iCs/>
          <w:i/>
        </w:rPr>
        <w:t xml:space="preserve"> </w:t>
      </w:r>
      <w:r>
        <w:rPr>
          <w:iCs/>
          <w:i/>
        </w:rPr>
        <w:t xml:space="preserve">documents for</w:t>
      </w:r>
      <w:r>
        <w:rPr>
          <w:iCs/>
          <w:i/>
        </w:rPr>
        <w:t xml:space="preserve"> </w:t>
      </w:r>
      <w:r>
        <w:rPr>
          <w:iCs/>
          <w:i/>
        </w:rPr>
        <w:t xml:space="preserve">R</w:t>
      </w:r>
      <w:r>
        <w:t xml:space="preserve"> </w:t>
      </w:r>
      <w:r>
        <w:t xml:space="preserve">[Manual].</w:t>
      </w:r>
    </w:p>
    <w:bookmarkEnd w:id="35"/>
    <w:bookmarkStart w:id="37"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36">
        <w:r>
          <w:rPr>
            <w:rStyle w:val="Hyperlink"/>
          </w:rPr>
          <w:t xml:space="preserve">https://doi.org/10.1080/00031305.2018.1543137</w:t>
        </w:r>
      </w:hyperlink>
    </w:p>
    <w:bookmarkEnd w:id="37"/>
    <w:bookmarkStart w:id="39"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8">
        <w:r>
          <w:rPr>
            <w:rStyle w:val="Hyperlink"/>
          </w:rPr>
          <w:t xml:space="preserve">https://doi.org/10.18637/jss.v067.i01</w:t>
        </w:r>
      </w:hyperlink>
    </w:p>
    <w:bookmarkEnd w:id="39"/>
    <w:bookmarkStart w:id="40" w:name="ref-glue"/>
    <w:p>
      <w:pPr>
        <w:pStyle w:val="Bibliography"/>
      </w:pPr>
      <w:r>
        <w:t xml:space="preserve">Hester, J., &amp; Bryan, J. (2024).</w:t>
      </w:r>
      <w:r>
        <w:t xml:space="preserve"> </w:t>
      </w:r>
      <w:r>
        <w:rPr>
          <w:iCs/>
          <w:i/>
        </w:rPr>
        <w:t xml:space="preserve">glue</w:t>
      </w:r>
      <w:r>
        <w:rPr>
          <w:iCs/>
          <w:i/>
        </w:rPr>
        <w:t xml:space="preserve">:</w:t>
      </w:r>
      <w:r>
        <w:rPr>
          <w:iCs/>
          <w:i/>
        </w:rPr>
        <w:t xml:space="preserve"> </w:t>
      </w:r>
      <w:r>
        <w:rPr>
          <w:iCs/>
          <w:i/>
        </w:rPr>
        <w:t xml:space="preserve">Interpreted</w:t>
      </w:r>
      <w:r>
        <w:rPr>
          <w:iCs/>
          <w:i/>
        </w:rPr>
        <w:t xml:space="preserve"> </w:t>
      </w:r>
      <w:r>
        <w:rPr>
          <w:iCs/>
          <w:i/>
        </w:rPr>
        <w:t xml:space="preserve">string literals</w:t>
      </w:r>
      <w:r>
        <w:t xml:space="preserve"> </w:t>
      </w:r>
      <w:r>
        <w:t xml:space="preserve">[Manual].</w:t>
      </w:r>
    </w:p>
    <w:bookmarkEnd w:id="40"/>
    <w:bookmarkStart w:id="41" w:name="ref-tarchetypes"/>
    <w:p>
      <w:pPr>
        <w:pStyle w:val="Bibliography"/>
      </w:pPr>
      <w:r>
        <w:t xml:space="preserve">Landau, W. M. (2021a).</w:t>
      </w:r>
      <w:r>
        <w:t xml:space="preserve"> </w:t>
      </w:r>
      <w:r>
        <w:rPr>
          <w:iCs/>
          <w:i/>
        </w:rPr>
        <w:t xml:space="preserve">tarchetypes</w:t>
      </w:r>
      <w:r>
        <w:rPr>
          <w:iCs/>
          <w:i/>
        </w:rPr>
        <w:t xml:space="preserve">:</w:t>
      </w:r>
      <w:r>
        <w:rPr>
          <w:iCs/>
          <w:i/>
        </w:rPr>
        <w:t xml:space="preserve"> </w:t>
      </w:r>
      <w:r>
        <w:rPr>
          <w:iCs/>
          <w:i/>
        </w:rPr>
        <w:t xml:space="preserve">Archetypes</w:t>
      </w:r>
      <w:r>
        <w:rPr>
          <w:iCs/>
          <w:i/>
        </w:rPr>
        <w:t xml:space="preserve"> </w:t>
      </w:r>
      <w:r>
        <w:rPr>
          <w:iCs/>
          <w:i/>
        </w:rPr>
        <w:t xml:space="preserve">for targets</w:t>
      </w:r>
      <w:r>
        <w:t xml:space="preserve"> </w:t>
      </w:r>
      <w:r>
        <w:t xml:space="preserve">[Manual].</w:t>
      </w:r>
    </w:p>
    <w:bookmarkEnd w:id="41"/>
    <w:bookmarkStart w:id="42" w:name="ref-targets"/>
    <w:p>
      <w:pPr>
        <w:pStyle w:val="Bibliography"/>
      </w:pPr>
      <w:r>
        <w:t xml:space="preserve">Landau, W. M. (2021b). The targets</w:t>
      </w:r>
      <w:r>
        <w:t xml:space="preserve"> </w:t>
      </w:r>
      <w:r>
        <w:t xml:space="preserve">R</w:t>
      </w:r>
      <w:r>
        <w:t xml:space="preserve"> </w:t>
      </w:r>
      <w:r>
        <w:t xml:space="preserve">package: A dynamic</w:t>
      </w:r>
      <w:r>
        <w:t xml:space="preserve"> </w:t>
      </w:r>
      <w:r>
        <w:t xml:space="preserve">Make-like</w:t>
      </w:r>
      <w:r>
        <w:t xml:space="preserve"> </w:t>
      </w:r>
      <w:r>
        <w:t xml:space="preserve">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w:t>
      </w:r>
    </w:p>
    <w:bookmarkEnd w:id="42"/>
    <w:bookmarkStart w:id="43" w:name="ref-lmeresampler"/>
    <w:p>
      <w:pPr>
        <w:pStyle w:val="Bibliography"/>
      </w:pPr>
      <w:r>
        <w:t xml:space="preserve">Loy, A., Steele, S., &amp; Korobova, J. (2024).</w:t>
      </w:r>
      <w:r>
        <w:t xml:space="preserve"> </w:t>
      </w:r>
      <w:r>
        <w:rPr>
          <w:iCs/>
          <w:i/>
        </w:rPr>
        <w:t xml:space="preserve">lmeresampler</w:t>
      </w:r>
      <w:r>
        <w:rPr>
          <w:iCs/>
          <w:i/>
        </w:rPr>
        <w:t xml:space="preserve">:</w:t>
      </w:r>
      <w:r>
        <w:rPr>
          <w:iCs/>
          <w:i/>
        </w:rPr>
        <w:t xml:space="preserve"> </w:t>
      </w:r>
      <w:r>
        <w:rPr>
          <w:iCs/>
          <w:i/>
        </w:rPr>
        <w:t xml:space="preserve">Bootstrap</w:t>
      </w:r>
      <w:r>
        <w:rPr>
          <w:iCs/>
          <w:i/>
        </w:rPr>
        <w:t xml:space="preserve"> </w:t>
      </w:r>
      <w:r>
        <w:rPr>
          <w:iCs/>
          <w:i/>
        </w:rPr>
        <w:t xml:space="preserve">methods for nested linear mixed-effects models</w:t>
      </w:r>
      <w:r>
        <w:t xml:space="preserve"> </w:t>
      </w:r>
      <w:r>
        <w:t xml:space="preserve">[Manual].</w:t>
      </w:r>
    </w:p>
    <w:bookmarkEnd w:id="43"/>
    <w:bookmarkStart w:id="45" w:name="ref-parkerUsingMultipleAgreement2020"/>
    <w:p>
      <w:pPr>
        <w:pStyle w:val="Bibliography"/>
      </w:pPr>
      <w:r>
        <w:t xml:space="preserve">Parker, R. A., Scott, C., Inácio, V., &amp; Stevens, N. T. (2020). Using multiple agreement methods for continuous repeated measures data: A tutorial for practitioners.</w:t>
      </w:r>
      <w:r>
        <w:t xml:space="preserve"> </w:t>
      </w:r>
      <w:r>
        <w:rPr>
          <w:iCs/>
          <w:i/>
        </w:rPr>
        <w:t xml:space="preserve">BMC Medical Research Methodology</w:t>
      </w:r>
      <w:r>
        <w:t xml:space="preserve">,</w:t>
      </w:r>
      <w:r>
        <w:t xml:space="preserve"> </w:t>
      </w:r>
      <w:r>
        <w:rPr>
          <w:iCs/>
          <w:i/>
        </w:rPr>
        <w:t xml:space="preserve">20</w:t>
      </w:r>
      <w:r>
        <w:t xml:space="preserve">(1), 154.</w:t>
      </w:r>
      <w:r>
        <w:t xml:space="preserve"> </w:t>
      </w:r>
      <w:hyperlink r:id="rId44">
        <w:r>
          <w:rPr>
            <w:rStyle w:val="Hyperlink"/>
          </w:rPr>
          <w:t xml:space="preserve">https://doi.org/10.1186/s12874-020-01022-x</w:t>
        </w:r>
      </w:hyperlink>
    </w:p>
    <w:bookmarkEnd w:id="45"/>
    <w:bookmarkStart w:id="46" w:name="ref-patchwork"/>
    <w:p>
      <w:pPr>
        <w:pStyle w:val="Bibliography"/>
      </w:pPr>
      <w:r>
        <w:t xml:space="preserve">Pedersen, T. L. (2024).</w:t>
      </w:r>
      <w:r>
        <w:t xml:space="preserve"> </w:t>
      </w:r>
      <w:r>
        <w:rPr>
          <w:iCs/>
          <w:i/>
        </w:rPr>
        <w:t xml:space="preserve">patchwork</w:t>
      </w:r>
      <w:r>
        <w:rPr>
          <w:iCs/>
          <w:i/>
        </w:rPr>
        <w:t xml:space="preserve">:</w:t>
      </w:r>
      <w:r>
        <w:rPr>
          <w:iCs/>
          <w:i/>
        </w:rPr>
        <w:t xml:space="preserve"> </w:t>
      </w:r>
      <w:r>
        <w:rPr>
          <w:iCs/>
          <w:i/>
        </w:rPr>
        <w:t xml:space="preserve">The</w:t>
      </w:r>
      <w:r>
        <w:rPr>
          <w:iCs/>
          <w:i/>
        </w:rPr>
        <w:t xml:space="preserve"> </w:t>
      </w:r>
      <w:r>
        <w:rPr>
          <w:iCs/>
          <w:i/>
        </w:rPr>
        <w:t xml:space="preserve">composer of plots</w:t>
      </w:r>
      <w:r>
        <w:t xml:space="preserve"> </w:t>
      </w:r>
      <w:r>
        <w:t xml:space="preserve">[Manual].</w:t>
      </w:r>
    </w:p>
    <w:bookmarkEnd w:id="46"/>
    <w:bookmarkStart w:id="47" w:name="ref-base"/>
    <w:p>
      <w:pPr>
        <w:pStyle w:val="Bibliography"/>
      </w:pPr>
      <w:r>
        <w:t xml:space="preserve">R Core Team. (2024).</w:t>
      </w:r>
      <w:r>
        <w:t xml:space="preserve"> </w:t>
      </w:r>
      <w:r>
        <w:rPr>
          <w:iCs/>
          <w:i/>
        </w:rPr>
        <w:t xml:space="preserve">R: A language and environment for statistical computing</w:t>
      </w:r>
      <w:r>
        <w:t xml:space="preserve"> </w:t>
      </w:r>
      <w:r>
        <w:t xml:space="preserve">[Manual]. R Foundation for Statistical Computing.</w:t>
      </w:r>
    </w:p>
    <w:bookmarkEnd w:id="47"/>
    <w:bookmarkStart w:id="48" w:name="ref-renv"/>
    <w:p>
      <w:pPr>
        <w:pStyle w:val="Bibliography"/>
      </w:pPr>
      <w:r>
        <w:t xml:space="preserve">Ushey, K., &amp; Wickham, H. (2023).</w:t>
      </w:r>
      <w:r>
        <w:t xml:space="preserve"> </w:t>
      </w:r>
      <w:r>
        <w:rPr>
          <w:iCs/>
          <w:i/>
        </w:rPr>
        <w:t xml:space="preserve">renv</w:t>
      </w:r>
      <w:r>
        <w:rPr>
          <w:iCs/>
          <w:i/>
        </w:rPr>
        <w:t xml:space="preserve">:</w:t>
      </w:r>
      <w:r>
        <w:rPr>
          <w:iCs/>
          <w:i/>
        </w:rPr>
        <w:t xml:space="preserve"> </w:t>
      </w:r>
      <w:r>
        <w:rPr>
          <w:iCs/>
          <w:i/>
        </w:rPr>
        <w:t xml:space="preserve">Project</w:t>
      </w:r>
      <w:r>
        <w:rPr>
          <w:iCs/>
          <w:i/>
        </w:rPr>
        <w:t xml:space="preserve"> </w:t>
      </w:r>
      <w:r>
        <w:rPr>
          <w:iCs/>
          <w:i/>
        </w:rPr>
        <w:t xml:space="preserve">environments</w:t>
      </w:r>
      <w:r>
        <w:t xml:space="preserve"> </w:t>
      </w:r>
      <w:r>
        <w:t xml:space="preserve">[Manual].</w:t>
      </w:r>
    </w:p>
    <w:bookmarkEnd w:id="48"/>
    <w:bookmarkStart w:id="5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49">
        <w:r>
          <w:rPr>
            <w:rStyle w:val="Hyperlink"/>
          </w:rPr>
          <w:t xml:space="preserve">https://doi.org/10.21105/joss.01686</w:t>
        </w:r>
      </w:hyperlink>
    </w:p>
    <w:bookmarkEnd w:id="50"/>
    <w:bookmarkStart w:id="51"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w:t>
      </w:r>
      <w:r>
        <w:t xml:space="preserve"> </w:t>
      </w:r>
      <w:r>
        <w:t xml:space="preserve">Chapman and Hall/CRC</w:t>
      </w:r>
      <w:r>
        <w:t xml:space="preserve">.</w:t>
      </w:r>
    </w:p>
    <w:bookmarkEnd w:id="51"/>
    <w:bookmarkStart w:id="52" w:name="ref-knitr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w:t>
      </w:r>
      <w:r>
        <w:t xml:space="preserve"> </w:t>
      </w:r>
      <w:r>
        <w:t xml:space="preserve">Chapman and Hall/CRC</w:t>
      </w:r>
      <w:r>
        <w:t xml:space="preserve">.</w:t>
      </w:r>
    </w:p>
    <w:bookmarkEnd w:id="52"/>
    <w:bookmarkStart w:id="53" w:name="ref-knitr2024"/>
    <w:p>
      <w:pPr>
        <w:pStyle w:val="Bibliography"/>
      </w:pPr>
      <w:r>
        <w:t xml:space="preserve">Xie, Y. (2024).</w:t>
      </w:r>
      <w:r>
        <w:t xml:space="preserve"> </w:t>
      </w:r>
      <w:r>
        <w:rPr>
          <w:iCs/>
          <w:i/>
        </w:rPr>
        <w:t xml:space="preserve">knitr</w:t>
      </w:r>
      <w:r>
        <w:rPr>
          <w:iCs/>
          <w:i/>
        </w:rPr>
        <w:t xml:space="preserve">: A general-purpose package for dynamic report generation in</w:t>
      </w:r>
      <w:r>
        <w:rPr>
          <w:iCs/>
          <w:i/>
        </w:rPr>
        <w:t xml:space="preserve"> </w:t>
      </w:r>
      <w:r>
        <w:rPr>
          <w:iCs/>
          <w:i/>
        </w:rPr>
        <w:t xml:space="preserve">R</w:t>
      </w:r>
      <w:r>
        <w:t xml:space="preserve"> </w:t>
      </w:r>
      <w:r>
        <w:t xml:space="preserve">[Manual].</w:t>
      </w:r>
    </w:p>
    <w:bookmarkEnd w:id="53"/>
    <w:bookmarkStart w:id="54" w:name="ref-rmarkdown2018"/>
    <w:p>
      <w:pPr>
        <w:pStyle w:val="Bibliography"/>
      </w:pPr>
      <w:r>
        <w:t xml:space="preserve">Xie, Y., Allaire, J. J., &amp; Grolemund, G. (2018).</w:t>
      </w:r>
      <w:r>
        <w:t xml:space="preserve"> </w:t>
      </w:r>
      <w:r>
        <w:rPr>
          <w:iCs/>
          <w:i/>
        </w:rPr>
        <w:t xml:space="preserve">R markdown:</w:t>
      </w:r>
      <w:r>
        <w:rPr>
          <w:iCs/>
          <w:i/>
        </w:rPr>
        <w:t xml:space="preserve"> </w:t>
      </w:r>
      <w:r>
        <w:rPr>
          <w:iCs/>
          <w:i/>
        </w:rPr>
        <w:t xml:space="preserve">The</w:t>
      </w:r>
      <w:r>
        <w:rPr>
          <w:iCs/>
          <w:i/>
        </w:rPr>
        <w:t xml:space="preserve"> </w:t>
      </w:r>
      <w:r>
        <w:rPr>
          <w:iCs/>
          <w:i/>
        </w:rPr>
        <w:t xml:space="preserve">definitive guide</w:t>
      </w:r>
      <w:r>
        <w:t xml:space="preserve">.</w:t>
      </w:r>
      <w:r>
        <w:t xml:space="preserve"> </w:t>
      </w:r>
      <w:r>
        <w:t xml:space="preserve">Chapman and Hall/CRC</w:t>
      </w:r>
      <w:r>
        <w:t xml:space="preserve">.</w:t>
      </w:r>
    </w:p>
    <w:bookmarkEnd w:id="54"/>
    <w:bookmarkStart w:id="55" w:name="ref-rmarkdown2020"/>
    <w:p>
      <w:pPr>
        <w:pStyle w:val="Bibliography"/>
      </w:pPr>
      <w:r>
        <w:t xml:space="preserve">Xie, Y., Dervieux, C., &amp; Riederer, E. (2020).</w:t>
      </w:r>
      <w:r>
        <w:t xml:space="preserve"> </w:t>
      </w:r>
      <w:r>
        <w:rPr>
          <w:iCs/>
          <w:i/>
        </w:rPr>
        <w:t xml:space="preserve">R markdown cookbook</w:t>
      </w:r>
      <w:r>
        <w:t xml:space="preserve">.</w:t>
      </w:r>
      <w:r>
        <w:t xml:space="preserve"> </w:t>
      </w:r>
      <w:r>
        <w:t xml:space="preserve">Chapman and Hall/CRC</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80/00031305.2018.1543137" TargetMode="External" /><Relationship Type="http://schemas.openxmlformats.org/officeDocument/2006/relationships/hyperlink" Id="rId44" Target="https://doi.org/10.1186/s12874-020-01022-x" TargetMode="External" /><Relationship Type="http://schemas.openxmlformats.org/officeDocument/2006/relationships/hyperlink" Id="rId38" Target="https://doi.org/10.18637/jss.v067.i01" TargetMode="External" /><Relationship Type="http://schemas.openxmlformats.org/officeDocument/2006/relationships/hyperlink" Id="rId49"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2024-07-10T06:33:22Z</dcterms:created>
  <dcterms:modified xsi:type="dcterms:W3CDTF">2024-07-10T06:33:22Z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