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IM method using the Force Decks (i.e., gold-standard) and each of the other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and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devices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device indexed by</w:t>
      </w:r>
      <w:r>
        <w:t xml:space="preserve"> </w:t>
      </w:r>
      <m:oMath>
        <m:r>
          <m:t>1</m:t>
        </m:r>
      </m:oMath>
      <w:r>
        <w:t xml:space="preserve"> </w:t>
      </w:r>
      <w:r>
        <w:t xml:space="preserve">is the gold-standard and device indexed by</w:t>
      </w:r>
      <w:r>
        <w:t xml:space="preserve"> </w:t>
      </w:r>
      <m:oMath>
        <m:r>
          <m:t>2</m:t>
        </m:r>
      </m:oMath>
      <w:r>
        <w:t xml:space="preserve"> </w:t>
      </w:r>
      <w:r>
        <w:t xml:space="preserve">is the comparison device,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device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device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order to examine its test-retest reliability.</w:t>
      </w:r>
    </w:p>
    <w:bookmarkEnd w:id="21"/>
    <w:bookmarkStart w:id="22" w:name="open-data-code-and-materials"/>
    <w:p>
      <w:pPr>
        <w:pStyle w:val="Heading2"/>
      </w:pPr>
      <w:r>
        <w:t xml:space="preserve">1.3 Open data, code, and materials</w:t>
      </w:r>
    </w:p>
    <w:p>
      <w:pPr>
        <w:pStyle w:val="FirstParagraph"/>
      </w:pPr>
      <w:r>
        <w:t xml:space="preserve">All data and code is presented in the supplementary materials (https://osf.io/e7qg5/).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knitr v. 1.47</w:t>
      </w:r>
      <w:r>
        <w:t xml:space="preserve"> </w:t>
      </w:r>
      <w:r>
        <w:t xml:space="preserve">(Xie, 2014, 2015, 2024)</w:t>
      </w:r>
      <w:r>
        <w:t xml:space="preserve">, lme4 v. 1.1.35.3</w:t>
      </w:r>
      <w:r>
        <w:t xml:space="preserve"> </w:t>
      </w:r>
      <w:r>
        <w:t xml:space="preserve">(Bates et al., 2015)</w:t>
      </w:r>
      <w:r>
        <w:t xml:space="preserve">, lmeresampler v. 0.2.4</w:t>
      </w:r>
      <w:r>
        <w:t xml:space="preserve"> </w:t>
      </w:r>
      <w:r>
        <w:t xml:space="preserve">(Loy et al., 2024)</w:t>
      </w:r>
      <w:r>
        <w:t xml:space="preserve">, patchwork v. 1.2.0</w:t>
      </w:r>
      <w:r>
        <w:t xml:space="preserve"> </w:t>
      </w:r>
      <w:r>
        <w:t xml:space="preserve">(Pedersen, 2024)</w:t>
      </w:r>
      <w:r>
        <w:t xml:space="preserve">, quarto v. 1.4</w:t>
      </w:r>
      <w:r>
        <w:t xml:space="preserve"> </w:t>
      </w:r>
      <w:r>
        <w:t xml:space="preserve">(</w:t>
      </w:r>
      <w:r>
        <w:rPr>
          <w:bCs/>
          <w:b/>
        </w:rPr>
        <w:t xml:space="preserve">quarto?</w:t>
      </w:r>
      <w:r>
        <w:t xml:space="preserve">)</w:t>
      </w:r>
      <w:r>
        <w:t xml:space="preserve">, renv v. 1.0.3</w:t>
      </w:r>
      <w:r>
        <w:t xml:space="preserve"> </w:t>
      </w:r>
      <w:r>
        <w:t xml:space="preserve">(Ushey &amp; Wickham, 2023)</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1.7.0</w:t>
      </w:r>
      <w:r>
        <w:t xml:space="preserve"> </w:t>
      </w:r>
      <w:r>
        <w:t xml:space="preserve">(Landau, 2021b)</w:t>
      </w:r>
      <w:r>
        <w:t xml:space="preserve">, tidyverse v. 2.0.0</w:t>
      </w:r>
      <w:r>
        <w:t xml:space="preserve"> </w:t>
      </w:r>
      <w:r>
        <w:t xml:space="preserve">(Wickham et al., 2019)</w:t>
      </w:r>
      <w:r>
        <w:t xml:space="preserve">.</w:t>
      </w:r>
    </w:p>
    <w:bookmarkEnd w:id="22"/>
    <w:bookmarkEnd w:id="23"/>
    <w:bookmarkStart w:id="34" w:name="results"/>
    <w:p>
      <w:pPr>
        <w:pStyle w:val="Heading1"/>
      </w:pPr>
      <w:r>
        <w:t xml:space="preserve">2. Results</w:t>
      </w:r>
    </w:p>
    <w:bookmarkStart w:id="28" w:name="agreement-1"/>
    <w:p>
      <w:pPr>
        <w:pStyle w:val="Heading2"/>
      </w:pPr>
      <w:r>
        <w:t xml:space="preserve">2.1 Agreement</w:t>
      </w:r>
    </w:p>
    <w:p>
      <w:pPr>
        <w:pStyle w:val="FirstParagraph"/>
      </w:pPr>
      <w:r>
        <w:t xml:space="preserve">The exact mean bias and limits of agreement along with their bootstrapped interval estimates can be seen for the agreement of each device in comparison to the gold-standard (impulse momentum method using the Force Decks) in</w:t>
      </w:r>
      <w:r>
        <w:t xml:space="preserve"> </w:t>
      </w:r>
      <w:hyperlink w:anchor="fig-agree-plot">
        <w:r>
          <w:rPr>
            <w:rStyle w:val="Hyperlink"/>
          </w:rPr>
          <w:t xml:space="preserve">Figure 1</w:t>
        </w:r>
      </w:hyperlink>
      <w:r>
        <w:t xml:space="preserve">. Both the MyJump App and the Optojump demonstrated very similar degrees of mean bias of around ~2 cm overestimation, and a similar width to their limits of agreement ranging ~11-12 cm about the mean bias. The Jump Mat however had a much larger mean bias of ~10 cm overestimation yet a similar range for their limits of agreement as the other devices.</w:t>
      </w:r>
    </w:p>
    <w:tbl>
      <w:tblPr>
        <w:tblStyle w:val="Table"/>
        <w:tblW w:type="pct" w:w="5000"/>
        <w:tblLook w:firstRow="0" w:lastRow="0" w:firstColumn="0" w:lastColumn="0" w:noHBand="0" w:noVBand="0" w:val="0000"/>
        <w:jc w:val="start"/>
      </w:tblPr>
      <w:tblGrid>
        <w:gridCol w:w="7920"/>
      </w:tblGrid>
      <w:tr>
        <w:tc>
          <w:tcPr/>
          <w:bookmarkStart w:id="27" w:name="fig-agree-plot"/>
          <w:p>
            <w:pPr>
              <w:jc w:val="center"/>
            </w:pPr>
            <w:r>
              <w:drawing>
                <wp:inline>
                  <wp:extent cx="5334000" cy="3200400"/>
                  <wp:effectExtent b="0" l="0" r="0" t="0"/>
                  <wp:docPr descr="" title="" id="25" name="Picture"/>
                  <a:graphic>
                    <a:graphicData uri="http://schemas.openxmlformats.org/drawingml/2006/picture">
                      <pic:pic>
                        <pic:nvPicPr>
                          <pic:cNvPr descr="report_files/figure-docx/fig-agree-plot-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each device in comparison to the gold-standard (Force Decks impulse-momentum method).</w:t>
            </w:r>
          </w:p>
          <w:bookmarkEnd w:id="27"/>
        </w:tc>
      </w:tr>
    </w:tbl>
    <w:bookmarkEnd w:id="28"/>
    <w:bookmarkStart w:id="33" w:name="reliability-1"/>
    <w:p>
      <w:pPr>
        <w:pStyle w:val="Heading2"/>
      </w:pPr>
      <w:r>
        <w:t xml:space="preserve">2.2 Reliability</w:t>
      </w:r>
    </w:p>
    <w:p>
      <w:pPr>
        <w:pStyle w:val="FirstParagraph"/>
      </w:pPr>
      <w:r>
        <w:t xml:space="preserve">The exact mean bias and limits of agreement along with their bootstrapped interval estimates can be seen for the test-retest reliability of each device between sessions in</w:t>
      </w:r>
      <w:r>
        <w:t xml:space="preserve"> </w:t>
      </w:r>
      <w:hyperlink w:anchor="fig-agree-plot">
        <w:r>
          <w:rPr>
            <w:rStyle w:val="Hyperlink"/>
          </w:rPr>
          <w:t xml:space="preserve">Figure 1</w:t>
        </w:r>
      </w:hyperlink>
      <w:r>
        <w:t xml:space="preserve">. All devices demonstrated minimal mean bias between sessions each typically less than 1 cm, and all demonstrated a similar width to their limits of agreement ranging ~10 cm about the mean bias.</w:t>
      </w:r>
    </w:p>
    <w:tbl>
      <w:tblPr>
        <w:tblStyle w:val="Table"/>
        <w:tblW w:type="pct" w:w="5000"/>
        <w:tblLook w:firstRow="0" w:lastRow="0" w:firstColumn="0" w:lastColumn="0" w:noHBand="0" w:noVBand="0" w:val="0000"/>
        <w:jc w:val="start"/>
      </w:tblPr>
      <w:tblGrid>
        <w:gridCol w:w="7920"/>
      </w:tblGrid>
      <w:tr>
        <w:tc>
          <w:tcPr/>
          <w:bookmarkStart w:id="32" w:name="fig-reli-plot"/>
          <w:p>
            <w:pPr>
              <w:jc w:val="center"/>
            </w:pPr>
            <w:r>
              <w:drawing>
                <wp:inline>
                  <wp:extent cx="5334000" cy="5334000"/>
                  <wp:effectExtent b="0" l="0" r="0" t="0"/>
                  <wp:docPr descr="" title="" id="30" name="Picture"/>
                  <a:graphic>
                    <a:graphicData uri="http://schemas.openxmlformats.org/drawingml/2006/picture">
                      <pic:pic>
                        <pic:nvPicPr>
                          <pic:cNvPr descr="report_files/figure-docx/fig-reli-plo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device between sessions.</w:t>
            </w:r>
          </w:p>
          <w:bookmarkEnd w:id="32"/>
        </w:tc>
      </w:tr>
    </w:tbl>
    <w:bookmarkEnd w:id="33"/>
    <w:bookmarkEnd w:id="34"/>
    <w:bookmarkStart w:id="57" w:name="references"/>
    <w:p>
      <w:pPr>
        <w:pStyle w:val="Heading1"/>
      </w:pPr>
      <w:r>
        <w:t xml:space="preserve">3. References</w:t>
      </w:r>
    </w:p>
    <w:bookmarkStart w:id="56" w:name="refs"/>
    <w:bookmarkStart w:id="35"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w:t>
      </w:r>
      <w:r>
        <w:rPr>
          <w:iCs/>
          <w:i/>
        </w:rPr>
        <w:t xml:space="preserve"> </w:t>
      </w:r>
      <w:r>
        <w:rPr>
          <w:iCs/>
          <w:i/>
        </w:rPr>
        <w:t xml:space="preserve">Dynamic</w:t>
      </w:r>
      <w:r>
        <w:rPr>
          <w:iCs/>
          <w:i/>
        </w:rPr>
        <w:t xml:space="preserve"> </w:t>
      </w:r>
      <w:r>
        <w:rPr>
          <w:iCs/>
          <w:i/>
        </w:rPr>
        <w:t xml:space="preserve">documents for</w:t>
      </w:r>
      <w:r>
        <w:rPr>
          <w:iCs/>
          <w:i/>
        </w:rPr>
        <w:t xml:space="preserve"> </w:t>
      </w:r>
      <w:r>
        <w:rPr>
          <w:iCs/>
          <w:i/>
        </w:rPr>
        <w:t xml:space="preserve">R</w:t>
      </w:r>
      <w:r>
        <w:t xml:space="preserve"> </w:t>
      </w:r>
      <w:r>
        <w:t xml:space="preserve">[Manual].</w:t>
      </w:r>
    </w:p>
    <w:bookmarkEnd w:id="35"/>
    <w:bookmarkStart w:id="37"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6">
        <w:r>
          <w:rPr>
            <w:rStyle w:val="Hyperlink"/>
          </w:rPr>
          <w:t xml:space="preserve">https://doi.org/10.1080/00031305.2018.1543137</w:t>
        </w:r>
      </w:hyperlink>
    </w:p>
    <w:bookmarkEnd w:id="37"/>
    <w:bookmarkStart w:id="3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0" w:name="ref-glue"/>
    <w:p>
      <w:pPr>
        <w:pStyle w:val="Bibliography"/>
      </w:pPr>
      <w:r>
        <w:t xml:space="preserve">Hester, J., &amp; Bryan, J. (2024).</w:t>
      </w:r>
      <w:r>
        <w:t xml:space="preserve"> </w:t>
      </w:r>
      <w:r>
        <w:rPr>
          <w:iCs/>
          <w:i/>
        </w:rPr>
        <w:t xml:space="preserve">glue</w:t>
      </w:r>
      <w:r>
        <w:rPr>
          <w:iCs/>
          <w:i/>
        </w:rPr>
        <w:t xml:space="preserve">:</w:t>
      </w:r>
      <w:r>
        <w:rPr>
          <w:iCs/>
          <w:i/>
        </w:rPr>
        <w:t xml:space="preserve"> </w:t>
      </w:r>
      <w:r>
        <w:rPr>
          <w:iCs/>
          <w:i/>
        </w:rPr>
        <w:t xml:space="preserve">Interpreted</w:t>
      </w:r>
      <w:r>
        <w:rPr>
          <w:iCs/>
          <w:i/>
        </w:rPr>
        <w:t xml:space="preserve"> </w:t>
      </w:r>
      <w:r>
        <w:rPr>
          <w:iCs/>
          <w:i/>
        </w:rPr>
        <w:t xml:space="preserve">string literals</w:t>
      </w:r>
      <w:r>
        <w:t xml:space="preserve"> </w:t>
      </w:r>
      <w:r>
        <w:t xml:space="preserve">[Manual].</w:t>
      </w:r>
    </w:p>
    <w:bookmarkEnd w:id="40"/>
    <w:bookmarkStart w:id="41" w:name="ref-tarchetypes"/>
    <w:p>
      <w:pPr>
        <w:pStyle w:val="Bibliography"/>
      </w:pPr>
      <w:r>
        <w:t xml:space="preserve">Landau, W. M. (2021a).</w:t>
      </w:r>
      <w:r>
        <w:t xml:space="preserve"> </w:t>
      </w:r>
      <w:r>
        <w:rPr>
          <w:iCs/>
          <w:i/>
        </w:rPr>
        <w:t xml:space="preserve">tarchetypes</w:t>
      </w:r>
      <w:r>
        <w:rPr>
          <w:iCs/>
          <w:i/>
        </w:rPr>
        <w:t xml:space="preserve">:</w:t>
      </w:r>
      <w:r>
        <w:rPr>
          <w:iCs/>
          <w:i/>
        </w:rPr>
        <w:t xml:space="preserve"> </w:t>
      </w:r>
      <w:r>
        <w:rPr>
          <w:iCs/>
          <w:i/>
        </w:rPr>
        <w:t xml:space="preserve">Archetypes</w:t>
      </w:r>
      <w:r>
        <w:rPr>
          <w:iCs/>
          <w:i/>
        </w:rPr>
        <w:t xml:space="preserve"> </w:t>
      </w:r>
      <w:r>
        <w:rPr>
          <w:iCs/>
          <w:i/>
        </w:rPr>
        <w:t xml:space="preserve">for targets</w:t>
      </w:r>
      <w:r>
        <w:t xml:space="preserve"> </w:t>
      </w:r>
      <w:r>
        <w:t xml:space="preserve">[Manual].</w:t>
      </w:r>
    </w:p>
    <w:bookmarkEnd w:id="41"/>
    <w:bookmarkStart w:id="42" w:name="ref-targets"/>
    <w:p>
      <w:pPr>
        <w:pStyle w:val="Bibliography"/>
      </w:pPr>
      <w:r>
        <w:t xml:space="preserve">Landau, W. M. (2021b).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p>
    <w:bookmarkEnd w:id="42"/>
    <w:bookmarkStart w:id="43" w:name="ref-lmeresampler"/>
    <w:p>
      <w:pPr>
        <w:pStyle w:val="Bibliography"/>
      </w:pPr>
      <w:r>
        <w:t xml:space="preserve">Loy, A., Steele, S., &amp; Korobova, J. (2024).</w:t>
      </w:r>
      <w:r>
        <w:t xml:space="preserve"> </w:t>
      </w:r>
      <w:r>
        <w:rPr>
          <w:iCs/>
          <w:i/>
        </w:rPr>
        <w:t xml:space="preserve">lmeresampler</w:t>
      </w:r>
      <w:r>
        <w:rPr>
          <w:iCs/>
          <w:i/>
        </w:rPr>
        <w:t xml:space="preserve">:</w:t>
      </w:r>
      <w:r>
        <w:rPr>
          <w:iCs/>
          <w:i/>
        </w:rPr>
        <w:t xml:space="preserve"> </w:t>
      </w:r>
      <w:r>
        <w:rPr>
          <w:iCs/>
          <w:i/>
        </w:rPr>
        <w:t xml:space="preserve">Bootstrap</w:t>
      </w:r>
      <w:r>
        <w:rPr>
          <w:iCs/>
          <w:i/>
        </w:rPr>
        <w:t xml:space="preserve"> </w:t>
      </w:r>
      <w:r>
        <w:rPr>
          <w:iCs/>
          <w:i/>
        </w:rPr>
        <w:t xml:space="preserve">methods for nested linear mixed-effects models</w:t>
      </w:r>
      <w:r>
        <w:t xml:space="preserve"> </w:t>
      </w:r>
      <w:r>
        <w:t xml:space="preserve">[Manual].</w:t>
      </w:r>
    </w:p>
    <w:bookmarkEnd w:id="43"/>
    <w:bookmarkStart w:id="45"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44">
        <w:r>
          <w:rPr>
            <w:rStyle w:val="Hyperlink"/>
          </w:rPr>
          <w:t xml:space="preserve">https://doi.org/10.1186/s12874-020-01022-x</w:t>
        </w:r>
      </w:hyperlink>
    </w:p>
    <w:bookmarkEnd w:id="45"/>
    <w:bookmarkStart w:id="46" w:name="ref-patchwork"/>
    <w:p>
      <w:pPr>
        <w:pStyle w:val="Bibliography"/>
      </w:pPr>
      <w:r>
        <w:t xml:space="preserve">Pedersen, T. L. (2024).</w:t>
      </w:r>
      <w:r>
        <w:t xml:space="preserve"> </w:t>
      </w:r>
      <w:r>
        <w:rPr>
          <w:iCs/>
          <w:i/>
        </w:rPr>
        <w:t xml:space="preserve">patchwork</w:t>
      </w:r>
      <w:r>
        <w:rPr>
          <w:iCs/>
          <w:i/>
        </w:rPr>
        <w:t xml:space="preserve">:</w:t>
      </w:r>
      <w:r>
        <w:rPr>
          <w:iCs/>
          <w:i/>
        </w:rPr>
        <w:t xml:space="preserve"> </w:t>
      </w:r>
      <w:r>
        <w:rPr>
          <w:iCs/>
          <w:i/>
        </w:rPr>
        <w:t xml:space="preserve">The</w:t>
      </w:r>
      <w:r>
        <w:rPr>
          <w:iCs/>
          <w:i/>
        </w:rPr>
        <w:t xml:space="preserve"> </w:t>
      </w:r>
      <w:r>
        <w:rPr>
          <w:iCs/>
          <w:i/>
        </w:rPr>
        <w:t xml:space="preserve">composer of plots</w:t>
      </w:r>
      <w:r>
        <w:t xml:space="preserve"> </w:t>
      </w:r>
      <w:r>
        <w:t xml:space="preserve">[Manual].</w:t>
      </w:r>
    </w:p>
    <w:bookmarkEnd w:id="46"/>
    <w:bookmarkStart w:id="47" w:name="ref-base"/>
    <w:p>
      <w:pPr>
        <w:pStyle w:val="Bibliography"/>
      </w:pPr>
      <w:r>
        <w:t xml:space="preserve">R Core Team. (2024).</w:t>
      </w:r>
      <w:r>
        <w:t xml:space="preserve"> </w:t>
      </w:r>
      <w:r>
        <w:rPr>
          <w:iCs/>
          <w:i/>
        </w:rPr>
        <w:t xml:space="preserve">R: A language and environment for statistical computing</w:t>
      </w:r>
      <w:r>
        <w:t xml:space="preserve"> </w:t>
      </w:r>
      <w:r>
        <w:t xml:space="preserve">[Manual]. R Foundation for Statistical Computing.</w:t>
      </w:r>
    </w:p>
    <w:bookmarkEnd w:id="47"/>
    <w:bookmarkStart w:id="48" w:name="ref-renv"/>
    <w:p>
      <w:pPr>
        <w:pStyle w:val="Bibliography"/>
      </w:pPr>
      <w:r>
        <w:t xml:space="preserve">Ushey, K., &amp; Wickham, H. (2023).</w:t>
      </w:r>
      <w:r>
        <w:t xml:space="preserve"> </w:t>
      </w:r>
      <w:r>
        <w:rPr>
          <w:iCs/>
          <w:i/>
        </w:rPr>
        <w:t xml:space="preserve">renv</w:t>
      </w:r>
      <w:r>
        <w:rPr>
          <w:iCs/>
          <w:i/>
        </w:rPr>
        <w:t xml:space="preserve">:</w:t>
      </w:r>
      <w:r>
        <w:rPr>
          <w:iCs/>
          <w:i/>
        </w:rPr>
        <w:t xml:space="preserve"> </w:t>
      </w:r>
      <w:r>
        <w:rPr>
          <w:iCs/>
          <w:i/>
        </w:rPr>
        <w:t xml:space="preserve">Project</w:t>
      </w:r>
      <w:r>
        <w:rPr>
          <w:iCs/>
          <w:i/>
        </w:rPr>
        <w:t xml:space="preserve"> </w:t>
      </w:r>
      <w:r>
        <w:rPr>
          <w:iCs/>
          <w:i/>
        </w:rPr>
        <w:t xml:space="preserve">environments</w:t>
      </w:r>
      <w:r>
        <w:t xml:space="preserve"> </w:t>
      </w:r>
      <w:r>
        <w:t xml:space="preserve">[Manual].</w:t>
      </w:r>
    </w:p>
    <w:bookmarkEnd w:id="48"/>
    <w:bookmarkStart w:id="5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9">
        <w:r>
          <w:rPr>
            <w:rStyle w:val="Hyperlink"/>
          </w:rPr>
          <w:t xml:space="preserve">https://doi.org/10.21105/joss.01686</w:t>
        </w:r>
      </w:hyperlink>
    </w:p>
    <w:bookmarkEnd w:id="50"/>
    <w:bookmarkStart w:id="5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51"/>
    <w:bookmarkStart w:id="52"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52"/>
    <w:bookmarkStart w:id="53" w:name="ref-knitr2024"/>
    <w:p>
      <w:pPr>
        <w:pStyle w:val="Bibliography"/>
      </w:pPr>
      <w:r>
        <w:t xml:space="preserve">Xie, Y. (2024).</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 </w:t>
      </w:r>
      <w:r>
        <w:t xml:space="preserve">[Manual].</w:t>
      </w:r>
    </w:p>
    <w:bookmarkEnd w:id="53"/>
    <w:bookmarkStart w:id="54" w:name="ref-rmarkdown2018"/>
    <w:p>
      <w:pPr>
        <w:pStyle w:val="Bibliography"/>
      </w:pPr>
      <w:r>
        <w:t xml:space="preserve">Xie, Y., Allaire, J. J., &amp;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p>
    <w:bookmarkEnd w:id="54"/>
    <w:bookmarkStart w:id="55" w:name="ref-rmarkdown2020"/>
    <w:p>
      <w:pPr>
        <w:pStyle w:val="Bibliography"/>
      </w:pPr>
      <w:r>
        <w:t xml:space="preserve">Xie, Y., Dervieux, C., &amp; Riederer, E. (2020).</w:t>
      </w:r>
      <w:r>
        <w:t xml:space="preserve"> </w:t>
      </w:r>
      <w:r>
        <w:rPr>
          <w:iCs/>
          <w:i/>
        </w:rPr>
        <w:t xml:space="preserve">R markdown cookbook</w:t>
      </w:r>
      <w:r>
        <w:t xml:space="preserve">.</w:t>
      </w:r>
      <w:r>
        <w:t xml:space="preserve"> </w:t>
      </w:r>
      <w:r>
        <w:t xml:space="preserve">Chapman and Hall/CRC</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2024-07-07T08:45:34Z</dcterms:created>
  <dcterms:modified xsi:type="dcterms:W3CDTF">2024-07-07T08:45:34Z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