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2" w:name="statistical-analysis"/>
    <w:p>
      <w:pPr>
        <w:pStyle w:val="Heading1"/>
      </w:pPr>
      <w:r>
        <w:t xml:space="preserve">1. Statistical Analysis</w:t>
      </w:r>
    </w:p>
    <w:p>
      <w:pPr>
        <w:pStyle w:val="FirstParagraph"/>
      </w:pPr>
      <w:r>
        <w:t xml:space="preserve">The present analysis was not pre-registered as we had no a priori hypotheses and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w:t>
      </w:r>
      <w:r>
        <w:t xml:space="preserve"> </w:t>
      </w:r>
      <w:r>
        <w:t xml:space="preserve">(Cumming, 2014)</w:t>
      </w:r>
      <w:r>
        <w:t xml:space="preserve">. For all analyses model parameter estimates and their precision (i.e., 95% confidence intervals [CI]),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All analysis was performed in R (version 4.3.3, The R Foundation for Statistical Computing, 2022) and all data and code is presented in the supplementary materials (</w:t>
      </w:r>
      <w:hyperlink r:id="rId20">
        <w:r>
          <w:rPr>
            <w:rStyle w:val="Hyperlink"/>
          </w:rPr>
          <w:t xml:space="preserve">https://osf.io/ugbtd/</w:t>
        </w:r>
      </w:hyperlink>
      <w:r>
        <w:t xml:space="preserve">).All data visualisations were made using</w:t>
      </w:r>
      <w:r>
        <w:t xml:space="preserve"> </w:t>
      </w:r>
      <w:r>
        <w:rPr>
          <w:rStyle w:val="VerbatimChar"/>
        </w:rPr>
        <w:t xml:space="preserve">ggplot2</w:t>
      </w:r>
      <w:r>
        <w:t xml:space="preserve"> </w:t>
      </w:r>
      <w:r>
        <w:t xml:space="preserve">(Wickham et al., 2022)</w:t>
      </w:r>
      <w:r>
        <w:t xml:space="preserve">,</w:t>
      </w:r>
      <w:r>
        <w:t xml:space="preserve"> </w:t>
      </w:r>
      <w:r>
        <w:rPr>
          <w:rStyle w:val="VerbatimChar"/>
        </w:rPr>
        <w:t xml:space="preserve">ggeffects</w:t>
      </w:r>
      <w:r>
        <w:t xml:space="preserve"> </w:t>
      </w:r>
      <w:r>
        <w:t xml:space="preserve">(Lüdecke, Aust, et al., 2024)</w:t>
      </w:r>
      <w:r>
        <w:t xml:space="preserve"> </w:t>
      </w:r>
      <w:r>
        <w:t xml:space="preserve">and the</w:t>
      </w:r>
      <w:r>
        <w:t xml:space="preserve"> </w:t>
      </w:r>
      <w:r>
        <w:rPr>
          <w:rStyle w:val="VerbatimChar"/>
        </w:rPr>
        <w:t xml:space="preserve">patchwork</w:t>
      </w:r>
      <w:r>
        <w:t xml:space="preserve"> </w:t>
      </w:r>
      <w:r>
        <w:t xml:space="preserve">(Pedersen, 2022)</w:t>
      </w:r>
      <w:r>
        <w:t xml:space="preserve"> </w:t>
      </w:r>
      <w:r>
        <w:t xml:space="preserve">packages. The aim of our analysis was to explore to explore the effects of both low and high BFR conditions upon physiological and perceptual parameters during the warm-up, and on performance outcomes as a result of the warm-up. Linear mixed effects models were used with Restricted Maximal Likelihood estimation using the</w:t>
      </w:r>
      <w:r>
        <w:t xml:space="preserve"> </w:t>
      </w:r>
      <w:r>
        <w:rPr>
          <w:rStyle w:val="VerbatimChar"/>
        </w:rPr>
        <w:t xml:space="preserve">lme4</w:t>
      </w:r>
      <w:r>
        <w:t xml:space="preserve"> </w:t>
      </w:r>
      <w:r>
        <w:t xml:space="preserve">package</w:t>
      </w:r>
      <w:r>
        <w:t xml:space="preserve"> </w:t>
      </w:r>
      <w:r>
        <w:t xml:space="preserve">(Bates et al., 2023)</w:t>
      </w:r>
      <w:r>
        <w:t xml:space="preserve">. Given the variety of outcomes examined, the timing of their data collection (e.g., pre- to post-warm-up, during warm-up, or post-warm-up only), and the number of measurements taken (e.g., single measures or multiple measures) we describe all of the specific model structures, in addition to model checks and diagnostics using the</w:t>
      </w:r>
      <w:r>
        <w:t xml:space="preserve"> </w:t>
      </w:r>
      <w:r>
        <w:rPr>
          <w:rStyle w:val="VerbatimChar"/>
        </w:rPr>
        <w:t xml:space="preserve">performance</w:t>
      </w:r>
      <w:r>
        <w:t xml:space="preserve"> </w:t>
      </w:r>
      <w:r>
        <w:t xml:space="preserve">package</w:t>
      </w:r>
      <w:r>
        <w:t xml:space="preserve"> </w:t>
      </w:r>
      <w:r>
        <w:t xml:space="preserve">(Lüdecke, Makowski (@Dom_Makowski), et al., 2024)</w:t>
      </w:r>
      <w:r>
        <w:t xml:space="preserve">, in the online supplementary materials (download and view html file from:</w:t>
      </w:r>
      <w:r>
        <w:t xml:space="preserve"> </w:t>
      </w:r>
      <w:hyperlink r:id="rId21">
        <w:r>
          <w:rPr>
            <w:rStyle w:val="Hyperlink"/>
          </w:rPr>
          <w:t xml:space="preserve">https://osf.io/4jtzu</w:t>
        </w:r>
      </w:hyperlink>
      <w:r>
        <w:t xml:space="preserve">). Where possible we utilised maximal random effects structures for the data (i.e., as long as there were sufficient degrees of freedom, convergence could be achieved, and singularity was avoided).</w:t>
      </w:r>
    </w:p>
    <w:bookmarkEnd w:id="22"/>
    <w:bookmarkStart w:id="45" w:name="results"/>
    <w:p>
      <w:pPr>
        <w:pStyle w:val="Heading1"/>
      </w:pPr>
      <w:r>
        <w:t xml:space="preserve">2. Results</w:t>
      </w:r>
    </w:p>
    <w:p>
      <w:pPr>
        <w:pStyle w:val="FirstParagraph"/>
      </w:pPr>
      <w:r>
        <w:t xml:space="preserve">Full model summaries including all fixed effect parameter estimates, their confidence intervals, and p values, in addition to all random effect estimates and their correlations, are provided in the online supplementary materials (download and view html file from:</w:t>
      </w:r>
      <w:r>
        <w:t xml:space="preserve"> </w:t>
      </w:r>
      <w:hyperlink r:id="rId23">
        <w:r>
          <w:rPr>
            <w:rStyle w:val="Hyperlink"/>
          </w:rPr>
          <w:t xml:space="preserve">https://osf.io/3bdwt</w:t>
        </w:r>
      </w:hyperlink>
      <w:r>
        <w:t xml:space="preserve">). Here we focus on presenting the key results for the effects of condition, or condition:time interaction effects (i.e., where timepoint was pre- to post-warm-up or multiple measures where taken during warm-up such as heart rate each minute).</w:t>
      </w:r>
    </w:p>
    <w:bookmarkStart w:id="33" w:name="X0bdd8e7f312feb9e9ee3fdb0240fee872e83ea4"/>
    <w:p>
      <w:pPr>
        <w:pStyle w:val="Heading2"/>
      </w:pPr>
      <w:r>
        <w:t xml:space="preserve">2.1 Effects of Warm-up on Physiological and Perceptual Outcomes</w:t>
      </w:r>
    </w:p>
    <w:tbl>
      <w:tblPr>
        <w:tblStyle w:val="Table"/>
        <w:tblW w:type="pct" w:w="5000"/>
        <w:tblLook w:firstRow="0" w:lastRow="0" w:firstColumn="0" w:lastColumn="0" w:noHBand="0" w:noVBand="0" w:val="0000"/>
        <w:jc w:val="start"/>
      </w:tblPr>
      <w:tblGrid>
        <w:gridCol w:w="7920"/>
      </w:tblGrid>
      <w:tr>
        <w:tc>
          <w:tcPr/>
          <w:bookmarkStart w:id="27" w:name="fig-warmup"/>
          <w:p>
            <w:pPr>
              <w:jc w:val="center"/>
            </w:pPr>
            <w:r>
              <w:drawing>
                <wp:inline>
                  <wp:extent cx="5334000" cy="5334000"/>
                  <wp:effectExtent b="0" l="0" r="0" t="0"/>
                  <wp:docPr descr="" title="" id="25" name="Picture"/>
                  <a:graphic>
                    <a:graphicData uri="http://schemas.openxmlformats.org/drawingml/2006/picture">
                      <pic:pic>
                        <pic:nvPicPr>
                          <pic:cNvPr descr="stats_results_files/figure-docx/fig-warmup-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Individual participant and measurement level data (thin lines) with model predicted values and 95% confidence intervals (thick lines and bands OR points and error bars). Panel (A) shows the results for heart rate, panel (B) shows the results for blood lactate, and panel (C) shows the results for rating of perceived exertion.</w:t>
            </w:r>
          </w:p>
          <w:bookmarkEnd w:id="27"/>
        </w:tc>
      </w:tr>
    </w:tbl>
    <w:bookmarkStart w:id="29" w:name="heart-rate"/>
    <w:p>
      <w:pPr>
        <w:pStyle w:val="Heading3"/>
      </w:pPr>
      <w:r>
        <w:t xml:space="preserve">2.1.1 Heart Rate</w:t>
      </w:r>
    </w:p>
    <w:p>
      <w:pPr>
        <w:pStyle w:val="FirstParagraph"/>
      </w:pPr>
      <w:r>
        <w:t xml:space="preserve">Heart rate increased over time (i.e., each minute) in the control condition (slope = 1.31 [95% CI: 0.85, 1.78] beats.minute</w:t>
      </w:r>
      <m:oMath>
        <m:sSup>
          <m:e>
            <m:r>
              <m:t>​</m:t>
            </m:r>
          </m:e>
          <m:sup>
            <m:r>
              <m:rPr>
                <m:sty m:val="p"/>
              </m:rPr>
              <m:t>−</m:t>
            </m:r>
            <m:r>
              <m:t>1</m:t>
            </m:r>
          </m:sup>
        </m:sSup>
      </m:oMath>
      <w:r>
        <w:t xml:space="preserve">), low BFR condition (slope = 1.23 [95% CI: 0.69, 1.76] beats.minute</w:t>
      </w:r>
      <m:oMath>
        <m:sSup>
          <m:e>
            <m:r>
              <m:t>​</m:t>
            </m:r>
          </m:e>
          <m:sup>
            <m:r>
              <m:rPr>
                <m:sty m:val="p"/>
              </m:rPr>
              <m:t>−</m:t>
            </m:r>
            <m:r>
              <m:t>1</m:t>
            </m:r>
          </m:sup>
        </m:sSup>
      </m:oMath>
      <w:r>
        <w:t xml:space="preserve">) and the high BFR condition (slope = 0.79 [95% CI: 0.29, 1.29] beats.minute</w:t>
      </w:r>
      <m:oMath>
        <m:sSup>
          <m:e>
            <m:r>
              <m:t>​</m:t>
            </m:r>
          </m:e>
          <m:sup>
            <m:r>
              <m:rPr>
                <m:sty m:val="p"/>
              </m:rPr>
              <m:t>−</m:t>
            </m:r>
            <m:r>
              <m:t>1</m:t>
            </m:r>
          </m:sup>
        </m:sSup>
      </m:oMath>
      <w:r>
        <w:t xml:space="preserve">). However, despite heart rate appearing greater at the beginning of the warm-up for the high BFR condition it was similar between conditions by the end of the warm-up such that (</w:t>
      </w:r>
      <w:hyperlink w:anchor="tbl-heartcontr">
        <w:r>
          <w:rPr>
            <w:rStyle w:val="Hyperlink"/>
          </w:rPr>
          <w:t xml:space="preserve">Table 1</w:t>
        </w:r>
      </w:hyperlink>
      <w:r>
        <w:t xml:space="preserve"> </w:t>
      </w:r>
      <w:r>
        <w:t xml:space="preserve">shows the between condition contrasts at three minute intervals). Heart rate results are seen in figure (</w:t>
      </w:r>
      <w:hyperlink w:anchor="fig-warmup">
        <w:r>
          <w:rPr>
            <w:rStyle w:val="Hyperlink"/>
          </w:rPr>
          <w:t xml:space="preserve">Figure 1</w:t>
        </w:r>
      </w:hyperlink>
      <w:r>
        <w:t xml:space="preserve"> </w:t>
      </w:r>
      <w:r>
        <w:t xml:space="preserve">(A)).</w:t>
      </w:r>
    </w:p>
    <w:bookmarkStart w:id="28" w:name="tbl-heartcontr"/>
    <w:p>
      <w:pPr>
        <w:pStyle w:val="TableCaption"/>
      </w:pPr>
      <w:r>
        <w:t xml:space="preserve">Table 1: Between condition contrasts across time for heart rate.</w:t>
      </w:r>
    </w:p>
    <w:tbl>
      <w:tblPr>
        <w:tblStyle w:val="Table"/>
        <w:tblW w:type="auto" w:w="0"/>
        <w:tblLook w:firstRow="1" w:lastRow="1" w:firstColumn="0" w:lastColumn="0" w:noHBand="0" w:noVBand="0" w:val="0020"/>
        <w:jc w:val="start"/>
        <w:tblCaption w:val="Table 1: Between condition contrasts across time for heart rat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Baseline</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-7.86</w:t>
            </w:r>
          </w:p>
        </w:tc>
        <w:tc>
          <w:tcPr/>
          <w:p>
            <w:pPr>
              <w:pStyle w:val="Compact"/>
              <w:jc w:val="center"/>
            </w:pPr>
            <w:r>
              <w:t xml:space="preserve">-16.63</w:t>
            </w:r>
          </w:p>
        </w:tc>
        <w:tc>
          <w:tcPr/>
          <w:p>
            <w:pPr>
              <w:pStyle w:val="Compact"/>
              <w:jc w:val="center"/>
            </w:pPr>
            <w:r>
              <w:t xml:space="preserve">0.92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-9.64</w:t>
            </w:r>
          </w:p>
        </w:tc>
        <w:tc>
          <w:tcPr/>
          <w:p>
            <w:pPr>
              <w:pStyle w:val="Compact"/>
              <w:jc w:val="center"/>
            </w:pPr>
            <w:r>
              <w:t xml:space="preserve">-17.10</w:t>
            </w:r>
          </w:p>
        </w:tc>
        <w:tc>
          <w:tcPr/>
          <w:p>
            <w:pPr>
              <w:pStyle w:val="Compact"/>
              <w:jc w:val="center"/>
            </w:pPr>
            <w:r>
              <w:t xml:space="preserve">-2.17</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-1.78</w:t>
            </w:r>
          </w:p>
        </w:tc>
        <w:tc>
          <w:tcPr/>
          <w:p>
            <w:pPr>
              <w:pStyle w:val="Compact"/>
              <w:jc w:val="center"/>
            </w:pPr>
            <w:r>
              <w:t xml:space="preserve">-11.69</w:t>
            </w:r>
          </w:p>
        </w:tc>
        <w:tc>
          <w:tcPr/>
          <w:p>
            <w:pPr>
              <w:pStyle w:val="Compact"/>
              <w:jc w:val="center"/>
            </w:pPr>
            <w:r>
              <w:t xml:space="preserve">8.14</w:t>
            </w:r>
          </w:p>
        </w:tc>
      </w:tr>
      <w:tr>
        <w:tc>
          <w:tcPr>
            <w:gridSpan w:val="5"/>
          </w:tcPr>
          <w:p>
            <w:pPr>
              <w:pStyle w:val="Compact"/>
              <w:jc w:val="left"/>
            </w:pPr>
            <w:r>
              <w:rPr>
                <w:bCs/>
                <w:b/>
              </w:rPr>
              <w:t xml:space="preserve">3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-6.54</w:t>
            </w:r>
          </w:p>
        </w:tc>
        <w:tc>
          <w:tcPr/>
          <w:p>
            <w:pPr>
              <w:pStyle w:val="Compact"/>
              <w:jc w:val="center"/>
            </w:pPr>
            <w:r>
              <w:t xml:space="preserve">-14.66</w:t>
            </w:r>
          </w:p>
        </w:tc>
        <w:tc>
          <w:tcPr/>
          <w:p>
            <w:pPr>
              <w:pStyle w:val="Compact"/>
              <w:jc w:val="center"/>
            </w:pPr>
            <w:r>
              <w:t xml:space="preserve">1.58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-8.06</w:t>
            </w:r>
          </w:p>
        </w:tc>
        <w:tc>
          <w:tcPr/>
          <w:p>
            <w:pPr>
              <w:pStyle w:val="Compact"/>
              <w:jc w:val="center"/>
            </w:pPr>
            <w:r>
              <w:t xml:space="preserve">-15.16</w:t>
            </w:r>
          </w:p>
        </w:tc>
        <w:tc>
          <w:tcPr/>
          <w:p>
            <w:pPr>
              <w:pStyle w:val="Compact"/>
              <w:jc w:val="center"/>
            </w:pPr>
            <w:r>
              <w:t xml:space="preserve">-0.96</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-1.52</w:t>
            </w:r>
          </w:p>
        </w:tc>
        <w:tc>
          <w:tcPr/>
          <w:p>
            <w:pPr>
              <w:pStyle w:val="Compact"/>
              <w:jc w:val="center"/>
            </w:pPr>
            <w:r>
              <w:t xml:space="preserve">-10.72</w:t>
            </w:r>
          </w:p>
        </w:tc>
        <w:tc>
          <w:tcPr/>
          <w:p>
            <w:pPr>
              <w:pStyle w:val="Compact"/>
              <w:jc w:val="center"/>
            </w:pPr>
            <w:r>
              <w:t xml:space="preserve">7.68</w:t>
            </w:r>
          </w:p>
        </w:tc>
      </w:tr>
      <w:tr>
        <w:tc>
          <w:tcPr>
            <w:gridSpan w:val="5"/>
          </w:tcPr>
          <w:p>
            <w:pPr>
              <w:pStyle w:val="Compact"/>
              <w:jc w:val="left"/>
            </w:pPr>
            <w:r>
              <w:rPr>
                <w:bCs/>
                <w:b/>
              </w:rPr>
              <w:t xml:space="preserve">6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-5.22</w:t>
            </w:r>
          </w:p>
        </w:tc>
        <w:tc>
          <w:tcPr/>
          <w:p>
            <w:pPr>
              <w:pStyle w:val="Compact"/>
              <w:jc w:val="center"/>
            </w:pPr>
            <w:r>
              <w:t xml:space="preserve">-12.99</w:t>
            </w:r>
          </w:p>
        </w:tc>
        <w:tc>
          <w:tcPr/>
          <w:p>
            <w:pPr>
              <w:pStyle w:val="Compact"/>
              <w:jc w:val="center"/>
            </w:pPr>
            <w:r>
              <w:t xml:space="preserve">2.55</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-6.48</w:t>
            </w:r>
          </w:p>
        </w:tc>
        <w:tc>
          <w:tcPr/>
          <w:p>
            <w:pPr>
              <w:pStyle w:val="Compact"/>
              <w:jc w:val="center"/>
            </w:pPr>
            <w:r>
              <w:t xml:space="preserve">-13.81</w:t>
            </w:r>
          </w:p>
        </w:tc>
        <w:tc>
          <w:tcPr/>
          <w:p>
            <w:pPr>
              <w:pStyle w:val="Compact"/>
              <w:jc w:val="center"/>
            </w:pPr>
            <w:r>
              <w:t xml:space="preserve">0.85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-1.26</w:t>
            </w:r>
          </w:p>
        </w:tc>
        <w:tc>
          <w:tcPr/>
          <w:p>
            <w:pPr>
              <w:pStyle w:val="Compact"/>
              <w:jc w:val="center"/>
            </w:pPr>
            <w:r>
              <w:t xml:space="preserve">-10.14</w:t>
            </w:r>
          </w:p>
        </w:tc>
        <w:tc>
          <w:tcPr/>
          <w:p>
            <w:pPr>
              <w:pStyle w:val="Compact"/>
              <w:jc w:val="center"/>
            </w:pPr>
            <w:r>
              <w:t xml:space="preserve">7.62</w:t>
            </w:r>
          </w:p>
        </w:tc>
      </w:tr>
      <w:tr>
        <w:tc>
          <w:tcPr>
            <w:gridSpan w:val="5"/>
          </w:tcPr>
          <w:p>
            <w:pPr>
              <w:pStyle w:val="Compact"/>
              <w:jc w:val="left"/>
            </w:pPr>
            <w:r>
              <w:rPr>
                <w:bCs/>
                <w:b/>
              </w:rPr>
              <w:t xml:space="preserve">9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-3.90</w:t>
            </w:r>
          </w:p>
        </w:tc>
        <w:tc>
          <w:tcPr/>
          <w:p>
            <w:pPr>
              <w:pStyle w:val="Compact"/>
              <w:jc w:val="center"/>
            </w:pPr>
            <w:r>
              <w:t xml:space="preserve">-11.65</w:t>
            </w:r>
          </w:p>
        </w:tc>
        <w:tc>
          <w:tcPr/>
          <w:p>
            <w:pPr>
              <w:pStyle w:val="Compact"/>
              <w:jc w:val="center"/>
            </w:pPr>
            <w:r>
              <w:t xml:space="preserve">3.84</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-4.90</w:t>
            </w:r>
          </w:p>
        </w:tc>
        <w:tc>
          <w:tcPr/>
          <w:p>
            <w:pPr>
              <w:pStyle w:val="Compact"/>
              <w:jc w:val="center"/>
            </w:pPr>
            <w:r>
              <w:t xml:space="preserve">-13.00</w:t>
            </w:r>
          </w:p>
        </w:tc>
        <w:tc>
          <w:tcPr/>
          <w:p>
            <w:pPr>
              <w:pStyle w:val="Compact"/>
              <w:jc w:val="center"/>
            </w:pPr>
            <w:r>
              <w:t xml:space="preserve">3.20</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-1.00</w:t>
            </w:r>
          </w:p>
        </w:tc>
        <w:tc>
          <w:tcPr/>
          <w:p>
            <w:pPr>
              <w:pStyle w:val="Compact"/>
              <w:jc w:val="center"/>
            </w:pPr>
            <w:r>
              <w:t xml:space="preserve">-10.00</w:t>
            </w:r>
          </w:p>
        </w:tc>
        <w:tc>
          <w:tcPr/>
          <w:p>
            <w:pPr>
              <w:pStyle w:val="Compact"/>
              <w:jc w:val="center"/>
            </w:pPr>
            <w:r>
              <w:t xml:space="preserve">8.00</w:t>
            </w:r>
          </w:p>
        </w:tc>
      </w:tr>
      <w:tr>
        <w:tc>
          <w:tcPr>
            <w:gridSpan w:val="5"/>
          </w:tcPr>
          <w:p>
            <w:pPr>
              <w:pStyle w:val="Compact"/>
              <w:jc w:val="left"/>
            </w:pPr>
            <w:r>
              <w:rPr>
                <w:bCs/>
                <w:b/>
              </w:rPr>
              <w:t xml:space="preserve">12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-2.58</w:t>
            </w:r>
          </w:p>
        </w:tc>
        <w:tc>
          <w:tcPr/>
          <w:p>
            <w:pPr>
              <w:pStyle w:val="Compact"/>
              <w:jc w:val="center"/>
            </w:pPr>
            <w:r>
              <w:t xml:space="preserve">-10.65</w:t>
            </w:r>
          </w:p>
        </w:tc>
        <w:tc>
          <w:tcPr/>
          <w:p>
            <w:pPr>
              <w:pStyle w:val="Compact"/>
              <w:jc w:val="center"/>
            </w:pPr>
            <w:r>
              <w:t xml:space="preserve">5.48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-3.32</w:t>
            </w:r>
          </w:p>
        </w:tc>
        <w:tc>
          <w:tcPr/>
          <w:p>
            <w:pPr>
              <w:pStyle w:val="Compact"/>
              <w:jc w:val="center"/>
            </w:pPr>
            <w:r>
              <w:t xml:space="preserve">-12.60</w:t>
            </w:r>
          </w:p>
        </w:tc>
        <w:tc>
          <w:tcPr/>
          <w:p>
            <w:pPr>
              <w:pStyle w:val="Compact"/>
              <w:jc w:val="center"/>
            </w:pPr>
            <w:r>
              <w:t xml:space="preserve">5.96</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-0.74</w:t>
            </w:r>
          </w:p>
        </w:tc>
        <w:tc>
          <w:tcPr/>
          <w:p>
            <w:pPr>
              <w:pStyle w:val="Compact"/>
              <w:jc w:val="center"/>
            </w:pPr>
            <w:r>
              <w:t xml:space="preserve">-10.28</w:t>
            </w:r>
          </w:p>
        </w:tc>
        <w:tc>
          <w:tcPr/>
          <w:p>
            <w:pPr>
              <w:pStyle w:val="Compact"/>
              <w:jc w:val="center"/>
            </w:pPr>
            <w:r>
              <w:t xml:space="preserve">8.79</w:t>
            </w:r>
          </w:p>
        </w:tc>
      </w:tr>
      <w:tr>
        <w:tc>
          <w:tcPr>
            <w:gridSpan w:val="5"/>
          </w:tcPr>
          <w:p>
            <w:pPr>
              <w:pStyle w:val="Compact"/>
              <w:jc w:val="left"/>
            </w:pPr>
            <w:r>
              <w:rPr>
                <w:bCs/>
                <w:b/>
              </w:rPr>
              <w:t xml:space="preserve">15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-1.26</w:t>
            </w:r>
          </w:p>
        </w:tc>
        <w:tc>
          <w:tcPr/>
          <w:p>
            <w:pPr>
              <w:pStyle w:val="Compact"/>
              <w:jc w:val="center"/>
            </w:pPr>
            <w:r>
              <w:t xml:space="preserve">-9.95</w:t>
            </w:r>
          </w:p>
        </w:tc>
        <w:tc>
          <w:tcPr/>
          <w:p>
            <w:pPr>
              <w:pStyle w:val="Compact"/>
              <w:jc w:val="center"/>
            </w:pPr>
            <w:r>
              <w:t xml:space="preserve">7.42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-1.75</w:t>
            </w:r>
          </w:p>
        </w:tc>
        <w:tc>
          <w:tcPr/>
          <w:p>
            <w:pPr>
              <w:pStyle w:val="Compact"/>
              <w:jc w:val="center"/>
            </w:pPr>
            <w:r>
              <w:t xml:space="preserve">-12.48</w:t>
            </w:r>
          </w:p>
        </w:tc>
        <w:tc>
          <w:tcPr/>
          <w:p>
            <w:pPr>
              <w:pStyle w:val="Compact"/>
              <w:jc w:val="center"/>
            </w:pPr>
            <w:r>
              <w:t xml:space="preserve">8.99</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-0.48</w:t>
            </w:r>
          </w:p>
        </w:tc>
        <w:tc>
          <w:tcPr/>
          <w:p>
            <w:pPr>
              <w:pStyle w:val="Compact"/>
              <w:jc w:val="center"/>
            </w:pPr>
            <w:r>
              <w:t xml:space="preserve">-10.91</w:t>
            </w:r>
          </w:p>
        </w:tc>
        <w:tc>
          <w:tcPr/>
          <w:p>
            <w:pPr>
              <w:pStyle w:val="Compact"/>
              <w:jc w:val="center"/>
            </w:pPr>
            <w:r>
              <w:t xml:space="preserve">9.94</w:t>
            </w:r>
          </w:p>
        </w:tc>
      </w:tr>
      <w:tr>
        <w:tc>
          <w:tcPr>
            <w:gridSpan w:val="5"/>
          </w:tcPr>
          <w:p>
            <w:pPr>
              <w:pStyle w:val="Compact"/>
              <w:jc w:val="left"/>
            </w:pPr>
            <w:r>
              <w:rPr>
                <w:bCs/>
                <w:b/>
              </w:rPr>
              <w:t xml:space="preserve">18 Minutes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0.06</w:t>
            </w:r>
          </w:p>
        </w:tc>
        <w:tc>
          <w:tcPr/>
          <w:p>
            <w:pPr>
              <w:pStyle w:val="Compact"/>
              <w:jc w:val="center"/>
            </w:pPr>
            <w:r>
              <w:t xml:space="preserve">-9.49</w:t>
            </w:r>
          </w:p>
        </w:tc>
        <w:tc>
          <w:tcPr/>
          <w:p>
            <w:pPr>
              <w:pStyle w:val="Compact"/>
              <w:jc w:val="center"/>
            </w:pPr>
            <w:r>
              <w:t xml:space="preserve">9.61</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-0.17</w:t>
            </w:r>
          </w:p>
        </w:tc>
        <w:tc>
          <w:tcPr/>
          <w:p>
            <w:pPr>
              <w:pStyle w:val="Compact"/>
              <w:jc w:val="center"/>
            </w:pPr>
            <w:r>
              <w:t xml:space="preserve">-12.54</w:t>
            </w:r>
          </w:p>
        </w:tc>
        <w:tc>
          <w:tcPr/>
          <w:p>
            <w:pPr>
              <w:pStyle w:val="Compact"/>
              <w:jc w:val="center"/>
            </w:pPr>
            <w:r>
              <w:t xml:space="preserve">12.20</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-0.22</w:t>
            </w:r>
          </w:p>
        </w:tc>
        <w:tc>
          <w:tcPr/>
          <w:p>
            <w:pPr>
              <w:pStyle w:val="Compact"/>
              <w:jc w:val="center"/>
            </w:pPr>
            <w:r>
              <w:t xml:space="preserve">-11.82</w:t>
            </w:r>
          </w:p>
        </w:tc>
        <w:tc>
          <w:tcPr/>
          <w:p>
            <w:pPr>
              <w:pStyle w:val="Compact"/>
              <w:jc w:val="center"/>
            </w:pPr>
            <w:r>
              <w:t xml:space="preserve">11.37</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28"/>
    <w:bookmarkEnd w:id="29"/>
    <w:bookmarkStart w:id="31" w:name="blood-lactate"/>
    <w:p>
      <w:pPr>
        <w:pStyle w:val="Heading3"/>
      </w:pPr>
      <w:r>
        <w:t xml:space="preserve">2.1.2 Blood Lactate</w:t>
      </w:r>
    </w:p>
    <w:p>
      <w:pPr>
        <w:pStyle w:val="FirstParagraph"/>
      </w:pPr>
      <w:r>
        <w:t xml:space="preserve">Blood lactate was fit using log transformed values and thus values reported here are for the log transformations. Blood lactate results are seen in figure (</w:t>
      </w:r>
      <w:hyperlink w:anchor="fig-warmup">
        <w:r>
          <w:rPr>
            <w:rStyle w:val="Hyperlink"/>
          </w:rPr>
          <w:t xml:space="preserve">Figure 1</w:t>
        </w:r>
      </w:hyperlink>
      <w:r>
        <w:t xml:space="preserve"> </w:t>
      </w:r>
      <w:r>
        <w:t xml:space="preserve">(B)) are however on the back transformed raw scale. Blood lactate increased from pre- to post-warm-up in the control condition (slope = 0.88 [95% CI: 0.69, 1.07] log(mmol.L</w:t>
      </w:r>
      <m:oMath>
        <m:sSup>
          <m:e>
            <m:r>
              <m:t>​</m:t>
            </m:r>
          </m:e>
          <m:sup>
            <m:r>
              <m:rPr>
                <m:sty m:val="p"/>
              </m:rPr>
              <m:t>−</m:t>
            </m:r>
            <m:r>
              <m:t>1</m:t>
            </m:r>
          </m:sup>
        </m:sSup>
      </m:oMath>
      <w:r>
        <w:t xml:space="preserve">)), low BFR condition (slope = 0.96 [95% CI: 0.77, 1.15] log(mmol.L</w:t>
      </w:r>
      <m:oMath>
        <m:sSup>
          <m:e>
            <m:r>
              <m:t>​</m:t>
            </m:r>
          </m:e>
          <m:sup>
            <m:r>
              <m:rPr>
                <m:sty m:val="p"/>
              </m:rPr>
              <m:t>−</m:t>
            </m:r>
            <m:r>
              <m:t>1</m:t>
            </m:r>
          </m:sup>
        </m:sSup>
      </m:oMath>
      <w:r>
        <w:t xml:space="preserve">)) and the high BFR condition (slope = 1.09 [95% CI: 0.89, 1.28] log(mmol.L</w:t>
      </w:r>
      <m:oMath>
        <m:sSup>
          <m:e>
            <m:r>
              <m:t>​</m:t>
            </m:r>
          </m:e>
          <m:sup>
            <m:r>
              <m:rPr>
                <m:sty m:val="p"/>
              </m:rPr>
              <m:t>−</m:t>
            </m:r>
            <m:r>
              <m:t>1</m:t>
            </m:r>
          </m:sup>
        </m:sSup>
      </m:oMath>
      <w:r>
        <w:t xml:space="preserve">)). However, there was no clear differences between conditions post-warm-up though a tendency for the high BFR condition to result in greater blood lactate levels (</w:t>
      </w:r>
      <w:hyperlink w:anchor="tbl-lactatecontr">
        <w:r>
          <w:rPr>
            <w:rStyle w:val="Hyperlink"/>
          </w:rPr>
          <w:t xml:space="preserve">Table 2</w:t>
        </w:r>
      </w:hyperlink>
      <w:r>
        <w:t xml:space="preserve"> </w:t>
      </w:r>
      <w:r>
        <w:t xml:space="preserve">shows the between condition contrasts at both timepoints).</w:t>
      </w:r>
    </w:p>
    <w:bookmarkStart w:id="30" w:name="tbl-lactatecontr"/>
    <w:p>
      <w:pPr>
        <w:pStyle w:val="TableCaption"/>
      </w:pPr>
      <w:r>
        <w:t xml:space="preserve">Table 2: Between condition contrasts at each timepoint for log blood lactate.</w:t>
      </w:r>
    </w:p>
    <w:tbl>
      <w:tblPr>
        <w:tblStyle w:val="Table"/>
        <w:tblW w:type="auto" w:w="0"/>
        <w:tblLook w:firstRow="1" w:lastRow="1" w:firstColumn="0" w:lastColumn="0" w:noHBand="0" w:noVBand="0" w:val="0020"/>
        <w:jc w:val="start"/>
        <w:tblCaption w:val="Table 2: Between condition contrasts at each timepoint for log blood lactat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Pre-warm-up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-0.05</w:t>
            </w:r>
          </w:p>
        </w:tc>
        <w:tc>
          <w:tcPr/>
          <w:p>
            <w:pPr>
              <w:pStyle w:val="Compact"/>
              <w:jc w:val="center"/>
            </w:pPr>
            <w:r>
              <w:t xml:space="preserve">-0.28</w:t>
            </w:r>
          </w:p>
        </w:tc>
        <w:tc>
          <w:tcPr/>
          <w:p>
            <w:pPr>
              <w:pStyle w:val="Compact"/>
              <w:jc w:val="center"/>
            </w:pPr>
            <w:r>
              <w:t xml:space="preserve">0.19</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0.04</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0.09</w:t>
            </w:r>
          </w:p>
        </w:tc>
        <w:tc>
          <w:tcPr/>
          <w:p>
            <w:pPr>
              <w:pStyle w:val="Compact"/>
              <w:jc w:val="center"/>
            </w:pPr>
            <w:r>
              <w:t xml:space="preserve">-0.14</w:t>
            </w:r>
          </w:p>
        </w:tc>
        <w:tc>
          <w:tcPr/>
          <w:p>
            <w:pPr>
              <w:pStyle w:val="Compact"/>
              <w:jc w:val="center"/>
            </w:pPr>
            <w:r>
              <w:t xml:space="preserve">0.33</w:t>
            </w:r>
          </w:p>
        </w:tc>
      </w:tr>
      <w:tr>
        <w:tc>
          <w:tcPr>
            <w:gridSpan w:val="5"/>
          </w:tcPr>
          <w:p>
            <w:pPr>
              <w:pStyle w:val="Compact"/>
              <w:jc w:val="left"/>
            </w:pPr>
            <w:r>
              <w:rPr>
                <w:bCs/>
                <w:b/>
              </w:rPr>
              <w:t xml:space="preserve">Post-warm-up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-0.17</w:t>
            </w:r>
          </w:p>
        </w:tc>
        <w:tc>
          <w:tcPr/>
          <w:p>
            <w:pPr>
              <w:pStyle w:val="Compact"/>
              <w:jc w:val="center"/>
            </w:pPr>
            <w:r>
              <w:t xml:space="preserve">-0.41</w:t>
            </w:r>
          </w:p>
        </w:tc>
        <w:tc>
          <w:tcPr/>
          <w:p>
            <w:pPr>
              <w:pStyle w:val="Compact"/>
              <w:jc w:val="center"/>
            </w:pPr>
            <w:r>
              <w:t xml:space="preserve">0.06</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-0.16</w:t>
            </w:r>
          </w:p>
        </w:tc>
        <w:tc>
          <w:tcPr/>
          <w:p>
            <w:pPr>
              <w:pStyle w:val="Compact"/>
              <w:jc w:val="center"/>
            </w:pPr>
            <w:r>
              <w:t xml:space="preserve">-0.40</w:t>
            </w:r>
          </w:p>
        </w:tc>
        <w:tc>
          <w:tcPr/>
          <w:p>
            <w:pPr>
              <w:pStyle w:val="Compact"/>
              <w:jc w:val="center"/>
            </w:pPr>
            <w:r>
              <w:t xml:space="preserve">0.07</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0.01</w:t>
            </w:r>
          </w:p>
        </w:tc>
        <w:tc>
          <w:tcPr/>
          <w:p>
            <w:pPr>
              <w:pStyle w:val="Compact"/>
              <w:jc w:val="center"/>
            </w:pPr>
            <w:r>
              <w:t xml:space="preserve">-0.23</w:t>
            </w:r>
          </w:p>
        </w:tc>
        <w:tc>
          <w:tcPr/>
          <w:p>
            <w:pPr>
              <w:pStyle w:val="Compact"/>
              <w:jc w:val="center"/>
            </w:pPr>
            <w:r>
              <w:t xml:space="preserve">0.24</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30"/>
    <w:bookmarkEnd w:id="31"/>
    <w:bookmarkStart w:id="32" w:name="rating-of-perceived-exertion"/>
    <w:p>
      <w:pPr>
        <w:pStyle w:val="Heading3"/>
      </w:pPr>
      <w:r>
        <w:t xml:space="preserve">2.1.3 Rating of Perceived Exertion</w:t>
      </w:r>
    </w:p>
    <w:p>
      <w:pPr>
        <w:pStyle w:val="FirstParagraph"/>
      </w:pPr>
      <w:r>
        <w:t xml:space="preserve">Rating of perceived exertion under the control condition was 10.85 [95% CI: 10.08, 11.62] points, under the low BFR condition it was 11.85 [95% CI: 11.08, 12.62] points, and under the high BFR condition it was 14.4 [95% CI: 13.63, 15.17] points. Compared with the control condition the low BFR condition resulted in a 1 [95% CI: -0.21, 2.21] points greater rating of perceived exertion, and the high BFR condition resulted in a 3.55 [95% CI: 2.34, 4.76] points greater rating of perceived exertion. The contrast between the low BFR and high BFR conditions was 2.55 [95% CI: 1.34, 3.76] greater for the high BFR condition. Rating of perceived exertion results are seen in figure (</w:t>
      </w:r>
      <w:hyperlink w:anchor="fig-warmup">
        <w:r>
          <w:rPr>
            <w:rStyle w:val="Hyperlink"/>
          </w:rPr>
          <w:t xml:space="preserve">Figure 1</w:t>
        </w:r>
      </w:hyperlink>
      <w:r>
        <w:t xml:space="preserve"> </w:t>
      </w:r>
      <w:r>
        <w:t xml:space="preserve">(B)).</w:t>
      </w:r>
    </w:p>
    <w:bookmarkEnd w:id="32"/>
    <w:bookmarkEnd w:id="33"/>
    <w:bookmarkStart w:id="44" w:name="X90b21ae30935576342d809003033d54ef21fa60"/>
    <w:p>
      <w:pPr>
        <w:pStyle w:val="Heading2"/>
      </w:pPr>
      <w:r>
        <w:t xml:space="preserve">2.2 Effects of Warm-up on Performance Outcomes</w:t>
      </w:r>
    </w:p>
    <w:tbl>
      <w:tblPr>
        <w:tblStyle w:val="Table"/>
        <w:tblW w:type="pct" w:w="5000"/>
        <w:tblLook w:firstRow="0" w:lastRow="0" w:firstColumn="0" w:lastColumn="0" w:noHBand="0" w:noVBand="0" w:val="0000"/>
        <w:jc w:val="start"/>
      </w:tblPr>
      <w:tblGrid>
        <w:gridCol w:w="7920"/>
      </w:tblGrid>
      <w:tr>
        <w:tc>
          <w:tcPr/>
          <w:bookmarkStart w:id="37" w:name="fig-perform"/>
          <w:p>
            <w:pPr>
              <w:jc w:val="center"/>
            </w:pPr>
            <w:r>
              <w:drawing>
                <wp:inline>
                  <wp:extent cx="5334000" cy="5334000"/>
                  <wp:effectExtent b="0" l="0" r="0" t="0"/>
                  <wp:docPr descr="" title="" id="35" name="Picture"/>
                  <a:graphic>
                    <a:graphicData uri="http://schemas.openxmlformats.org/drawingml/2006/picture">
                      <pic:pic>
                        <pic:nvPicPr>
                          <pic:cNvPr descr="stats_results_files/figure-docx/fig-perform-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Individual participant and measurement level data (thin lines) with model predicted values and 95% confidence intervals (thick lines and bands OR points and error bars). Panel (A) shows the results for sit and reach, panel (B) shows the results for countermovement jump, panel (C) shows the results for sprint time, and panel (D) shows the results for isometric mid thigh pull.</w:t>
            </w:r>
          </w:p>
          <w:bookmarkEnd w:id="37"/>
        </w:tc>
      </w:tr>
    </w:tbl>
    <w:bookmarkStart w:id="39" w:name="sit-and-reach"/>
    <w:p>
      <w:pPr>
        <w:pStyle w:val="Heading3"/>
      </w:pPr>
      <w:r>
        <w:t xml:space="preserve">2.2.1 Sit and Reach</w:t>
      </w:r>
    </w:p>
    <w:p>
      <w:pPr>
        <w:pStyle w:val="FirstParagraph"/>
      </w:pPr>
      <w:r>
        <w:t xml:space="preserve">Sit and reach increased from pre- to post-warm-up in the control condition (slope = 3.02 [95% CI: 2.05, 3.99] cm), low BFR condition (slope = 4.1 [95% CI: 2.85, 5.35] cm) and the high BFR condition (slope = 3.72 [95% CI: 2.4, 5.03] cm). However, there was no clear differences between conditions post-warm-up (</w:t>
      </w:r>
      <w:hyperlink w:anchor="tbl-sitreachcontr">
        <w:r>
          <w:rPr>
            <w:rStyle w:val="Hyperlink"/>
          </w:rPr>
          <w:t xml:space="preserve">Table 3</w:t>
        </w:r>
      </w:hyperlink>
      <w:r>
        <w:t xml:space="preserve"> </w:t>
      </w:r>
      <w:r>
        <w:t xml:space="preserve">shows the between condition contrasts at both timepoints). Sit and reach results are seen in figure (</w:t>
      </w:r>
      <w:hyperlink w:anchor="fig-perform">
        <w:r>
          <w:rPr>
            <w:rStyle w:val="Hyperlink"/>
          </w:rPr>
          <w:t xml:space="preserve">Figure 2</w:t>
        </w:r>
      </w:hyperlink>
      <w:r>
        <w:t xml:space="preserve"> </w:t>
      </w:r>
      <w:r>
        <w:t xml:space="preserve">(A)).</w:t>
      </w:r>
    </w:p>
    <w:bookmarkStart w:id="38" w:name="tbl-sitreachcontr"/>
    <w:p>
      <w:pPr>
        <w:pStyle w:val="TableCaption"/>
      </w:pPr>
      <w:r>
        <w:t xml:space="preserve">Table 3: Between condition contrasts at each timepoint for sit and reach.</w:t>
      </w:r>
    </w:p>
    <w:tbl>
      <w:tblPr>
        <w:tblStyle w:val="Table"/>
        <w:tblW w:type="auto" w:w="0"/>
        <w:tblLook w:firstRow="1" w:lastRow="1" w:firstColumn="0" w:lastColumn="0" w:noHBand="0" w:noVBand="0" w:val="0020"/>
        <w:jc w:val="start"/>
        <w:tblCaption w:val="Table 3: Between condition contrasts at each timepoint for sit and reach."/>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Pre-warm-up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0.13</w:t>
            </w:r>
          </w:p>
        </w:tc>
        <w:tc>
          <w:tcPr/>
          <w:p>
            <w:pPr>
              <w:pStyle w:val="Compact"/>
              <w:jc w:val="center"/>
            </w:pPr>
            <w:r>
              <w:t xml:space="preserve">-2.44</w:t>
            </w:r>
          </w:p>
        </w:tc>
        <w:tc>
          <w:tcPr/>
          <w:p>
            <w:pPr>
              <w:pStyle w:val="Compact"/>
              <w:jc w:val="center"/>
            </w:pPr>
            <w:r>
              <w:t xml:space="preserve">2.71</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-0.28</w:t>
            </w:r>
          </w:p>
        </w:tc>
        <w:tc>
          <w:tcPr/>
          <w:p>
            <w:pPr>
              <w:pStyle w:val="Compact"/>
              <w:jc w:val="center"/>
            </w:pPr>
            <w:r>
              <w:t xml:space="preserve">-2.31</w:t>
            </w:r>
          </w:p>
        </w:tc>
        <w:tc>
          <w:tcPr/>
          <w:p>
            <w:pPr>
              <w:pStyle w:val="Compact"/>
              <w:jc w:val="center"/>
            </w:pPr>
            <w:r>
              <w:t xml:space="preserve">1.75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-0.42</w:t>
            </w:r>
          </w:p>
        </w:tc>
        <w:tc>
          <w:tcPr/>
          <w:p>
            <w:pPr>
              <w:pStyle w:val="Compact"/>
              <w:jc w:val="center"/>
            </w:pPr>
            <w:r>
              <w:t xml:space="preserve">-2.48</w:t>
            </w:r>
          </w:p>
        </w:tc>
        <w:tc>
          <w:tcPr/>
          <w:p>
            <w:pPr>
              <w:pStyle w:val="Compact"/>
              <w:jc w:val="center"/>
            </w:pPr>
            <w:r>
              <w:t xml:space="preserve">1.65</w:t>
            </w:r>
          </w:p>
        </w:tc>
      </w:tr>
      <w:tr>
        <w:tc>
          <w:tcPr>
            <w:gridSpan w:val="5"/>
          </w:tcPr>
          <w:p>
            <w:pPr>
              <w:pStyle w:val="Compact"/>
              <w:jc w:val="left"/>
            </w:pPr>
            <w:r>
              <w:rPr>
                <w:bCs/>
                <w:b/>
              </w:rPr>
              <w:t xml:space="preserve">Post-warm-up</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0.52</w:t>
            </w:r>
          </w:p>
        </w:tc>
        <w:tc>
          <w:tcPr/>
          <w:p>
            <w:pPr>
              <w:pStyle w:val="Compact"/>
              <w:jc w:val="center"/>
            </w:pPr>
            <w:r>
              <w:t xml:space="preserve">-1.49</w:t>
            </w:r>
          </w:p>
        </w:tc>
        <w:tc>
          <w:tcPr/>
          <w:p>
            <w:pPr>
              <w:pStyle w:val="Compact"/>
              <w:jc w:val="center"/>
            </w:pPr>
            <w:r>
              <w:t xml:space="preserve">2.52</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-0.98</w:t>
            </w:r>
          </w:p>
        </w:tc>
        <w:tc>
          <w:tcPr/>
          <w:p>
            <w:pPr>
              <w:pStyle w:val="Compact"/>
              <w:jc w:val="center"/>
            </w:pPr>
            <w:r>
              <w:t xml:space="preserve">-2.62</w:t>
            </w:r>
          </w:p>
        </w:tc>
        <w:tc>
          <w:tcPr/>
          <w:p>
            <w:pPr>
              <w:pStyle w:val="Compact"/>
              <w:jc w:val="center"/>
            </w:pPr>
            <w:r>
              <w:t xml:space="preserve">0.65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-1.50</w:t>
            </w:r>
          </w:p>
        </w:tc>
        <w:tc>
          <w:tcPr/>
          <w:p>
            <w:pPr>
              <w:pStyle w:val="Compact"/>
              <w:jc w:val="center"/>
            </w:pPr>
            <w:r>
              <w:t xml:space="preserve">-3.10</w:t>
            </w:r>
          </w:p>
        </w:tc>
        <w:tc>
          <w:tcPr/>
          <w:p>
            <w:pPr>
              <w:pStyle w:val="Compact"/>
              <w:jc w:val="center"/>
            </w:pPr>
            <w:r>
              <w:t xml:space="preserve">0.10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38"/>
    <w:bookmarkEnd w:id="39"/>
    <w:bookmarkStart w:id="40" w:name="countermovement-jump"/>
    <w:p>
      <w:pPr>
        <w:pStyle w:val="Heading3"/>
      </w:pPr>
      <w:r>
        <w:t xml:space="preserve">2.2.2 Countermovement Jump</w:t>
      </w:r>
    </w:p>
    <w:p>
      <w:pPr>
        <w:pStyle w:val="FirstParagraph"/>
      </w:pPr>
      <w:r>
        <w:t xml:space="preserve">Countermovement jump performance under the control condition was 30.54 [95% CI: 26.94, 34.15] points, under the low BFR condition it was 29.14 [95% CI: 25.67, 32.62] points, and under the high BFR condition it was 27.99 [95% CI: 24.5, 31.49] points. Compared with the control condition the low BFR condition resulted in a -1.4 [95% CI: -3.8, 1] cm lower countermovement jump height, and the high BFR condition resulted in a -2.55 [95% CI: -4.67, -0.43] cm lower countermovement jump height. The contrast between the low BFR and high BFR conditions was -1.15 [95% CI: -3.64, 1.34] greater for the high BFR condition. Countermovement jump results are seen in figure (</w:t>
      </w:r>
      <w:hyperlink w:anchor="fig-perform">
        <w:r>
          <w:rPr>
            <w:rStyle w:val="Hyperlink"/>
          </w:rPr>
          <w:t xml:space="preserve">Figure 2</w:t>
        </w:r>
      </w:hyperlink>
      <w:r>
        <w:t xml:space="preserve"> </w:t>
      </w:r>
      <w:r>
        <w:t xml:space="preserve">(B)).</w:t>
      </w:r>
    </w:p>
    <w:bookmarkEnd w:id="40"/>
    <w:bookmarkStart w:id="42" w:name="sprints"/>
    <w:p>
      <w:pPr>
        <w:pStyle w:val="Heading3"/>
      </w:pPr>
      <w:r>
        <w:t xml:space="preserve">2.2.3 Sprints</w:t>
      </w:r>
    </w:p>
    <w:p>
      <w:pPr>
        <w:pStyle w:val="FirstParagraph"/>
      </w:pPr>
      <w:r>
        <w:t xml:space="preserve">The slope for distance in the sprints was essentially the same for all conditions suggesting no impact upon acceleration over 10 to 20 to 30 meters (0.14 [95% CI: 0.13, 0.14] seconds per meter). Differences between condition at the three distances were also minimal (</w:t>
      </w:r>
      <w:hyperlink w:anchor="tbl-sprintcontr">
        <w:r>
          <w:rPr>
            <w:rStyle w:val="Hyperlink"/>
          </w:rPr>
          <w:t xml:space="preserve">Table 4</w:t>
        </w:r>
      </w:hyperlink>
      <w:r>
        <w:t xml:space="preserve"> </w:t>
      </w:r>
      <w:r>
        <w:t xml:space="preserve">shows the between condition contrasts at each distance) There was essentially no clear effect of either condition compared to the control condition for sprint time, nor any interaction with sprint distance. Sprint time results are seen in figure (</w:t>
      </w:r>
      <w:hyperlink w:anchor="fig-perform">
        <w:r>
          <w:rPr>
            <w:rStyle w:val="Hyperlink"/>
          </w:rPr>
          <w:t xml:space="preserve">Figure 2</w:t>
        </w:r>
      </w:hyperlink>
      <w:r>
        <w:t xml:space="preserve"> </w:t>
      </w:r>
      <w:r>
        <w:t xml:space="preserve">(C)).</w:t>
      </w:r>
    </w:p>
    <w:bookmarkStart w:id="41" w:name="tbl-sprintcontr"/>
    <w:p>
      <w:pPr>
        <w:pStyle w:val="TableCaption"/>
      </w:pPr>
      <w:r>
        <w:t xml:space="preserve">Table 4: Between condition contrasts over distance for sprint time.</w:t>
      </w:r>
    </w:p>
    <w:tbl>
      <w:tblPr>
        <w:tblStyle w:val="Table"/>
        <w:tblW w:type="auto" w:w="0"/>
        <w:tblLook w:firstRow="1" w:lastRow="1" w:firstColumn="0" w:lastColumn="0" w:noHBand="0" w:noVBand="0" w:val="0020"/>
        <w:jc w:val="start"/>
        <w:tblCaption w:val="Table 4: Between condition contrasts over distance for sprint time."/>
      </w:tblPr>
      <w:tblGrid>
        <w:gridCol w:w="1584"/>
        <w:gridCol w:w="1584"/>
        <w:gridCol w:w="1584"/>
        <w:gridCol w:w="1584"/>
        <w:gridCol w:w="1584"/>
      </w:tblGrid>
      <w:tr>
        <w:trPr>
          <w:tblHeader w:val="true"/>
        </w:trPr>
        <w:tc>
          <w:tcPr/>
          <w:p>
            <w:pPr>
              <w:pStyle w:val="Compact"/>
              <w:jc w:val="center"/>
            </w:pPr>
            <w:r>
              <w:t xml:space="preserve">Condition 1</w:t>
            </w:r>
          </w:p>
        </w:tc>
        <w:tc>
          <w:tcPr/>
          <w:p>
            <w:pPr>
              <w:pStyle w:val="Compact"/>
              <w:jc w:val="center"/>
            </w:pPr>
            <w:r>
              <w:t xml:space="preserve">Condition 2</w:t>
            </w:r>
          </w:p>
        </w:tc>
        <w:tc>
          <w:tcPr/>
          <w:p>
            <w:pPr>
              <w:pStyle w:val="Compact"/>
              <w:jc w:val="center"/>
            </w:pPr>
            <w:r>
              <w:t xml:space="preserve">Contrast</w:t>
            </w:r>
          </w:p>
        </w:tc>
        <w:tc>
          <w:tcPr/>
          <w:p>
            <w:pPr>
              <w:pStyle w:val="Compact"/>
              <w:jc w:val="center"/>
            </w:pPr>
            <w:r>
              <w:t xml:space="preserve">Lower 95\% CI</w:t>
            </w:r>
          </w:p>
        </w:tc>
        <w:tc>
          <w:tcPr/>
          <w:p>
            <w:pPr>
              <w:pStyle w:val="Compact"/>
              <w:jc w:val="center"/>
            </w:pPr>
            <w:r>
              <w:t xml:space="preserve">Upper 95\% CI</w:t>
            </w:r>
          </w:p>
        </w:tc>
      </w:tr>
      <w:tr>
        <w:tc>
          <w:tcPr>
            <w:gridSpan w:val="5"/>
          </w:tcPr>
          <w:p>
            <w:pPr>
              <w:pStyle w:val="Compact"/>
              <w:jc w:val="left"/>
            </w:pPr>
            <w:r>
              <w:rPr>
                <w:bCs/>
                <w:b/>
              </w:rPr>
              <w:t xml:space="preserve">10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0.01</w:t>
            </w:r>
          </w:p>
        </w:tc>
        <w:tc>
          <w:tcPr/>
          <w:p>
            <w:pPr>
              <w:pStyle w:val="Compact"/>
              <w:jc w:val="center"/>
            </w:pPr>
            <w:r>
              <w:t xml:space="preserve">-0.06</w:t>
            </w:r>
          </w:p>
        </w:tc>
        <w:tc>
          <w:tcPr/>
          <w:p>
            <w:pPr>
              <w:pStyle w:val="Compact"/>
              <w:jc w:val="center"/>
            </w:pPr>
            <w:r>
              <w:t xml:space="preserve">0.07</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-0.01</w:t>
            </w:r>
          </w:p>
        </w:tc>
        <w:tc>
          <w:tcPr/>
          <w:p>
            <w:pPr>
              <w:pStyle w:val="Compact"/>
              <w:jc w:val="center"/>
            </w:pPr>
            <w:r>
              <w:t xml:space="preserve">-0.08</w:t>
            </w:r>
          </w:p>
        </w:tc>
        <w:tc>
          <w:tcPr/>
          <w:p>
            <w:pPr>
              <w:pStyle w:val="Compact"/>
              <w:jc w:val="center"/>
            </w:pPr>
            <w:r>
              <w:t xml:space="preserve">0.05</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0.03</w:t>
            </w:r>
          </w:p>
        </w:tc>
      </w:tr>
      <w:tr>
        <w:tc>
          <w:tcPr>
            <w:gridSpan w:val="5"/>
          </w:tcPr>
          <w:p>
            <w:pPr>
              <w:pStyle w:val="Compact"/>
              <w:jc w:val="left"/>
            </w:pPr>
            <w:r>
              <w:rPr>
                <w:bCs/>
                <w:b/>
              </w:rPr>
              <w:t xml:space="preserve">20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0.08</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-0.02</w:t>
            </w:r>
          </w:p>
        </w:tc>
        <w:tc>
          <w:tcPr/>
          <w:p>
            <w:pPr>
              <w:pStyle w:val="Compact"/>
              <w:jc w:val="center"/>
            </w:pPr>
            <w:r>
              <w:t xml:space="preserve">-0.09</w:t>
            </w:r>
          </w:p>
        </w:tc>
        <w:tc>
          <w:tcPr/>
          <w:p>
            <w:pPr>
              <w:pStyle w:val="Compact"/>
              <w:jc w:val="center"/>
            </w:pPr>
            <w:r>
              <w:t xml:space="preserve">0.04</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0.00</w:t>
            </w:r>
          </w:p>
        </w:tc>
      </w:tr>
      <w:tr>
        <w:tc>
          <w:tcPr>
            <w:gridSpan w:val="5"/>
          </w:tcPr>
          <w:p>
            <w:pPr>
              <w:pStyle w:val="Compact"/>
              <w:jc w:val="left"/>
            </w:pPr>
            <w:r>
              <w:rPr>
                <w:bCs/>
                <w:b/>
              </w:rPr>
              <w:t xml:space="preserve">30 meters</w:t>
            </w:r>
          </w:p>
        </w:tc>
      </w:tr>
      <w:tr>
        <w:tc>
          <w:tcPr/>
          <w:p>
            <w:pPr>
              <w:pStyle w:val="Compact"/>
              <w:jc w:val="center"/>
            </w:pPr>
            <w:r>
              <w:t xml:space="preserve">Low BFR</w:t>
            </w:r>
          </w:p>
        </w:tc>
        <w:tc>
          <w:tcPr/>
          <w:p>
            <w:pPr>
              <w:pStyle w:val="Compact"/>
              <w:jc w:val="center"/>
            </w:pPr>
            <w:r>
              <w:t xml:space="preserve">High BFR</w:t>
            </w:r>
          </w:p>
        </w:tc>
        <w:tc>
          <w:tcPr/>
          <w:p>
            <w:pPr>
              <w:pStyle w:val="Compact"/>
              <w:jc w:val="center"/>
            </w:pPr>
            <w:r>
              <w:t xml:space="preserve">0.03</w:t>
            </w:r>
          </w:p>
        </w:tc>
        <w:tc>
          <w:tcPr/>
          <w:p>
            <w:pPr>
              <w:pStyle w:val="Compact"/>
              <w:jc w:val="center"/>
            </w:pPr>
            <w:r>
              <w:t xml:space="preserve">-0.03</w:t>
            </w:r>
          </w:p>
        </w:tc>
        <w:tc>
          <w:tcPr/>
          <w:p>
            <w:pPr>
              <w:pStyle w:val="Compact"/>
              <w:jc w:val="center"/>
            </w:pPr>
            <w:r>
              <w:t xml:space="preserve">0.10</w:t>
            </w:r>
          </w:p>
        </w:tc>
      </w:tr>
      <w:tr>
        <w:tc>
          <w:tcPr/>
          <w:p>
            <w:pPr>
              <w:pStyle w:val="Compact"/>
              <w:jc w:val="center"/>
            </w:pPr>
            <w:r>
              <w:t xml:space="preserve">Control</w:t>
            </w:r>
          </w:p>
        </w:tc>
        <w:tc>
          <w:tcPr/>
          <w:p>
            <w:pPr>
              <w:pStyle w:val="Compact"/>
              <w:jc w:val="center"/>
            </w:pPr>
            <w:r>
              <w:t xml:space="preserve">High BFR</w:t>
            </w:r>
          </w:p>
        </w:tc>
        <w:tc>
          <w:tcPr/>
          <w:p>
            <w:pPr>
              <w:pStyle w:val="Compact"/>
              <w:jc w:val="center"/>
            </w:pPr>
            <w:r>
              <w:t xml:space="preserve">-0.03</w:t>
            </w:r>
          </w:p>
        </w:tc>
        <w:tc>
          <w:tcPr/>
          <w:p>
            <w:pPr>
              <w:pStyle w:val="Compact"/>
              <w:jc w:val="center"/>
            </w:pPr>
            <w:r>
              <w:t xml:space="preserve">-0.10</w:t>
            </w:r>
          </w:p>
        </w:tc>
        <w:tc>
          <w:tcPr/>
          <w:p>
            <w:pPr>
              <w:pStyle w:val="Compact"/>
              <w:jc w:val="center"/>
            </w:pPr>
            <w:r>
              <w:t xml:space="preserve">0.03</w:t>
            </w:r>
          </w:p>
        </w:tc>
      </w:tr>
      <w:tr>
        <w:tc>
          <w:tcPr/>
          <w:p>
            <w:pPr>
              <w:pStyle w:val="Compact"/>
              <w:jc w:val="center"/>
            </w:pPr>
            <w:r>
              <w:t xml:space="preserve">Control</w:t>
            </w:r>
          </w:p>
        </w:tc>
        <w:tc>
          <w:tcPr/>
          <w:p>
            <w:pPr>
              <w:pStyle w:val="Compact"/>
              <w:jc w:val="center"/>
            </w:pPr>
            <w:r>
              <w:t xml:space="preserve">Low BFR</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-0.02</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confidence interval; BFR = blood flow restriction</w:t>
            </w:r>
          </w:p>
        </w:tc>
        <w:tc>
          <w:tcPr/>
          <w:p>
            <w:pPr>
              <w:pStyle w:val="Compact"/>
            </w:pPr>
          </w:p>
        </w:tc>
        <w:tc>
          <w:tcPr/>
          <w:p>
            <w:pPr>
              <w:pStyle w:val="Compact"/>
            </w:pPr>
          </w:p>
        </w:tc>
        <w:tc>
          <w:tcPr/>
          <w:p>
            <w:pPr>
              <w:pStyle w:val="Compact"/>
            </w:pPr>
          </w:p>
        </w:tc>
        <w:tc>
          <w:tcPr/>
          <w:p>
            <w:pPr>
              <w:pStyle w:val="Compact"/>
            </w:pPr>
          </w:p>
        </w:tc>
      </w:tr>
    </w:tbl>
    <w:bookmarkEnd w:id="41"/>
    <w:bookmarkEnd w:id="42"/>
    <w:bookmarkStart w:id="43" w:name="isometric-mid-thigh-pull"/>
    <w:p>
      <w:pPr>
        <w:pStyle w:val="Heading3"/>
      </w:pPr>
      <w:r>
        <w:t xml:space="preserve">2.2.4 Isometric Mid Thigh Pull</w:t>
      </w:r>
    </w:p>
    <w:p>
      <w:pPr>
        <w:pStyle w:val="FirstParagraph"/>
      </w:pPr>
      <w:r>
        <w:t xml:space="preserve">Isometric mid thigh pull performance under the control condition was 2269.8 [95% CI: 1966.2, 2573.4] N, under the low BFR condition it was 2272.97 [95% CI: 1949.46, 2596.47] N, and under the high BFR condition it was 2258.12 [95% CI: 1945.5, 2570.73] N. There were neglible differences between conditions. Compared with the control condition the low BFR condition resulted in a 3.17 [95% CI: -112.19, 118.52] N greater isometric mid thigh pull, and the high BFR condition resulted in a -11.68 [95% CI: -94.55, 71.18] N lower isometric mid thigh pull. The contrast between the low BFR and high BFR conditions was -14.85 [95% CI: -125.07, 95.37] greater for the high BFR condition. Isometric mid thigh pull results are seen in figure (</w:t>
      </w:r>
      <w:hyperlink w:anchor="fig-perform">
        <w:r>
          <w:rPr>
            <w:rStyle w:val="Hyperlink"/>
          </w:rPr>
          <w:t xml:space="preserve">Figure 2</w:t>
        </w:r>
      </w:hyperlink>
      <w:r>
        <w:t xml:space="preserve"> </w:t>
      </w:r>
      <w:r>
        <w:t xml:space="preserve">(D)).</w:t>
      </w:r>
    </w:p>
    <w:bookmarkEnd w:id="43"/>
    <w:bookmarkEnd w:id="44"/>
    <w:bookmarkEnd w:id="45"/>
    <w:bookmarkStart w:id="60" w:name="references"/>
    <w:p>
      <w:pPr>
        <w:pStyle w:val="Heading1"/>
      </w:pPr>
      <w:r>
        <w:t xml:space="preserve">3. References</w:t>
      </w:r>
    </w:p>
    <w:bookmarkStart w:id="59" w:name="refs"/>
    <w:bookmarkStart w:id="47" w:name="ref-amrheinScientistsRiseStatistical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46">
        <w:r>
          <w:rPr>
            <w:rStyle w:val="Hyperlink"/>
          </w:rPr>
          <w:t xml:space="preserve">https://doi.org/10.1038/d41586-019-00857-9</w:t>
        </w:r>
      </w:hyperlink>
    </w:p>
    <w:bookmarkEnd w:id="47"/>
    <w:bookmarkStart w:id="49"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8">
        <w:r>
          <w:rPr>
            <w:rStyle w:val="Hyperlink"/>
          </w:rPr>
          <w:t xml:space="preserve">https://doi.org/10.1080/00031305.2018.1543137</w:t>
        </w:r>
      </w:hyperlink>
    </w:p>
    <w:bookmarkEnd w:id="49"/>
    <w:bookmarkStart w:id="50" w:name="ref-batesLme4LinearMixedEffects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 Mixed-Effects 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p>
    <w:bookmarkEnd w:id="50"/>
    <w:bookmarkStart w:id="52"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51">
        <w:r>
          <w:rPr>
            <w:rStyle w:val="Hyperlink"/>
          </w:rPr>
          <w:t xml:space="preserve">https://doi.org/10.1177/0956797613504966</w:t>
        </w:r>
      </w:hyperlink>
    </w:p>
    <w:bookmarkEnd w:id="52"/>
    <w:bookmarkStart w:id="53" w:name="ref-ludeckeGgeffectsCreateTidy2024"/>
    <w:p>
      <w:pPr>
        <w:pStyle w:val="Bibliography"/>
      </w:pPr>
      <w:r>
        <w:t xml:space="preserve">Lüdecke, D., Aust, F., Crawley, S., Ben-Shachar, M. S., &amp; Anderson, S. C. (2024).</w:t>
      </w:r>
      <w:r>
        <w:t xml:space="preserve"> </w:t>
      </w:r>
      <w:r>
        <w:rPr>
          <w:iCs/>
          <w:i/>
        </w:rPr>
        <w:t xml:space="preserve">Ggeffects:</w:t>
      </w:r>
      <w:r>
        <w:rPr>
          <w:iCs/>
          <w:i/>
        </w:rPr>
        <w:t xml:space="preserve"> </w:t>
      </w:r>
      <w:r>
        <w:rPr>
          <w:iCs/>
          <w:i/>
        </w:rPr>
        <w:t xml:space="preserve">Create Tidy Data Frames</w:t>
      </w:r>
      <w:r>
        <w:rPr>
          <w:iCs/>
          <w:i/>
        </w:rPr>
        <w:t xml:space="preserve"> </w:t>
      </w:r>
      <w:r>
        <w:rPr>
          <w:iCs/>
          <w:i/>
        </w:rPr>
        <w:t xml:space="preserve">of</w:t>
      </w:r>
      <w:r>
        <w:rPr>
          <w:iCs/>
          <w:i/>
        </w:rPr>
        <w:t xml:space="preserve"> </w:t>
      </w:r>
      <w:r>
        <w:rPr>
          <w:iCs/>
          <w:i/>
        </w:rPr>
        <w:t xml:space="preserve">Marginal Effects</w:t>
      </w:r>
      <w:r>
        <w:rPr>
          <w:iCs/>
          <w:i/>
        </w:rPr>
        <w:t xml:space="preserve"> </w:t>
      </w:r>
      <w:r>
        <w:rPr>
          <w:iCs/>
          <w:i/>
        </w:rPr>
        <w:t xml:space="preserve">for ’ggplot’ from</w:t>
      </w:r>
      <w:r>
        <w:rPr>
          <w:iCs/>
          <w:i/>
        </w:rPr>
        <w:t xml:space="preserve"> </w:t>
      </w:r>
      <w:r>
        <w:rPr>
          <w:iCs/>
          <w:i/>
        </w:rPr>
        <w:t xml:space="preserve">Model Outputs</w:t>
      </w:r>
      <w:r>
        <w:t xml:space="preserve">.</w:t>
      </w:r>
    </w:p>
    <w:bookmarkEnd w:id="53"/>
    <w:bookmarkStart w:id="54" w:name="X8e8c369741e9b36608048e26181dfb8fcef1d2d"/>
    <w:p>
      <w:pPr>
        <w:pStyle w:val="Bibliography"/>
      </w:pPr>
      <w:r>
        <w:t xml:space="preserve">Lüdecke, D., Makowski (@Dom_Makowski), D., Ben-Shachar (@mattansb), M. S., Patil (@patilindrajeets), I., Waggoner, P., Wiernik (@bmwiernik), B. M., Thériault (@rempsyc), R., Arel-Bundock, V., Jullum, M., gjo11, &amp; Bacher, E. (2024).</w:t>
      </w:r>
      <w:r>
        <w:t xml:space="preserve"> </w:t>
      </w:r>
      <w:r>
        <w:rPr>
          <w:iCs/>
          <w:i/>
        </w:rPr>
        <w:t xml:space="preserve">Performance:</w:t>
      </w:r>
      <w:r>
        <w:rPr>
          <w:iCs/>
          <w:i/>
        </w:rPr>
        <w:t xml:space="preserve"> </w:t>
      </w:r>
      <w:r>
        <w:rPr>
          <w:iCs/>
          <w:i/>
        </w:rPr>
        <w:t xml:space="preserve">Assessment</w:t>
      </w:r>
      <w:r>
        <w:rPr>
          <w:iCs/>
          <w:i/>
        </w:rPr>
        <w:t xml:space="preserve"> </w:t>
      </w:r>
      <w:r>
        <w:rPr>
          <w:iCs/>
          <w:i/>
        </w:rPr>
        <w:t xml:space="preserve">of</w:t>
      </w:r>
      <w:r>
        <w:rPr>
          <w:iCs/>
          <w:i/>
        </w:rPr>
        <w:t xml:space="preserve"> </w:t>
      </w:r>
      <w:r>
        <w:rPr>
          <w:iCs/>
          <w:i/>
        </w:rPr>
        <w:t xml:space="preserve">Regression Models Performance</w:t>
      </w:r>
      <w:r>
        <w:t xml:space="preserve">.</w:t>
      </w:r>
    </w:p>
    <w:bookmarkEnd w:id="54"/>
    <w:bookmarkStart w:id="56" w:name="Xe2f20cedbaf8f45da9149ec21d973a7a9cd12f0"/>
    <w:p>
      <w:pPr>
        <w:pStyle w:val="Bibliography"/>
      </w:pPr>
      <w:r>
        <w:t xml:space="preserve">McShane, B. B., Gal, D., Gelman, A., Robert, C., &amp; Tackett, J. L. (2019). Abandon</w:t>
      </w:r>
      <w:r>
        <w:t xml:space="preserve"> </w:t>
      </w:r>
      <w:r>
        <w:t xml:space="preserve">Statistical 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55">
        <w:r>
          <w:rPr>
            <w:rStyle w:val="Hyperlink"/>
          </w:rPr>
          <w:t xml:space="preserve">https://doi.org/10.1080/00031305.2018.1527253</w:t>
        </w:r>
      </w:hyperlink>
    </w:p>
    <w:bookmarkEnd w:id="56"/>
    <w:bookmarkStart w:id="57" w:name="ref-pedersenPatchworkComposerPlots2022"/>
    <w:p>
      <w:pPr>
        <w:pStyle w:val="Bibliography"/>
      </w:pPr>
      <w:r>
        <w:t xml:space="preserve">Pedersen, T. L. (2022).</w:t>
      </w:r>
      <w:r>
        <w:t xml:space="preserve"> </w:t>
      </w:r>
      <w:r>
        <w:rPr>
          <w:iCs/>
          <w:i/>
        </w:rPr>
        <w:t xml:space="preserve">Patchwork:</w:t>
      </w:r>
      <w:r>
        <w:rPr>
          <w:iCs/>
          <w:i/>
        </w:rPr>
        <w:t xml:space="preserve"> </w:t>
      </w:r>
      <w:r>
        <w:rPr>
          <w:iCs/>
          <w:i/>
        </w:rPr>
        <w:t xml:space="preserve">The Composer</w:t>
      </w:r>
      <w:r>
        <w:rPr>
          <w:iCs/>
          <w:i/>
        </w:rPr>
        <w:t xml:space="preserve"> </w:t>
      </w:r>
      <w:r>
        <w:rPr>
          <w:iCs/>
          <w:i/>
        </w:rPr>
        <w:t xml:space="preserve">of</w:t>
      </w:r>
      <w:r>
        <w:rPr>
          <w:iCs/>
          <w:i/>
        </w:rPr>
        <w:t xml:space="preserve"> </w:t>
      </w:r>
      <w:r>
        <w:rPr>
          <w:iCs/>
          <w:i/>
        </w:rPr>
        <w:t xml:space="preserve">Plots</w:t>
      </w:r>
      <w:r>
        <w:t xml:space="preserve">.</w:t>
      </w:r>
    </w:p>
    <w:bookmarkEnd w:id="57"/>
    <w:bookmarkStart w:id="58" w:name="ref-wickhamGgplot2CreateElegant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 Elegant Data Visualisations 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46" Target="https://doi.org/10.1038/d41586-019-00857-9" TargetMode="External" /><Relationship Type="http://schemas.openxmlformats.org/officeDocument/2006/relationships/hyperlink" Id="rId55" Target="https://doi.org/10.1080/00031305.2018.1527253" TargetMode="External" /><Relationship Type="http://schemas.openxmlformats.org/officeDocument/2006/relationships/hyperlink" Id="rId48"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23" Target="https://osf.io/3bdwt" TargetMode="External" /><Relationship Type="http://schemas.openxmlformats.org/officeDocument/2006/relationships/hyperlink" Id="rId21" Target="https://osf.io/4jtzu" TargetMode="External" /><Relationship Type="http://schemas.openxmlformats.org/officeDocument/2006/relationships/hyperlink" Id="rId20" Target="https://osf.io/ugbtd/"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38/d41586-019-00857-9" TargetMode="External" /><Relationship Type="http://schemas.openxmlformats.org/officeDocument/2006/relationships/hyperlink" Id="rId55" Target="https://doi.org/10.1080/00031305.2018.1527253" TargetMode="External" /><Relationship Type="http://schemas.openxmlformats.org/officeDocument/2006/relationships/hyperlink" Id="rId48"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23" Target="https://osf.io/3bdwt" TargetMode="External" /><Relationship Type="http://schemas.openxmlformats.org/officeDocument/2006/relationships/hyperlink" Id="rId21" Target="https://osf.io/4jtzu" TargetMode="External" /><Relationship Type="http://schemas.openxmlformats.org/officeDocument/2006/relationships/hyperlink" Id="rId20" Target="https://osf.io/ugbt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2025-05-16T07:54:23Z</dcterms:created>
  <dcterms:modified xsi:type="dcterms:W3CDTF">2025-05-16T07:54:23Z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