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Table: Descriptive characteristics of arms and participants for included studies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Authors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Article 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Diagnostic criteria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Age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Body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Height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BMI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Fat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Fat free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Physical activity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Country of 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Metabolic health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Measurement Method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Segal and Dunaif (1990)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metabolic rate and postprandial thermogenesis in polycystic ovarian syndrome.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 (3.32)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62.5 (4.97)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48.8 (3.32)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4.5 (SE = 0.2), Fasting insulin (pM) = 72 (SE = 7), Glucose area (mM 2 hours) = 9.9 (SE = 0.2), Insulin area (pM 2 hours) = 653 (SE = 7)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 (6)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86.9 (17.4)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50.4 (7.5)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4.8 (SE = 0.1), Fasting insulin (pM) = 122 (SE = 14), Glucose area (mM 2 hours) = 9.9 (SE = 0.2), Insulin area (pM 2 hours) = 1300 (SE = 294)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 was diagnosed by elevation of one or more plasma and androgen levels in the presence of chronic oligomenorrhea or ammenorrhea.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 (6.32)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84.1 (8.54)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48.7 (3.79)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4.9 (SE = 0.1), Fasting insulin (pM) = 223 (SE = 43), Glucose area (mM 2 hours) = 12.4 (SE = 0.9), Insulin area (pM 2 hours) = 2872 (SE =381)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Robinson et al., (1992)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Postprandial thermogenesis is reduced in polycystic ovary syndrome and is associated with increased insulin resistance.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 was defined by the clinical features: amenorrhoea or oligomenorrhoea  menstrual cycle longer than 35 days) and/or hirsutism (score greater than 8) with polycystic ovaries on ultrasound scanning.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 (6.44)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78.05 (18.95)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169.86*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27.05 (8.64)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51.12 (4.69)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Matched between groups but not reported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UK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 insulin tolerance test (0.5 U/kg body weight), Glucose slope (median, 3-15 mins) = 148.5 (SD = 20.5), Peak insulin (mU/L, 4 mins) = 265 (SD = 18)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 metabolic monitor (Datex Instrumentarium,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Helsinki, Finland)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30.25 (4.98)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76.62 (19.03)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165.87*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27.85 (6.65)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50.12 (7.99)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Matched between groups but not reported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 insulin tolerance test (0.5 U/kg body weight), Glucose slope (median, 3-15 mins) = 183.5 (SD = 26), Peak insulin (mU/L, 4 mins) = 273 (SD = 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 metabolic monitor (Datex Instrumentarium,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Helsinki, Finland)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Kritikou et al., (2006)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The ?2B and ?3 Adrenergic Receptor Genes Polymorphisms in Women with Polycystic Ovarian Syndrome (PCOS) and their Association with Insulin Resistance and Basal Metabolic Rate (BMR)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 (6.86)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19.1 (6.86)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 (5.4)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72.5 (17.44)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162.64*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27.41 (6.69)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(100g oral glucose load), Fasting insulin (uIU/ml) = 13.6 (SE = 1.3), Fasting glucose (mg/dL) = 83.4 (SE = 1.4), Fasting glucose:insulin ratio = 10.24 (SE = 1.06), HOMA = 66.94 (SE = 8.66), QUICKI = 0.347 (SE = 0.005)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Bruner et al., (2006)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Effects of exercise and nutritional counseling in women with polycystic ovary syndrome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32.3 (2.65)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100.5 (17.73)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166.62*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36.2 (5.29)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Sedentary at baseline (not specified how defined)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insulin (pmol/L) = 116.7 (SE = 42.2)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Sensorimedics VMAX 29 series metabolic cart (Sensorimedics, Yorba Linda, CA, USA)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28.4 (6.04)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94.8 (13.86)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159.85*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37.1 (7.6)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Sedentary at baseline (not specified how defined)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insulin (pmol/L) = 233.8 (SE = 77.4)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Sensorimedics VMAX 29 series metabolic cart (Sensorimedics, Yorba Linda, CA, USA)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Moran et al., (2006)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Short-term meal replacements followed by dietary macronutrient restriction enhance weight loss in polycystic ovary syndrome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32.62 (5.17)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96 (19.24)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165.85*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34.9 (6.79)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34.9 (8.75)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61.5 (12.24)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24-h physical activity record for all 7 d/wk in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weeks 0, 8, 20, and 32 (but not actually reported)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(mmol/L) = 5.2 (SE = 0.1), Fasting insulin (mU/L, baseline only) = 12.86 (SD = 6.95), HOMA (baseline only) = 2.5 (SD = 1.77)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Deltatract metabolic monitor (Datex Division Instrumentarium Corp., Helsinki, Finland) using a ventilated canopy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Saltamavros et al., (2007)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alpha 2 beta adrenoreceptor 301-303 deletion polymorphism in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 (10.58)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70.9 (166.89)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162.95*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26.7 (13.76)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(100g oral glucose load), Fasting insulin (uIU/ml) = 11.64 (SE = 1.8), Fasting glucose (mg/dL) = 82.13 (SE = 2.6), Fasting glucose:insulin ratio = 10.54 (SE = 2), HOMA = 70.43 (SE = 16.25), QUICKI = 0.354 (SE = 0.01)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 (10.68)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19.1 (10.68)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Cosar et al., (2008)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metabolic rate and exercise capacity in women with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25.9 (5.3)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26.97 (5.12)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glucose/insulin (ratio) = 6.01 (SD = 3.72), Fasting glucose (mg/dL) = 95.64 (SD = 11.03), Fasting insulin (mIU/mL) = 16.13 (SD = 9.86)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b2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(Cosmed, Rome, Italy) with a computerized metabolic card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(4.8)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26.03 (5.66)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glucose/insulin (ratio) = 13.56 (SD = 6.13), Fasting glucose (mg/dL) = 92.49 (SD = 10.66), Fasting insulin (mIU/mL) = 7.25 (SD = 3.01)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b2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(Cosmed, Rome, Italy) with a computerized metabolic card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Georgopoulos et al., (2009)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Basal metabolic rate is decreased in women with polycystic ovary syndrome and biochemical hyperandrogenemia and is associated with insulin resistance.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23.56 (3.53)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24.79 (5.15)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insulin (uIU/ml) = 6.32 (SE = 0.3), Fasting glucose:insulin ratio = 14.84 (SE = 1.19), HOMA = 103.38 (SE = 9.85), QUICKI = 0.38 (SE = 0)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23.97 (3.79)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30.45 (7.55)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insulin (uIU/ml) = 20.86 (SE = 1.13), Fasting glucose:insulin ratio = 4.24 (SE = 0.18), HOMA = 25.27 (SE = 1.41), QUICKI = 0.31 (SE = 0)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26.33 (6.44)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23.35 (5.89)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body18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Koika et al., (2009)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Association of the Pro12Ala polymorphism in peroxisome proliferator-activated receptor gamma2 with decreased basic metabolic rate in women with polycystic ovary syndrome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156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22.82 (4.99)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25.62 (6.44)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insulin (uIU/ml) = 9.88 (SD = 5.88), Fasting glucose:insulin ratio = 11.85 (SD = 12.06), HOMA-IR = 2.32 (SD = 2.45), QUICKI = 0.357 (SD = 0.044)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22.91 (1.5)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21.19 (2.5)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Pulmolab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EX505 (Morgan Medical, Kent, U.K.)</w:t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Graff et al., (2013)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Dietary glycemic index is associated with less favorable anthropometric and metabolic profiles in polycystic ovary syndrome women with different phenotypes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22.7 (6.2)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28.9 (5.6)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- 87.6%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5519 (IQR = 3658-7002)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86.8 (SD = 91), Fasting insulin (uU/mL, median) = 16.7 (IQR = 9.8-21.2), HOMA-IR (median) = 3.5 (IQR = 2.1-4.7)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 (5.6)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(5.7)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- 87.6%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5811 (IQR = 4339-7267)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87 (SD = 7.5), Fasting insulin (uU/mL, median) = 9.9 (IQR = 6.8-12.5), HOMA-IR (median) = 2.1 (IQR = 1.4-2.8)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Pohlmeier er al., (2014)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Effect of a low-starch/low-dairy diet on fat oxidation in overweight and obese women with polycystic ovary syndrome.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29.6 (4.6)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105.4 (14.5)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165.46*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38.5 (4.2)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52.4 (14.8)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52.3 (10.7)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= 6, Hispanic = 3, Native American =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level (ratio of TDEE/RMR) = 1.65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91.6 (SD = 9.4), Fasting insulin (ug/mL) = 35.3 (SD = 7), Glucose at 2 hours (mg/dL) = 131.7 (SD = 45.2), Insulin at 2 hours (ug/mL) = 271.6 (SD =285), HbA1c (%) = 5.5 (SD = 0.4)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ParvoMedics TrueOne 2400 Canopy System (ParvoMedics, Sandy, Utah, USA).</w:t>
            </w:r>
          </w:p>
        </w:tc>
      </w:tr>
      <w:tr>
        <w:trPr>
          <w:trHeight w:val="360" w:hRule="auto"/>
        </w:trPr>
        body23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Doh et al., (2016)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The Relationship between Adiposity and Insulin Sensitivity in African Women Living with the Polycystic Ovarian Syndrome: A Clamp Study.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 (5.19)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34.1 (3.56)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41.2 (12.45)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56.3 (4.97)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- 50%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(mg/kg/min, median) = 6.6 (IQR = 5.5-7.3)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 (3.71)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26.4 (2.97)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23.3 (6.89)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47.4 (5.56)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- 87.5%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-(mg/kg/min, median) = 9.1 (IQR  7.7-10)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 (0.74)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22.5 (3.63)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17.1 (7.56)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45.9 (6.67)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- 80%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(mg/kg/min, median) = 11.9 (IQR = 9.4-14.5)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360" w:hRule="auto"/>
        </w:trPr>
        body26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Larsson et al., (2016)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Dietary intake, resting energy expenditure, and eating behavior in women with and without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Modified 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72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30.2 (4.4)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79.6 (20.3)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167.12*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28.5 (7.2)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Deltatrack II Metabolic Monitor ventilated hood system (Datex, Helsinki, Finland).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27.8 (3.6)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70.9 (17.1)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169.77*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24.6 (5)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Deltatrack II Metabolic Monitor ventilated hood system (Datex, Helsinki, Finland).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Graff et al., (2017)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Saturated Fat Intake Is Related to Heart Rate Variability in Women with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23.5 (6.3)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29.4 (6.4)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- 92.9%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5821 (IQR = 3821-7664)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87.4 (SD = 8.4), Glucose at 2 hours (mg/dL) = 103.6 (SD = 31.5), HOMA-IR (median) = 3.4 (IQR = 1.8-4.7)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26.2 (6.5)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27.2 (5.8)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- 88.9%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6002 (IQR = 4375-7427)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86.8 (SD = 7.9), Glucose at 2 hours (mg/dL) = 97 (SD = 20.9), HOMA-IR (median) = 2.1 (IQR = 1.5-2.8)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Rodriques et al., (2017)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Low validity of predictive equations for calculating resting energy expenditure in overweight and obese women with polycystic ovary syndrome.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30.8 (5.4)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85.3 (13.1)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161.76*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32.6 (3.7)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"Physical activity level was assessed using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criteria established by the Institute of Medicine" 66.7% classified sedentary, 33.3% classified as low activity 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Meta-CheckTM metabolic rate analysis system (model 7100; Korr Medical Technologies, Salt Lake City, UT, USA)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Broskey et al., (2017)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Assessing Energy Requirements in Women With Polycystic Ovary Syndrome: A Comparison Against Doubly Labeled Water.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1990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National Institutes of Health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28.6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104.1 (19.3)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161.52*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39.9 (8.3)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51.6 (15.4)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52.5 (7.5)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- 50%, African American - 50%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level (ratio of TDEE/RMR) = 1.6 (SD =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(md/dL) = 89.9 (SD = 6.9), Fasting insulin (uU/mL) = 18.8 (SD = 10.6), HOMA-IR = 4.3 (SD = 2.7)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Doubly Labelled Water: Oral dose (1.0 g/kg bodyweight) of amixture that contained 1 part deuterium (2H 99.9% enriched) and 19 parts Oxygen-18 (18O10% enriched), followed by 100 mL of tap water used to rinse the dose container.</w:t>
            </w:r>
          </w:p>
        </w:tc>
      </w:tr>
      <w:tr>
        <w:trPr>
          <w:trHeight w:val="360" w:hRule="auto"/>
        </w:trPr>
        body32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Tosi et al., (2024)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energy expenditure in women with polycystic ovary syndrome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23.3 (5.2)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28.3 (7.4)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(14.4)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49 (7.7)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(mg/kg_FFM x min) = 9.8 (SD = 3.7), 72.5% classified as IR based on cut off value of 11.76, Fasting glucose (mg/dL) = 85.3 (SD = 9.5), Fasting insulin (mU/L) = 16.2 (SD = 12.6)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RMR instrument (Cosmed, Cernusco sul Naviglio, Italy) equipped with a ventilated hood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25.2 (3.6)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20.5 (2)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13.6 (5.4)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42.8 (4.6)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(mg/dL) = 83.4 (SD = 5.9), Fasting insulin (mU/L) = 7 (SD = 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RMR instrument (Cosmed, Cernusco sul Naviglio, Italy) equipped with a ventilated hood</w:t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PCOS = polycystic ovary syndrome; BMI = body mass index; OGTT = oral glucose tolerance test; HOMA-IR = homeostatic model assessment of insulin resistance</w:t>
            </w:r>
          </w:p>
        </w:tc>
      </w:tr>
      <w:tr>
        <w:trPr>
          <w:trHeight w:val="360" w:hRule="auto"/>
        </w:trPr>
        footer 2
        <w:tc>
          <w:tcPr>
            <w:gridSpan w:val="1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Values are Mean (SD) unless otherwise specified; note, some have been calculated/estimated from corresponding standard error, range, iqr, median, and sample size (see data and code)</w:t>
            </w:r>
          </w:p>
        </w:tc>
      </w:tr>
      <w:tr>
        <w:trPr>
          <w:trHeight w:val="360" w:hRule="auto"/>
        </w:trPr>
        footer 3
        <w:tc>
          <w:tcPr>
            <w:gridSpan w:val="1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†*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Indicates that this mean was estimated from the corresponding means for body mass/height/BMI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2025-10-25T15:49:54Z</dcterms:modified>
  <cp:category/>
</cp:coreProperties>
</file>