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2"/>
      </w:pPr>
      <w:r>
        <w:t xml:space="preserve">1 Statistical Analysis</w:t>
      </w:r>
    </w:p>
    <w:p>
      <w:pPr>
        <w:pStyle w:val="FirstParagraph"/>
      </w:pPr>
      <w:r>
        <w:t xml:space="preserve">The present analysis was not pre-registered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w:t>
      </w:r>
    </w:p>
    <w:p>
      <w:pPr>
        <w:pStyle w:val="BodyText"/>
      </w:pPr>
      <w:r>
        <w:t xml:space="preserve">All analysis examples were performed in R (version 4.2.3, The R Foundation for Statistical Computing, 2023) and all data and code utilized is presented in the supplementary materials (https://osf.io/32758/). The dependent variable in our model was the perception of assistance provided which we transformed to the</w:t>
      </w:r>
      <w:r>
        <w:t xml:space="preserve"> </w:t>
      </w:r>
      <m:oMath>
        <m:d>
          <m:dPr>
            <m:begChr m:val="("/>
            <m:endChr m:val=")"/>
            <m:sepChr m:val=""/>
            <m:grow/>
          </m:dPr>
          <m:e>
            <m:r>
              <m:t>0</m:t>
            </m:r>
            <m:r>
              <m:rPr>
                <m:sty m:val="p"/>
              </m:rPr>
              <m:t>,</m:t>
            </m:r>
            <m:r>
              <m:t>1</m:t>
            </m:r>
          </m:e>
        </m:d>
      </m:oMath>
      <w:r>
        <w:t xml:space="preserve"> </w:t>
      </w:r>
      <w:r>
        <w:t xml:space="preserve">interval. As such we utilised beta regression for our model fit using the</w:t>
      </w:r>
      <w:r>
        <w:t xml:space="preserve"> </w:t>
      </w:r>
      <w:r>
        <w:rPr>
          <w:bCs/>
          <w:b/>
        </w:rPr>
        <w:t xml:space="preserve">brms</w:t>
      </w:r>
      <w:r>
        <w:t xml:space="preserve"> </w:t>
      </w:r>
      <w:r>
        <w:t xml:space="preserve">package [????]. Fixed effects for the actual assistance provided by the spotter (as a percentage of the load lifted by the trainee), the role of the participant at for this observation (either the trainee or the spotter), the forced repetition number (either the first or the second repetition), and each of their two way interactions (i.e., actual assistance:role, actual assistance:force repetition, role:forced repetition) were included. We also a maximal random effect structure including random intercepts for participant and all of the aforementioned effects including interactions as random slopes. Given the novel study design and subject matter we did not have a clear intuition or informed opinion about what prior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The models all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(see ????), and the posterior predictive checks appeared appropriate (see ????). Model results were visualised by taking draws from the expected posterior distribution (n=4000) and taking the mean of these draws along with the 95% quantile (credible) interval for the fixed effects paramaters, thus providing the overall grand mean effects. All data visualisations were made using</w:t>
      </w:r>
      <w:r>
        <w:t xml:space="preserve"> </w:t>
      </w:r>
      <w:r>
        <w:rPr>
          <w:bCs/>
          <w:b/>
        </w:rPr>
        <w:t xml:space="preserve">ggplot2</w:t>
      </w:r>
      <w:r>
        <w:t xml:space="preserve"> </w:t>
      </w:r>
      <w:r>
        <w:t xml:space="preserve">(Wickham et al., 2022)</w:t>
      </w:r>
      <w:r>
        <w:t xml:space="preserve"> </w:t>
      </w:r>
      <w:r>
        <w:t xml:space="preserve">and the</w:t>
      </w:r>
      <w:r>
        <w:t xml:space="preserve"> </w:t>
      </w:r>
      <w:r>
        <w:rPr>
          <w:bCs/>
          <w:b/>
        </w:rPr>
        <w:t xml:space="preserve">tidybayes</w:t>
      </w:r>
      <w:r>
        <w:t xml:space="preserve"> </w:t>
      </w:r>
      <w:r>
        <w:t xml:space="preserve">package</w:t>
      </w:r>
      <w:r>
        <w:t xml:space="preserve"> </w:t>
      </w:r>
      <w:r>
        <w:t xml:space="preserve">(Kay &amp; Mastny, 2022)</w:t>
      </w:r>
      <w:r>
        <w:t xml:space="preserve">. For interpretation of model estimates and visualisation we rescaled the expected posterior distribution of the</w:t>
      </w:r>
      <w:r>
        <w:t xml:space="preserve"> </w:t>
      </w:r>
      <m:oMath>
        <m:d>
          <m:dPr>
            <m:begChr m:val="("/>
            <m:endChr m:val=")"/>
            <m:sepChr m:val=""/>
            <m:grow/>
          </m:dPr>
          <m:e>
            <m:r>
              <m:t>0</m:t>
            </m:r>
            <m:r>
              <m:rPr>
                <m:sty m:val="p"/>
              </m:rPr>
              <m:t>,</m:t>
            </m:r>
            <m:r>
              <m:t>1</m:t>
            </m:r>
          </m:e>
        </m:d>
      </m:oMath>
      <w:r>
        <w:t xml:space="preserve"> </w:t>
      </w:r>
      <w:r>
        <w:t xml:space="preserve">interval back to the $(0,100)$ percentage scale, and also converted the beta regression coefficients using the inverse logistic function to aid interpretation.</w:t>
      </w:r>
    </w:p>
    <w:bookmarkEnd w:id="20"/>
    <w:bookmarkStart w:id="39" w:name="results"/>
    <w:p>
      <w:pPr>
        <w:pStyle w:val="Heading2"/>
      </w:pPr>
      <w:r>
        <w:t xml:space="preserve">2 Results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2" name="Picture"/>
                  <a:graphic>
                    <a:graphicData uri="http://schemas.openxmlformats.org/drawingml/2006/picture">
                      <pic:pic>
                        <pic:nvPicPr>
                          <pic:cNvPr descr="plots/individual_data_plot.tiff"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data plot.</w:t>
            </w:r>
          </w:p>
        </w:tc>
      </w:tr>
    </w:tbl>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Start w:id="38" w:name="refs"/>
    <w:bookmarkStart w:id="25"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4">
        <w:r>
          <w:rPr>
            <w:rStyle w:val="Hyperlink"/>
          </w:rPr>
          <w:t xml:space="preserve">https://doi.org/10.1038/d41586-019-00857-9</w:t>
        </w:r>
      </w:hyperlink>
    </w:p>
    <w:bookmarkEnd w:id="25"/>
    <w:bookmarkStart w:id="27"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6">
        <w:r>
          <w:rPr>
            <w:rStyle w:val="Hyperlink"/>
          </w:rPr>
          <w:t xml:space="preserve">https://doi.org/10.1080/00031305.2018.1543137</w:t>
        </w:r>
      </w:hyperlink>
    </w:p>
    <w:bookmarkEnd w:id="27"/>
    <w:bookmarkStart w:id="29"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28">
        <w:r>
          <w:rPr>
            <w:rStyle w:val="Hyperlink"/>
          </w:rPr>
          <w:t xml:space="preserve">https://doi.org/10.1177/0956797613504966</w:t>
        </w:r>
      </w:hyperlink>
    </w:p>
    <w:bookmarkEnd w:id="29"/>
    <w:bookmarkStart w:id="31"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0">
        <w:r>
          <w:rPr>
            <w:rStyle w:val="Hyperlink"/>
          </w:rPr>
          <w:t xml:space="preserve">https://CRAN.R-project.org/package=tidybayes</w:t>
        </w:r>
      </w:hyperlink>
    </w:p>
    <w:bookmarkEnd w:id="31"/>
    <w:bookmarkStart w:id="33"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32">
        <w:r>
          <w:rPr>
            <w:rStyle w:val="Hyperlink"/>
          </w:rPr>
          <w:t xml:space="preserve">https://doi.org/10.3758/s13423-016-1221-4</w:t>
        </w:r>
      </w:hyperlink>
    </w:p>
    <w:bookmarkEnd w:id="33"/>
    <w:bookmarkStart w:id="35"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34">
        <w:r>
          <w:rPr>
            <w:rStyle w:val="Hyperlink"/>
          </w:rPr>
          <w:t xml:space="preserve">https://doi.org/10.1080/00031305.2018.1527253</w:t>
        </w:r>
      </w:hyperlink>
    </w:p>
    <w:bookmarkEnd w:id="35"/>
    <w:bookmarkStart w:id="37"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36">
        <w:r>
          <w:rPr>
            <w:rStyle w:val="Hyperlink"/>
          </w:rPr>
          <w:t xml:space="preserve">https://CRAN.R-project.org/package=ggplot2</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tiff" /><Relationship Type="http://schemas.openxmlformats.org/officeDocument/2006/relationships/hyperlink" Id="rId36" Target="https://CRAN.R-project.org/package=ggplot2" TargetMode="External" /><Relationship Type="http://schemas.openxmlformats.org/officeDocument/2006/relationships/hyperlink" Id="rId30" Target="https://CRAN.R-project.org/package=tidybayes" TargetMode="External" /><Relationship Type="http://schemas.openxmlformats.org/officeDocument/2006/relationships/hyperlink" Id="rId24" Target="https://doi.org/10.1038/d41586-019-00857-9" TargetMode="External" /><Relationship Type="http://schemas.openxmlformats.org/officeDocument/2006/relationships/hyperlink" Id="rId34" Target="https://doi.org/10.1080/00031305.2018.1527253" TargetMode="External" /><Relationship Type="http://schemas.openxmlformats.org/officeDocument/2006/relationships/hyperlink" Id="rId26" Target="https://doi.org/10.1080/00031305.2018.1543137" TargetMode="External" /><Relationship Type="http://schemas.openxmlformats.org/officeDocument/2006/relationships/hyperlink" Id="rId28" Target="https://doi.org/10.1177/0956797613504966" TargetMode="External" /><Relationship Type="http://schemas.openxmlformats.org/officeDocument/2006/relationships/hyperlink" Id="rId32"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ggplot2" TargetMode="External" /><Relationship Type="http://schemas.openxmlformats.org/officeDocument/2006/relationships/hyperlink" Id="rId30" Target="https://CRAN.R-project.org/package=tidybayes" TargetMode="External" /><Relationship Type="http://schemas.openxmlformats.org/officeDocument/2006/relationships/hyperlink" Id="rId24" Target="https://doi.org/10.1038/d41586-019-00857-9" TargetMode="External" /><Relationship Type="http://schemas.openxmlformats.org/officeDocument/2006/relationships/hyperlink" Id="rId34" Target="https://doi.org/10.1080/00031305.2018.1527253" TargetMode="External" /><Relationship Type="http://schemas.openxmlformats.org/officeDocument/2006/relationships/hyperlink" Id="rId26" Target="https://doi.org/10.1080/00031305.2018.1543137" TargetMode="External" /><Relationship Type="http://schemas.openxmlformats.org/officeDocument/2006/relationships/hyperlink" Id="rId28" Target="https://doi.org/10.1177/0956797613504966" TargetMode="External" /><Relationship Type="http://schemas.openxmlformats.org/officeDocument/2006/relationships/hyperlink" Id="rId32"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2023-07-27T18:25:34Z</dcterms:created>
  <dcterms:modified xsi:type="dcterms:W3CDTF">2023-07-27T18:25:34Z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