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r>
        <w:t xml:space="preserve"> </w:t>
      </w:r>
      <w:r>
        <w:t xml:space="preserve">and</w:t>
      </w:r>
      <w:r>
        <w:t xml:space="preserve"> </w:t>
      </w:r>
      <w:r>
        <w:t xml:space="preserve">Results</w:t>
      </w:r>
    </w:p>
    <w:bookmarkStart w:id="20" w:name="statistical-analysis"/>
    <w:p>
      <w:pPr>
        <w:pStyle w:val="Heading1"/>
      </w:pPr>
      <w:r>
        <w:t xml:space="preserve">1. Statistical Analysis</w:t>
      </w:r>
    </w:p>
    <w:p>
      <w:pPr>
        <w:pStyle w:val="FirstParagraph"/>
      </w:pPr>
      <w:r>
        <w:t xml:space="preserve">The present analysis was not pre-registered as we had no a priori hypotheses and thus, given the pilot nature of this study, was considered exploratory. Inferential statistics were treated as highly unstable local descriptions of the relations between model assumptions and data in order to acknowledge the inherent uncertainty in drawing generalised inferences from single and small samples</w:t>
      </w:r>
      <w:r>
        <w:t xml:space="preserve"> </w:t>
      </w:r>
      <w:r>
        <w:t xml:space="preserve">(Amrhein, Trafimow, et al., 2019)</w:t>
      </w:r>
      <w:r>
        <w:t xml:space="preserve">. For all analyses we opted to avoid dichotomising the existence of effects and therefore did not employ traditional null hypothesis significance testing on parameter estimates</w:t>
      </w:r>
      <w:r>
        <w:t xml:space="preserve"> </w:t>
      </w:r>
      <w:r>
        <w:t xml:space="preserve">(Amrhein, Greenland, et al., 2019; McShane et al., 2019)</w:t>
      </w:r>
      <w:r>
        <w:t xml:space="preserve">. Instead, we opted to take an estimation-based approach instead</w:t>
      </w:r>
      <w:r>
        <w:t xml:space="preserve"> </w:t>
      </w:r>
      <w:r>
        <w:t xml:space="preserve">(Cumming, 2014)</w:t>
      </w:r>
      <w:r>
        <w:t xml:space="preserve">. For all analyses model parameter estimates and their precision, along with conclusions based upon them, were interpreted continuously and probabilistically, considering data quality, plausibility of effect, and previous literature, all within the context of each model. We focused primarily on qualitative examination of our results based on visualization of the data and models for fixed effects, and exploration of variances using random effects and visualising individual participant level model predictions.</w:t>
      </w:r>
    </w:p>
    <w:p>
      <w:pPr>
        <w:pStyle w:val="BodyText"/>
      </w:pPr>
      <w:r>
        <w:t xml:space="preserve">All analysis was performed in R (version 4.2.2, The R Foundation for Statistical Computing, 2022) and all data and code is presented in the supplementary materials (https://osf.io/kf9r3/). The aim of our analysis was to explore how well the Zelemiq sensor device predicted blood lactate levels as measured from capillary samples by the Biosen C-Line. The dependent variable in our model was therefore the blood lactate levels, and the independent predictor variable was the Zelemiq sensor data. A rolling mean was calculated for the Zelemiq data using a 10 sample window prior to the corresponding blood lactate values at that time point. A linear mixed effect model was estimated</w:t>
      </w:r>
      <w:r>
        <w:t xml:space="preserve"> </w:t>
      </w:r>
      <w:r>
        <w:t xml:space="preserve">(Bates et al., 2023)</w:t>
      </w:r>
      <w:r>
        <w:t xml:space="preserve"> </w:t>
      </w:r>
      <w:r>
        <w:t xml:space="preserve">using Restricted Maximal Likelihood with the Zelemiq sensor data as a fixed effect, and allowing random intercepts and slopes by participant id. The model equation was as follows:</w:t>
      </w:r>
    </w:p>
    <w:p>
      <w:pPr>
        <w:pStyle w:val="BodyText"/>
      </w:pPr>
      <m:oMathPara>
        <m:oMathParaPr>
          <m:jc m:val="center"/>
        </m:oMathParaPr>
        <m:oMath>
          <m:m>
            <m:mPr>
              <m:baseJc m:val="center"/>
              <m:plcHide m:val="1"/>
              <m:mcs>
                <m:mc>
                  <m:mcPr>
                    <m:mcJc m:val="right"/>
                    <m:count m:val="1"/>
                  </m:mcPr>
                </m:mc>
                <m:mc>
                  <m:mcPr>
                    <m:mcJc m:val="left"/>
                    <m:count m:val="1"/>
                  </m:mcPr>
                </m:mc>
              </m:mcs>
            </m:mPr>
            <m:mr>
              <m:e>
                <m:sSub>
                  <m:e>
                    <m:r>
                      <m:rPr>
                        <m:sty m:val="p"/>
                      </m:rPr>
                      <m:t>Lactate</m:t>
                    </m:r>
                  </m:e>
                  <m:sub>
                    <m:r>
                      <m:t>i</m:t>
                    </m:r>
                  </m:sub>
                </m:sSub>
              </m:e>
              <m:e>
                <m:r>
                  <m:rPr>
                    <m:sty m:val="p"/>
                  </m:rPr>
                  <m:t>∼</m:t>
                </m:r>
                <m:r>
                  <m:t>N</m:t>
                </m:r>
                <m:d>
                  <m:dPr>
                    <m:begChr m:val="("/>
                    <m:endChr m:val=")"/>
                    <m:sepChr m:val=""/>
                    <m:grow/>
                  </m:dPr>
                  <m:e>
                    <m:sSub>
                      <m:e>
                        <m:r>
                          <m:t>α</m:t>
                        </m:r>
                      </m:e>
                      <m:sub>
                        <m:r>
                          <m:t>j</m:t>
                        </m:r>
                        <m:d>
                          <m:dPr>
                            <m:begChr m:val="["/>
                            <m:endChr m:val="]"/>
                            <m:sepChr m:val=""/>
                            <m:grow/>
                          </m:dPr>
                          <m:e>
                            <m:r>
                              <m:t>i</m:t>
                            </m:r>
                          </m:e>
                        </m:d>
                      </m:sub>
                    </m:sSub>
                    <m:r>
                      <m:rPr>
                        <m:sty m:val="p"/>
                      </m:rPr>
                      <m:t>+</m:t>
                    </m:r>
                    <m:sSub>
                      <m:e>
                        <m:r>
                          <m:t>β</m:t>
                        </m:r>
                      </m:e>
                      <m:sub>
                        <m:r>
                          <m:t>1</m:t>
                        </m:r>
                        <m:r>
                          <m:t>j</m:t>
                        </m:r>
                        <m:d>
                          <m:dPr>
                            <m:begChr m:val="["/>
                            <m:endChr m:val="]"/>
                            <m:sepChr m:val=""/>
                            <m:grow/>
                          </m:dPr>
                          <m:e>
                            <m:r>
                              <m:t>i</m:t>
                            </m:r>
                          </m:e>
                        </m:d>
                      </m:sub>
                    </m:sSub>
                    <m:d>
                      <m:dPr>
                        <m:begChr m:val="("/>
                        <m:endChr m:val=")"/>
                        <m:sepChr m:val=""/>
                        <m:grow/>
                      </m:dPr>
                      <m:e>
                        <m:r>
                          <m:rPr>
                            <m:sty m:val="p"/>
                          </m:rPr>
                          <m:t>Zelemiq</m:t>
                        </m:r>
                      </m:e>
                    </m:d>
                    <m:r>
                      <m:rPr>
                        <m:sty m:val="p"/>
                      </m:rPr>
                      <m:t>,</m:t>
                    </m:r>
                    <m:sSup>
                      <m:e>
                        <m:r>
                          <m:t>σ</m:t>
                        </m:r>
                      </m:e>
                      <m:sup>
                        <m:r>
                          <m:t>2</m:t>
                        </m:r>
                      </m:sup>
                    </m:sSup>
                  </m:e>
                </m:d>
              </m:e>
            </m:mr>
            <m:mr>
              <m:e>
                <m:d>
                  <m:dPr>
                    <m:begChr m:val="("/>
                    <m:endChr m:val=")"/>
                    <m:sepChr m:val=""/>
                    <m:grow/>
                  </m:dPr>
                  <m:e>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sSub>
                                  <m:e>
                                    <m:r>
                                      <m:t>α</m:t>
                                    </m:r>
                                  </m:e>
                                  <m:sub>
                                    <m:r>
                                      <m:t>j</m:t>
                                    </m:r>
                                  </m:sub>
                                </m:sSub>
                              </m:e>
                            </m:mr>
                            <m:mr>
                              <m:e/>
                              <m:e>
                                <m:sSub>
                                  <m:e>
                                    <m:r>
                                      <m:t>β</m:t>
                                    </m:r>
                                  </m:e>
                                  <m:sub>
                                    <m:r>
                                      <m:t>1</m:t>
                                    </m:r>
                                    <m:r>
                                      <m:t>j</m:t>
                                    </m:r>
                                  </m:sub>
                                </m:sSub>
                              </m:e>
                            </m:mr>
                          </m:m>
                        </m:e>
                      </m:mr>
                    </m:m>
                  </m:e>
                </m:d>
              </m:e>
              <m:e>
                <m:r>
                  <m:rPr>
                    <m:sty m:val="p"/>
                  </m:rPr>
                  <m:t>∼</m:t>
                </m:r>
                <m:r>
                  <m:t>N</m:t>
                </m:r>
                <m:d>
                  <m:dPr>
                    <m:begChr m:val="("/>
                    <m:endChr m:val=")"/>
                    <m:sepChr m:val=""/>
                    <m:grow/>
                  </m:dPr>
                  <m:e>
                    <m:d>
                      <m:dPr>
                        <m:begChr m:val="("/>
                        <m:endChr m:val=")"/>
                        <m:sepChr m:val=""/>
                        <m:grow/>
                      </m:dPr>
                      <m:e>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sSub>
                                      <m:e>
                                        <m:r>
                                          <m:t>μ</m:t>
                                        </m:r>
                                      </m:e>
                                      <m:sub>
                                        <m:sSub>
                                          <m:e>
                                            <m:r>
                                              <m:t>α</m:t>
                                            </m:r>
                                          </m:e>
                                          <m:sub>
                                            <m:r>
                                              <m:t>j</m:t>
                                            </m:r>
                                          </m:sub>
                                        </m:sSub>
                                      </m:sub>
                                    </m:sSub>
                                  </m:e>
                                </m:mr>
                                <m:mr>
                                  <m:e/>
                                  <m:e>
                                    <m:sSub>
                                      <m:e>
                                        <m:r>
                                          <m:t>μ</m:t>
                                        </m:r>
                                      </m:e>
                                      <m:sub>
                                        <m:sSub>
                                          <m:e>
                                            <m:r>
                                              <m:t>β</m:t>
                                            </m:r>
                                          </m:e>
                                          <m:sub>
                                            <m:r>
                                              <m:t>1</m:t>
                                            </m:r>
                                            <m:r>
                                              <m:t>j</m:t>
                                            </m:r>
                                          </m:sub>
                                        </m:sSub>
                                      </m:sub>
                                    </m:sSub>
                                  </m:e>
                                </m:mr>
                              </m:m>
                            </m:e>
                          </m:mr>
                        </m:m>
                      </m:e>
                    </m:d>
                    <m:r>
                      <m:rPr>
                        <m:sty m:val="p"/>
                      </m:rPr>
                      <m:t>,</m:t>
                    </m:r>
                    <m:d>
                      <m:dPr>
                        <m:begChr m:val="("/>
                        <m:endChr m:val=")"/>
                        <m:sepChr m:val=""/>
                        <m:grow/>
                      </m:dPr>
                      <m:e>
                        <m:m>
                          <m:mPr>
                            <m:baseJc m:val="center"/>
                            <m:plcHide m:val="1"/>
                            <m:mcs>
                              <m:mc>
                                <m:mcPr>
                                  <m:mcJc m:val="center"/>
                                  <m:count m:val="1"/>
                                </m:mcPr>
                              </m:mc>
                              <m:mc>
                                <m:mcPr>
                                  <m:mcJc m:val="center"/>
                                  <m:count m:val="1"/>
                                </m:mcPr>
                              </m:mc>
                            </m:mcs>
                          </m:mPr>
                          <m:mr>
                            <m:e>
                              <m:sSubSup>
                                <m:e>
                                  <m:r>
                                    <m:t>σ</m:t>
                                  </m:r>
                                </m:e>
                                <m:sub>
                                  <m:sSub>
                                    <m:e>
                                      <m:r>
                                        <m:t>α</m:t>
                                      </m:r>
                                    </m:e>
                                    <m:sub>
                                      <m:r>
                                        <m:t>j</m:t>
                                      </m:r>
                                    </m:sub>
                                  </m:sSub>
                                </m:sub>
                                <m:sup>
                                  <m:r>
                                    <m:t>2</m:t>
                                  </m:r>
                                </m:sup>
                              </m:sSubSup>
                            </m:e>
                            <m:e>
                              <m:sSub>
                                <m:e>
                                  <m:r>
                                    <m:t>ρ</m:t>
                                  </m:r>
                                </m:e>
                                <m:sub>
                                  <m:sSub>
                                    <m:e>
                                      <m:r>
                                        <m:t>α</m:t>
                                      </m:r>
                                    </m:e>
                                    <m:sub>
                                      <m:r>
                                        <m:t>j</m:t>
                                      </m:r>
                                    </m:sub>
                                  </m:sSub>
                                  <m:sSub>
                                    <m:e>
                                      <m:r>
                                        <m:t>β</m:t>
                                      </m:r>
                                    </m:e>
                                    <m:sub>
                                      <m:r>
                                        <m:t>1</m:t>
                                      </m:r>
                                      <m:r>
                                        <m:t>j</m:t>
                                      </m:r>
                                    </m:sub>
                                  </m:sSub>
                                </m:sub>
                              </m:sSub>
                            </m:e>
                          </m:mr>
                          <m:mr>
                            <m:e>
                              <m:sSub>
                                <m:e>
                                  <m:r>
                                    <m:t>ρ</m:t>
                                  </m:r>
                                </m:e>
                                <m:sub>
                                  <m:sSub>
                                    <m:e>
                                      <m:r>
                                        <m:t>β</m:t>
                                      </m:r>
                                    </m:e>
                                    <m:sub>
                                      <m:r>
                                        <m:t>1</m:t>
                                      </m:r>
                                      <m:r>
                                        <m:t>j</m:t>
                                      </m:r>
                                    </m:sub>
                                  </m:sSub>
                                  <m:sSub>
                                    <m:e>
                                      <m:r>
                                        <m:t>α</m:t>
                                      </m:r>
                                    </m:e>
                                    <m:sub>
                                      <m:r>
                                        <m:t>j</m:t>
                                      </m:r>
                                    </m:sub>
                                  </m:sSub>
                                </m:sub>
                              </m:sSub>
                            </m:e>
                            <m:e>
                              <m:sSubSup>
                                <m:e>
                                  <m:r>
                                    <m:t>σ</m:t>
                                  </m:r>
                                </m:e>
                                <m:sub>
                                  <m:sSub>
                                    <m:e>
                                      <m:r>
                                        <m:t>β</m:t>
                                      </m:r>
                                    </m:e>
                                    <m:sub>
                                      <m:r>
                                        <m:t>1</m:t>
                                      </m:r>
                                      <m:r>
                                        <m:t>j</m:t>
                                      </m:r>
                                    </m:sub>
                                  </m:sSub>
                                </m:sub>
                                <m:sup>
                                  <m:r>
                                    <m:t>2</m:t>
                                  </m:r>
                                </m:sup>
                              </m:sSubSup>
                            </m:e>
                          </m:mr>
                        </m:m>
                      </m:e>
                    </m:d>
                  </m:e>
                </m:d>
                <m:r>
                  <m:rPr>
                    <m:nor/>
                    <m:sty m:val="p"/>
                  </m:rPr>
                  <m:t>, for id j = 1,</m:t>
                </m:r>
                <m:r>
                  <m:rPr>
                    <m:sty m:val="p"/>
                  </m:rPr>
                  <m:t>…</m:t>
                </m:r>
                <m:r>
                  <m:rPr>
                    <m:nor/>
                    <m:sty m:val="p"/>
                  </m:rPr>
                  <m:t>,J</m:t>
                </m:r>
              </m:e>
            </m:mr>
          </m:m>
        </m:oMath>
      </m:oMathPara>
    </w:p>
    <w:p>
      <w:pPr>
        <w:pStyle w:val="FirstParagraph"/>
      </w:pPr>
      <w:r>
        <w:t xml:space="preserve">We initially fit the model based on the unadjusted averaged Zelemiq sensor data. However, it was clear from this initial model that the model was a poor fit to the data (see posterior predictive check here: https://osf.io/98ey6) likely resulting from the considerable variance in the intercepts between participants due to very different baseline Zelemiq sensor values (see model and individual predictions here: https://osf.io/j26ea). As such, we re-centered within each individual participant based upon their baseline average Zelemiq sensor value (i.e., within each participant</w:t>
      </w:r>
      <w:r>
        <w:t xml:space="preserve"> </w:t>
      </w:r>
      <m:oMath>
        <m:r>
          <m:t>Z</m:t>
        </m:r>
        <m:r>
          <m:t>e</m:t>
        </m:r>
        <m:r>
          <m:t>l</m:t>
        </m:r>
        <m:r>
          <m:t>e</m:t>
        </m:r>
        <m:r>
          <m:t>m</m:t>
        </m:r>
        <m:r>
          <m:t>i</m:t>
        </m:r>
        <m:sSub>
          <m:e>
            <m:r>
              <m:t>q</m:t>
            </m:r>
          </m:e>
          <m:sub>
            <m:r>
              <m:t>z</m:t>
            </m:r>
          </m:sub>
        </m:sSub>
        <m:r>
          <m:rPr>
            <m:sty m:val="p"/>
          </m:rPr>
          <m:t>−</m:t>
        </m:r>
        <m:r>
          <m:t>Z</m:t>
        </m:r>
        <m:r>
          <m:t>e</m:t>
        </m:r>
        <m:r>
          <m:t>l</m:t>
        </m:r>
        <m:r>
          <m:t>e</m:t>
        </m:r>
        <m:r>
          <m:t>m</m:t>
        </m:r>
        <m:r>
          <m:t>i</m:t>
        </m:r>
        <m:sSub>
          <m:e>
            <m:r>
              <m:t>q</m:t>
            </m:r>
          </m:e>
          <m:sub>
            <m:r>
              <m:t>1</m:t>
            </m:r>
          </m:sub>
        </m:sSub>
        <m:r>
          <m:rPr>
            <m:nor/>
            <m:sty m:val="p"/>
          </m:rPr>
          <m:t>, for Zelemiq z = 1,</m:t>
        </m:r>
        <m:r>
          <m:rPr>
            <m:sty m:val="p"/>
          </m:rPr>
          <m:t>…</m:t>
        </m:r>
        <m:r>
          <m:rPr>
            <m:nor/>
            <m:sty m:val="p"/>
          </m:rPr>
          <m:t>,Z</m:t>
        </m:r>
      </m:oMath>
      <w:r>
        <w:t xml:space="preserve">). Comparison of the re-centred model with the original model based on Bayes factors calculated with approximate Bayesian Information Criterion</w:t>
      </w:r>
      <w:r>
        <w:t xml:space="preserve"> </w:t>
      </w:r>
      <w:r>
        <w:t xml:space="preserve">(Wagenmakers, 2007)</w:t>
      </w:r>
      <w:r>
        <w:t xml:space="preserve"> </w:t>
      </w:r>
      <w:r>
        <w:t xml:space="preserve">suggested there was very strong evidence supporting the re-centred model (</w:t>
      </w:r>
      <m:oMath>
        <m:r>
          <m:t>2</m:t>
        </m:r>
        <m:r>
          <m:rPr>
            <m:sty m:val="p"/>
          </m:rPr>
          <m:t>×</m:t>
        </m:r>
        <m:r>
          <m:t>l</m:t>
        </m:r>
        <m:r>
          <m:t>o</m:t>
        </m:r>
        <m:r>
          <m:t>g</m:t>
        </m:r>
        <m:r>
          <m:t>B</m:t>
        </m:r>
        <m:r>
          <m:t>F</m:t>
        </m:r>
        <m:r>
          <m:rPr>
            <m:sty m:val="p"/>
          </m:rPr>
          <m:t>=</m:t>
        </m:r>
      </m:oMath>
      <w:r>
        <w:t xml:space="preserve"> </w:t>
      </w:r>
      <w:r>
        <w:t xml:space="preserve">22.8;</w:t>
      </w:r>
      <w:r>
        <w:t xml:space="preserve"> </w:t>
      </w:r>
      <w:r>
        <w:t xml:space="preserve">Kass &amp; Raftery (1995)</w:t>
      </w:r>
      <w:r>
        <w:t xml:space="preserve">). Thus we proceeded with this model. The assumption checks for the re-centered model can be seen in the supplementary materials (see https://osf.io/kbzsa). Slope parameters for the Zelemiq, both fixed and random, are divided by 100 to aid interpretability such that they refer to the change in blood lactate for a 0.01 unit change in the Zelemiq sensor value. Profile confidence intervals (CI) were calculated for all model parameters at the 95% level. We examined adjusted and unadjusted intraclass correlation coefficient (ICC) and the marginal and conditional</w:t>
      </w:r>
      <w:r>
        <w:t xml:space="preserve"> </w:t>
      </w:r>
      <m:oMath>
        <m:sSup>
          <m:e>
            <m:r>
              <m:t>R</m:t>
            </m:r>
          </m:e>
          <m:sup>
            <m:r>
              <m:t>2</m:t>
            </m:r>
          </m:sup>
        </m:sSup>
      </m:oMath>
      <w:r>
        <w:t xml:space="preserve"> </w:t>
      </w:r>
      <w:r>
        <w:t xml:space="preserve">(Nakagawa et al., 2017)</w:t>
      </w:r>
      <w:r>
        <w:t xml:space="preserve">. Model predictions were visualised for both the conditional fixed effect, and at the individual participant level using the</w:t>
      </w:r>
      <w:r>
        <w:t xml:space="preserve"> </w:t>
      </w:r>
      <w:r>
        <w:rPr>
          <w:rStyle w:val="VerbatimChar"/>
        </w:rPr>
        <w:t xml:space="preserve">marginaleffects</w:t>
      </w:r>
      <w:r>
        <w:t xml:space="preserve"> </w:t>
      </w:r>
      <w:r>
        <w:t xml:space="preserve">package</w:t>
      </w:r>
      <w:r>
        <w:t xml:space="preserve"> </w:t>
      </w:r>
      <w:r>
        <w:t xml:space="preserve">(Arel-Bundock et al., 2022)</w:t>
      </w:r>
      <w:r>
        <w:t xml:space="preserve">. The raw Zelemiq sensor data (i.e., unaveraged) was also visualised alongside the blood lactate data. All data visualisations were made using</w:t>
      </w:r>
      <w:r>
        <w:t xml:space="preserve"> </w:t>
      </w:r>
      <w:r>
        <w:rPr>
          <w:rStyle w:val="VerbatimChar"/>
        </w:rPr>
        <w:t xml:space="preserve">ggplot2</w:t>
      </w:r>
      <w:r>
        <w:t xml:space="preserve"> </w:t>
      </w:r>
      <w:r>
        <w:t xml:space="preserve">(Wickham et al., 2022)</w:t>
      </w:r>
      <w:r>
        <w:t xml:space="preserve">, the</w:t>
      </w:r>
      <w:r>
        <w:t xml:space="preserve"> </w:t>
      </w:r>
      <w:r>
        <w:rPr>
          <w:rStyle w:val="VerbatimChar"/>
        </w:rPr>
        <w:t xml:space="preserve">tidybayes</w:t>
      </w:r>
      <w:r>
        <w:t xml:space="preserve"> </w:t>
      </w:r>
      <w:r>
        <w:t xml:space="preserve">package</w:t>
      </w:r>
      <w:r>
        <w:t xml:space="preserve"> </w:t>
      </w:r>
      <w:r>
        <w:t xml:space="preserve">(Kay &amp; Mastny, 2022)</w:t>
      </w:r>
      <w:r>
        <w:t xml:space="preserve">, and the</w:t>
      </w:r>
      <w:r>
        <w:t xml:space="preserve"> </w:t>
      </w:r>
      <w:r>
        <w:rPr>
          <w:rStyle w:val="VerbatimChar"/>
        </w:rPr>
        <w:t xml:space="preserve">patchwork</w:t>
      </w:r>
      <w:r>
        <w:t xml:space="preserve"> </w:t>
      </w:r>
      <w:r>
        <w:t xml:space="preserve">package</w:t>
      </w:r>
      <w:r>
        <w:t xml:space="preserve"> </w:t>
      </w:r>
      <w:r>
        <w:t xml:space="preserve">(Pedersen, 2022)</w:t>
      </w:r>
      <w:r>
        <w:t xml:space="preserve">.</w:t>
      </w:r>
    </w:p>
    <w:bookmarkEnd w:id="20"/>
    <w:bookmarkStart w:id="26" w:name="results"/>
    <w:p>
      <w:pPr>
        <w:pStyle w:val="Heading1"/>
      </w:pPr>
      <w:r>
        <w:t xml:space="preserve">2. Results</w:t>
      </w:r>
    </w:p>
    <w:p>
      <w:pPr>
        <w:pStyle w:val="FirstParagraph"/>
      </w:pPr>
      <w:r>
        <w:t xml:space="preserve">Model parameters estimates and confidence intervals are shown in</w:t>
      </w:r>
      <w:r>
        <w:t xml:space="preserve"> </w:t>
      </w:r>
      <w:hyperlink w:anchor="tbl-model">
        <w:r>
          <w:rPr>
            <w:rStyle w:val="Hyperlink"/>
          </w:rPr>
          <w:t xml:space="preserve">Table 1</w:t>
        </w:r>
      </w:hyperlink>
      <w:r>
        <w:t xml:space="preserve"> </w:t>
      </w:r>
      <w:r>
        <w:t xml:space="preserve">and</w:t>
      </w:r>
      <w:r>
        <w:t xml:space="preserve"> </w:t>
      </w:r>
      <w:hyperlink w:anchor="fig-model">
        <w:r>
          <w:rPr>
            <w:rStyle w:val="Hyperlink"/>
          </w:rPr>
          <w:t xml:space="preserve">Figure 1</w:t>
        </w:r>
      </w:hyperlink>
      <w:r>
        <w:t xml:space="preserve"> </w:t>
      </w:r>
      <w:r>
        <w:t xml:space="preserve">shows the raw data and model predictions for each individual participant in addition to the conditional model predictions. The fixed effect for the intercept corresponded to a blood lactate value of 1.35[95%CI 0.87 to 1.83]</w:t>
      </w:r>
      <w:r>
        <w:t xml:space="preserve"> </w:t>
      </w:r>
      <m:oMath>
        <m:r>
          <m:rPr>
            <m:nor/>
            <m:sty m:val="p"/>
          </m:rPr>
          <m:t>mmol</m:t>
        </m:r>
        <m:r>
          <m:rPr>
            <m:sty m:val="p"/>
          </m:rPr>
          <m:t>⋅</m:t>
        </m:r>
        <m:sSup>
          <m:e>
            <m:r>
              <m:t>L</m:t>
            </m:r>
          </m:e>
          <m:sup>
            <m:r>
              <m:rPr>
                <m:sty m:val="p"/>
              </m:rPr>
              <m:t>−</m:t>
            </m:r>
            <m:r>
              <m:t>1</m:t>
            </m:r>
          </m:sup>
        </m:sSup>
      </m:oMath>
      <w:r>
        <w:t xml:space="preserve"> </w:t>
      </w:r>
      <w:r>
        <w:t xml:space="preserve">and the fixed effect for the slope suggested that blood lactate increased by 0.7[95%CI 0.48 to 1.02]</w:t>
      </w:r>
      <w:r>
        <w:t xml:space="preserve"> </w:t>
      </w:r>
      <m:oMath>
        <m:r>
          <m:rPr>
            <m:nor/>
            <m:sty m:val="p"/>
          </m:rPr>
          <m:t>mmol</m:t>
        </m:r>
        <m:r>
          <m:rPr>
            <m:sty m:val="p"/>
          </m:rPr>
          <m:t>⋅</m:t>
        </m:r>
        <m:sSup>
          <m:e>
            <m:r>
              <m:t>L</m:t>
            </m:r>
          </m:e>
          <m:sup>
            <m:r>
              <m:rPr>
                <m:sty m:val="p"/>
              </m:rPr>
              <m:t>−</m:t>
            </m:r>
            <m:r>
              <m:t>1</m:t>
            </m:r>
          </m:sup>
        </m:sSup>
      </m:oMath>
      <w:r>
        <w:t xml:space="preserve"> </w:t>
      </w:r>
      <w:r>
        <w:t xml:space="preserve">per 0.01 unit increase in the Zelemiq sensor value (see</w:t>
      </w:r>
      <w:r>
        <w:t xml:space="preserve"> </w:t>
      </w:r>
      <w:hyperlink w:anchor="fig-model">
        <w:r>
          <w:rPr>
            <w:rStyle w:val="Hyperlink"/>
          </w:rPr>
          <w:t xml:space="preserve">Figure 1</w:t>
        </w:r>
      </w:hyperlink>
      <w:r>
        <w:t xml:space="preserve"> </w:t>
      </w:r>
      <w:r>
        <w:t xml:space="preserve">(C)).</w:t>
      </w:r>
    </w:p>
    <w:bookmarkStart w:id="21" w:name="tbl-model"/>
    <w:p>
      <w:pPr>
        <w:pStyle w:val="TableCaption"/>
      </w:pPr>
      <w:r>
        <w:t xml:space="preserve">Table 1: Model parameter estimates for both fixed and random effects.</w:t>
      </w:r>
    </w:p>
    <w:tbl>
      <w:tblPr>
        <w:tblStyle w:val="Table"/>
        <w:tblW w:type="auto" w:w="0"/>
        <w:tblLook w:firstRow="1" w:lastRow="1" w:firstColumn="0" w:lastColumn="0" w:noHBand="0" w:noVBand="0" w:val="0020"/>
        <w:jc w:val="start"/>
        <w:tblCaption w:val="Table 1: Model parameter estimates for both fixed and random effects."/>
      </w:tblPr>
      <w:tblGrid>
        <w:gridCol w:w="1980"/>
        <w:gridCol w:w="1980"/>
        <w:gridCol w:w="1980"/>
        <w:gridCol w:w="1980"/>
      </w:tblGrid>
      <w:tr>
        <w:trPr>
          <w:tblHeader w:val="true"/>
        </w:trPr>
        <w:tc>
          <w:tcPr/>
          <w:p>
            <w:pPr>
              <w:pStyle w:val="Compact"/>
              <w:jc w:val="left"/>
            </w:pPr>
            <w:r>
              <w:t xml:space="preserve">Model Term</w:t>
            </w:r>
          </w:p>
        </w:tc>
        <w:tc>
          <w:tcPr/>
          <w:p>
            <w:pPr>
              <w:pStyle w:val="Compact"/>
              <w:jc w:val="center"/>
            </w:pPr>
            <w:r>
              <w:t xml:space="preserve">Estimate</w:t>
            </w:r>
          </w:p>
        </w:tc>
        <w:tc>
          <w:tcPr/>
          <w:p>
            <w:pPr>
              <w:pStyle w:val="Compact"/>
              <w:jc w:val="center"/>
            </w:pPr>
            <w:r>
              <w:t xml:space="preserve">Lower 95% CI</w:t>
            </w:r>
          </w:p>
        </w:tc>
        <w:tc>
          <w:tcPr/>
          <w:p>
            <w:pPr>
              <w:pStyle w:val="Compact"/>
              <w:jc w:val="center"/>
            </w:pPr>
            <w:r>
              <w:t xml:space="preserve">Upper 95% CI</w:t>
            </w:r>
          </w:p>
        </w:tc>
      </w:tr>
      <w:tr>
        <w:tc>
          <w:tcPr>
            <w:gridSpan w:val="4"/>
          </w:tcPr>
          <w:p>
            <w:pPr>
              <w:pStyle w:val="Compact"/>
              <w:jc w:val="left"/>
            </w:pPr>
            <w:r>
              <w:rPr>
                <w:bCs/>
                <w:b/>
              </w:rPr>
              <w:t xml:space="preserve">Fixed Effects</w:t>
            </w:r>
          </w:p>
        </w:tc>
      </w:tr>
      <w:tr>
        <w:tc>
          <w:tcPr/>
          <w:p>
            <w:pPr>
              <w:pStyle w:val="Compact"/>
              <w:jc w:val="left"/>
            </w:pPr>
            <w:r>
              <w:t xml:space="preserve">Intercept</w:t>
            </w:r>
          </w:p>
        </w:tc>
        <w:tc>
          <w:tcPr/>
          <w:p>
            <w:pPr>
              <w:pStyle w:val="Compact"/>
              <w:jc w:val="center"/>
            </w:pPr>
            <w:r>
              <w:t xml:space="preserve">1.35</w:t>
            </w:r>
          </w:p>
        </w:tc>
        <w:tc>
          <w:tcPr/>
          <w:p>
            <w:pPr>
              <w:pStyle w:val="Compact"/>
              <w:jc w:val="center"/>
            </w:pPr>
            <w:r>
              <w:t xml:space="preserve">0.87</w:t>
            </w:r>
          </w:p>
        </w:tc>
        <w:tc>
          <w:tcPr/>
          <w:p>
            <w:pPr>
              <w:pStyle w:val="Compact"/>
              <w:jc w:val="center"/>
            </w:pPr>
            <w:r>
              <w:t xml:space="preserve">1.83</w:t>
            </w:r>
          </w:p>
        </w:tc>
      </w:tr>
      <w:tr>
        <w:tc>
          <w:tcPr/>
          <w:p>
            <w:pPr>
              <w:pStyle w:val="Compact"/>
              <w:jc w:val="left"/>
            </w:pPr>
            <w:r>
              <w:t xml:space="preserve">Zelemiq</w:t>
            </w:r>
          </w:p>
        </w:tc>
        <w:tc>
          <w:tcPr/>
          <w:p>
            <w:pPr>
              <w:pStyle w:val="Compact"/>
              <w:jc w:val="center"/>
            </w:pPr>
            <w:r>
              <w:t xml:space="preserve">0.70</w:t>
            </w:r>
          </w:p>
        </w:tc>
        <w:tc>
          <w:tcPr/>
          <w:p>
            <w:pPr>
              <w:pStyle w:val="Compact"/>
              <w:jc w:val="center"/>
            </w:pPr>
            <w:r>
              <w:t xml:space="preserve">0.48</w:t>
            </w:r>
          </w:p>
        </w:tc>
        <w:tc>
          <w:tcPr/>
          <w:p>
            <w:pPr>
              <w:pStyle w:val="Compact"/>
              <w:jc w:val="center"/>
            </w:pPr>
            <w:r>
              <w:t xml:space="preserve">1.02</w:t>
            </w:r>
          </w:p>
        </w:tc>
      </w:tr>
      <w:tr>
        <w:tc>
          <w:tcPr>
            <w:gridSpan w:val="4"/>
          </w:tcPr>
          <w:p>
            <w:pPr>
              <w:pStyle w:val="Compact"/>
              <w:jc w:val="left"/>
            </w:pPr>
            <w:r>
              <w:rPr>
                <w:bCs/>
                <w:b/>
              </w:rPr>
              <w:t xml:space="preserve">Random Effects</w:t>
            </w:r>
          </w:p>
        </w:tc>
      </w:tr>
      <w:tr>
        <w:tc>
          <w:tcPr/>
          <w:p>
            <w:pPr>
              <w:pStyle w:val="Compact"/>
              <w:jc w:val="left"/>
            </w:pPr>
            <w:r>
              <w:t xml:space="preserve">$\sigma_{Intercept}$</w:t>
            </w:r>
          </w:p>
        </w:tc>
        <w:tc>
          <w:tcPr/>
          <w:p>
            <w:pPr>
              <w:pStyle w:val="Compact"/>
              <w:jc w:val="center"/>
            </w:pPr>
            <w:r>
              <w:t xml:space="preserve">0.52</w:t>
            </w:r>
          </w:p>
        </w:tc>
        <w:tc>
          <w:tcPr/>
          <w:p>
            <w:pPr>
              <w:pStyle w:val="Compact"/>
              <w:jc w:val="center"/>
            </w:pPr>
            <w:r>
              <w:t xml:space="preserve">0.15</w:t>
            </w:r>
          </w:p>
        </w:tc>
        <w:tc>
          <w:tcPr/>
          <w:p>
            <w:pPr>
              <w:pStyle w:val="Compact"/>
              <w:jc w:val="center"/>
            </w:pPr>
            <w:r>
              <w:t xml:space="preserve">1.03</w:t>
            </w:r>
          </w:p>
        </w:tc>
      </w:tr>
      <w:tr>
        <w:tc>
          <w:tcPr/>
          <w:p>
            <w:pPr>
              <w:pStyle w:val="Compact"/>
              <w:jc w:val="left"/>
            </w:pPr>
            <w:r>
              <w:t xml:space="preserve">$\sigma_{Zelemiq}$</w:t>
            </w:r>
          </w:p>
        </w:tc>
        <w:tc>
          <w:tcPr/>
          <w:p>
            <w:pPr>
              <w:pStyle w:val="Compact"/>
              <w:jc w:val="center"/>
            </w:pPr>
            <w:r>
              <w:t xml:space="preserve">0.28</w:t>
            </w:r>
          </w:p>
        </w:tc>
        <w:tc>
          <w:tcPr/>
          <w:p>
            <w:pPr>
              <w:pStyle w:val="Compact"/>
              <w:jc w:val="center"/>
            </w:pPr>
            <w:r>
              <w:t xml:space="preserve">0.10</w:t>
            </w:r>
          </w:p>
        </w:tc>
        <w:tc>
          <w:tcPr/>
          <w:p>
            <w:pPr>
              <w:pStyle w:val="Compact"/>
              <w:jc w:val="center"/>
            </w:pPr>
            <w:r>
              <w:t xml:space="preserve">0.68</w:t>
            </w:r>
          </w:p>
        </w:tc>
      </w:tr>
      <w:tr>
        <w:tc>
          <w:tcPr/>
          <w:p>
            <w:pPr>
              <w:pStyle w:val="Compact"/>
              <w:jc w:val="left"/>
            </w:pPr>
            <w:r>
              <w:t xml:space="preserve">$\rho_{Intercept:Zelemiq}$</w:t>
            </w:r>
          </w:p>
        </w:tc>
        <w:tc>
          <w:tcPr/>
          <w:p>
            <w:pPr>
              <w:pStyle w:val="Compact"/>
              <w:jc w:val="center"/>
            </w:pPr>
            <w:r>
              <w:t xml:space="preserve">0.66</w:t>
            </w:r>
          </w:p>
        </w:tc>
        <w:tc>
          <w:tcPr/>
          <w:p>
            <w:pPr>
              <w:pStyle w:val="Compact"/>
              <w:jc w:val="center"/>
            </w:pPr>
            <w:r>
              <w:t xml:space="preserve">-0.30</w:t>
            </w:r>
          </w:p>
        </w:tc>
        <w:tc>
          <w:tcPr/>
          <w:p>
            <w:pPr>
              <w:pStyle w:val="Compact"/>
              <w:jc w:val="center"/>
            </w:pPr>
            <w:r>
              <w:t xml:space="preserve">1.00</w:t>
            </w:r>
          </w:p>
        </w:tc>
      </w:tr>
      <w:tr>
        <w:tc>
          <w:tcPr/>
          <w:p>
            <w:pPr>
              <w:pStyle w:val="Compact"/>
              <w:jc w:val="left"/>
            </w:pPr>
            <w:r>
              <w:t xml:space="preserve">$\sigma_{Residual}$</w:t>
            </w:r>
          </w:p>
        </w:tc>
        <w:tc>
          <w:tcPr/>
          <w:p>
            <w:pPr>
              <w:pStyle w:val="Compact"/>
              <w:jc w:val="center"/>
            </w:pPr>
            <w:r>
              <w:t xml:space="preserve">0.78</w:t>
            </w:r>
          </w:p>
        </w:tc>
        <w:tc>
          <w:tcPr/>
          <w:p>
            <w:pPr>
              <w:pStyle w:val="Compact"/>
              <w:jc w:val="center"/>
            </w:pPr>
            <w:r>
              <w:t xml:space="preserve">0.64</w:t>
            </w:r>
          </w:p>
        </w:tc>
        <w:tc>
          <w:tcPr/>
          <w:p>
            <w:pPr>
              <w:pStyle w:val="Compact"/>
              <w:jc w:val="center"/>
            </w:pPr>
            <w:r>
              <w:t xml:space="preserve">1.00</w:t>
            </w:r>
          </w:p>
        </w:tc>
      </w:tr>
      <w:tr>
        <w:tc>
          <w:tcPr/>
          <w:p>
            <w:pPr>
              <w:pStyle w:val="Compact"/>
              <w:jc w:val="left"/>
            </w:pPr>
            <w:r>
              <w:t xml:space="preserve">Note:</w:t>
            </w:r>
            <w:r>
              <w:t xml:space="preserve"> </w:t>
            </w:r>
          </w:p>
        </w:tc>
        <w:tc>
          <w:tcPr/>
          <w:p>
            <w:pPr>
              <w:pStyle w:val="Compact"/>
            </w:pPr>
          </w:p>
        </w:tc>
        <w:tc>
          <w:tcPr/>
          <w:p>
            <w:pPr>
              <w:pStyle w:val="Compact"/>
            </w:pPr>
          </w:p>
        </w:tc>
        <w:tc>
          <w:tcPr/>
          <w:p>
            <w:pPr>
              <w:pStyle w:val="Compact"/>
            </w:pPr>
          </w:p>
        </w:tc>
      </w:tr>
      <w:tr>
        <w:tc>
          <w:tcPr/>
          <w:p>
            <w:pPr>
              <w:pStyle w:val="Compact"/>
              <w:jc w:val="left"/>
            </w:pPr>
            <w:r>
              <w:t xml:space="preserve"> </w:t>
            </w:r>
            <w:r>
              <w:t xml:space="preserve">CI = confidence interval</w:t>
            </w:r>
          </w:p>
        </w:tc>
        <w:tc>
          <w:tcPr/>
          <w:p>
            <w:pPr>
              <w:pStyle w:val="Compact"/>
            </w:pPr>
          </w:p>
        </w:tc>
        <w:tc>
          <w:tcPr/>
          <w:p>
            <w:pPr>
              <w:pStyle w:val="Compact"/>
            </w:pPr>
          </w:p>
        </w:tc>
        <w:tc>
          <w:tcPr/>
          <w:p>
            <w:pPr>
              <w:pStyle w:val="Compact"/>
            </w:pPr>
          </w:p>
        </w:tc>
      </w:tr>
      <w:tr>
        <w:tc>
          <w:tcPr/>
          <w:p>
            <w:pPr>
              <w:pStyle w:val="Compact"/>
              <w:jc w:val="left"/>
            </w:pPr>
            <w:r>
              <w:t xml:space="preserve"> </w:t>
            </w:r>
            <w:r>
              <w:t xml:space="preserve">Slopes for Zelemiq divided by 100 to aid interpretation such that they refer to the change in blood lactate for a 0.01 unit change in the Zelemiq sensor value</w:t>
            </w:r>
          </w:p>
        </w:tc>
        <w:tc>
          <w:tcPr/>
          <w:p>
            <w:pPr>
              <w:pStyle w:val="Compact"/>
            </w:pPr>
          </w:p>
        </w:tc>
        <w:tc>
          <w:tcPr/>
          <w:p>
            <w:pPr>
              <w:pStyle w:val="Compact"/>
            </w:pPr>
          </w:p>
        </w:tc>
        <w:tc>
          <w:tcPr/>
          <w:p>
            <w:pPr>
              <w:pStyle w:val="Compact"/>
            </w:pPr>
          </w:p>
        </w:tc>
      </w:tr>
    </w:tbl>
    <w:bookmarkEnd w:id="21"/>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25" w:name="fig-model"/>
          <w:p>
            <w:pPr>
              <w:jc w:val="center"/>
            </w:pPr>
            <w:r>
              <w:drawing>
                <wp:inline>
                  <wp:extent cx="5334000" cy="2667000"/>
                  <wp:effectExtent b="0" l="0" r="0" t="0"/>
                  <wp:docPr descr="" title="" id="23" name="Picture"/>
                  <a:graphic>
                    <a:graphicData uri="http://schemas.openxmlformats.org/drawingml/2006/picture">
                      <pic:pic>
                        <pic:nvPicPr>
                          <pic:cNvPr descr="report_files/figure-docx/fig-model-1.png" id="24" name="Picture"/>
                          <pic:cNvPicPr>
                            <a:picLocks noChangeArrowheads="1" noChangeAspect="1"/>
                          </pic:cNvPicPr>
                        </pic:nvPicPr>
                        <pic:blipFill>
                          <a:blip r:embed="rId22"/>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raw Zelemiq sensor output and Biosen C-Line blood lactate during the course of the incremental test where time has been normalised to 0-100% of the test duration with a locally estimated scatter smooth (LOESS) curve for each, panel (B) shows the individual participant level predicted values (thick lines) with 95% confidence intervals (ribbons) from the fitted model, and panel (C) shows the conditional model predicted values (thick lines) with 95% confidence intervals (ribbons). Individual points in each panel are the individual observed values of data.</w:t>
            </w:r>
          </w:p>
          <w:bookmarkEnd w:id="25"/>
        </w:tc>
      </w:tr>
    </w:tbl>
    <w:p>
      <w:pPr>
        <w:pStyle w:val="BodyText"/>
      </w:pPr>
      <w:r>
        <w:t xml:space="preserve">Considering the random effects there was not substantial variance in the individual participant intercept values with a</w:t>
      </w:r>
      <w:r>
        <w:t xml:space="preserve"> </w:t>
      </w:r>
      <m:oMath>
        <m:sSub>
          <m:e>
            <m:r>
              <m:t>σ</m:t>
            </m:r>
          </m:e>
          <m:sub>
            <m:r>
              <m:t>I</m:t>
            </m:r>
            <m:r>
              <m:t>n</m:t>
            </m:r>
            <m:r>
              <m:t>t</m:t>
            </m:r>
            <m:r>
              <m:t>e</m:t>
            </m:r>
            <m:r>
              <m:t>r</m:t>
            </m:r>
            <m:r>
              <m:t>c</m:t>
            </m:r>
            <m:r>
              <m:t>e</m:t>
            </m:r>
            <m:r>
              <m:t>p</m:t>
            </m:r>
            <m:r>
              <m:t>t</m:t>
            </m:r>
          </m:sub>
        </m:sSub>
      </m:oMath>
      <w:r>
        <w:t xml:space="preserve"> </w:t>
      </w:r>
      <w:r>
        <w:t xml:space="preserve">= 0.52[95%CI 0.15 to 1.03]</w:t>
      </w:r>
      <w:r>
        <w:t xml:space="preserve"> </w:t>
      </w:r>
      <m:oMath>
        <m:r>
          <m:rPr>
            <m:nor/>
            <m:sty m:val="p"/>
          </m:rPr>
          <m:t>mmol</m:t>
        </m:r>
        <m:r>
          <m:rPr>
            <m:sty m:val="p"/>
          </m:rPr>
          <m:t>⋅</m:t>
        </m:r>
        <m:sSup>
          <m:e>
            <m:r>
              <m:t>L</m:t>
            </m:r>
          </m:e>
          <m:sup>
            <m:r>
              <m:rPr>
                <m:sty m:val="p"/>
              </m:rPr>
              <m:t>−</m:t>
            </m:r>
            <m:r>
              <m:t>1</m:t>
            </m:r>
          </m:sup>
        </m:sSup>
      </m:oMath>
      <w:r>
        <w:t xml:space="preserve"> </w:t>
      </w:r>
      <w:r>
        <w:t xml:space="preserve">reflecting typical variance in resting blood lactate. However, there was more conspicuous variance in the slopes across individual participants with a</w:t>
      </w:r>
      <w:r>
        <w:t xml:space="preserve"> </w:t>
      </w:r>
      <m:oMath>
        <m:sSub>
          <m:e>
            <m:r>
              <m:t>σ</m:t>
            </m:r>
          </m:e>
          <m:sub>
            <m:r>
              <m:t>Z</m:t>
            </m:r>
            <m:r>
              <m:t>e</m:t>
            </m:r>
            <m:r>
              <m:t>l</m:t>
            </m:r>
            <m:r>
              <m:t>e</m:t>
            </m:r>
            <m:r>
              <m:t>m</m:t>
            </m:r>
            <m:r>
              <m:t>i</m:t>
            </m:r>
            <m:r>
              <m:t>q</m:t>
            </m:r>
          </m:sub>
        </m:sSub>
      </m:oMath>
      <w:r>
        <w:t xml:space="preserve"> </w:t>
      </w:r>
      <w:r>
        <w:t xml:space="preserve">= 0.28[95%CI 0.1 to 0.68]</w:t>
      </w:r>
      <w:r>
        <w:t xml:space="preserve"> </w:t>
      </w:r>
      <m:oMath>
        <m:r>
          <m:rPr>
            <m:nor/>
            <m:sty m:val="p"/>
          </m:rPr>
          <m:t>mmol</m:t>
        </m:r>
        <m:r>
          <m:rPr>
            <m:sty m:val="p"/>
          </m:rPr>
          <m:t>⋅</m:t>
        </m:r>
        <m:sSup>
          <m:e>
            <m:r>
              <m:t>L</m:t>
            </m:r>
          </m:e>
          <m:sup>
            <m:r>
              <m:rPr>
                <m:sty m:val="p"/>
              </m:rPr>
              <m:t>−</m:t>
            </m:r>
            <m:r>
              <m:t>1</m:t>
            </m:r>
          </m:sup>
        </m:sSup>
      </m:oMath>
      <w:r>
        <w:t xml:space="preserve">. The variation in slopes can be seen clearly in</w:t>
      </w:r>
      <w:r>
        <w:t xml:space="preserve"> </w:t>
      </w:r>
      <w:hyperlink w:anchor="fig-model">
        <w:r>
          <w:rPr>
            <w:rStyle w:val="Hyperlink"/>
          </w:rPr>
          <w:t xml:space="preserve">Figure 1</w:t>
        </w:r>
      </w:hyperlink>
      <w:r>
        <w:t xml:space="preserve"> </w:t>
      </w:r>
      <w:r>
        <w:t xml:space="preserve">(B). The correlation between random intercepts and slopes was positive, though the estimate was imprecise (</w:t>
      </w:r>
      <m:oMath>
        <m:sSub>
          <m:e>
            <m:r>
              <m:t>ρ</m:t>
            </m:r>
          </m:e>
          <m:sub>
            <m:r>
              <m:t>I</m:t>
            </m:r>
            <m:r>
              <m:t>n</m:t>
            </m:r>
            <m:r>
              <m:t>t</m:t>
            </m:r>
            <m:r>
              <m:t>e</m:t>
            </m:r>
            <m:r>
              <m:t>r</m:t>
            </m:r>
            <m:r>
              <m:t>c</m:t>
            </m:r>
            <m:r>
              <m:t>e</m:t>
            </m:r>
            <m:r>
              <m:t>p</m:t>
            </m:r>
            <m:r>
              <m:t>t</m:t>
            </m:r>
            <m:r>
              <m:rPr>
                <m:sty m:val="p"/>
              </m:rPr>
              <m:t>:</m:t>
            </m:r>
            <m:r>
              <m:t>Z</m:t>
            </m:r>
            <m:r>
              <m:t>e</m:t>
            </m:r>
            <m:r>
              <m:t>l</m:t>
            </m:r>
            <m:r>
              <m:t>e</m:t>
            </m:r>
            <m:r>
              <m:t>m</m:t>
            </m:r>
            <m:r>
              <m:t>i</m:t>
            </m:r>
            <m:r>
              <m:t>q</m:t>
            </m:r>
          </m:sub>
        </m:sSub>
      </m:oMath>
      <w:r>
        <w:t xml:space="preserve"> </w:t>
      </w:r>
      <w:r>
        <w:t xml:space="preserve">= 0.66[95%CI -0.3 to 1]) Both the adjusted compared with the unadjusted ICC (adjusted = 0.78, unadjusted = 0.25), and the marginal compared with the condition</w:t>
      </w:r>
      <w:r>
        <w:t xml:space="preserve"> </w:t>
      </w:r>
      <m:oMath>
        <m:sSup>
          <m:e>
            <m:r>
              <m:t>R</m:t>
            </m:r>
          </m:e>
          <m:sup>
            <m:r>
              <m:t>2</m:t>
            </m:r>
          </m:sup>
        </m:sSup>
      </m:oMath>
      <w:r>
        <w:t xml:space="preserve"> </w:t>
      </w:r>
      <w:r>
        <w:t xml:space="preserve">(marginal = 0.67, conditional = 0.93) suggested that the majority of variance in the model was attributable to the individual participant level.</w:t>
      </w:r>
    </w:p>
    <w:bookmarkEnd w:id="26"/>
    <w:bookmarkStart w:id="52" w:name="references"/>
    <w:p>
      <w:pPr>
        <w:pStyle w:val="Heading1"/>
      </w:pPr>
      <w:r>
        <w:t xml:space="preserve">3. References</w:t>
      </w:r>
    </w:p>
    <w:bookmarkStart w:id="51" w:name="refs"/>
    <w:bookmarkStart w:id="28" w:name="ref-amrhein_scientists_2019"/>
    <w:p>
      <w:pPr>
        <w:pStyle w:val="Bibliography"/>
      </w:pPr>
      <w:r>
        <w:t xml:space="preserve">Amrhein, V., Greenland, S., &amp; McShane, B. (2019). Scientists rise up against statistical significance.</w:t>
      </w:r>
      <w:r>
        <w:t xml:space="preserve"> </w:t>
      </w:r>
      <w:r>
        <w:rPr>
          <w:iCs/>
          <w:i/>
        </w:rPr>
        <w:t xml:space="preserve">Nature</w:t>
      </w:r>
      <w:r>
        <w:t xml:space="preserve">,</w:t>
      </w:r>
      <w:r>
        <w:t xml:space="preserve"> </w:t>
      </w:r>
      <w:r>
        <w:rPr>
          <w:iCs/>
          <w:i/>
        </w:rPr>
        <w:t xml:space="preserve">567</w:t>
      </w:r>
      <w:r>
        <w:t xml:space="preserve">(7748), 305–307.</w:t>
      </w:r>
      <w:r>
        <w:t xml:space="preserve"> </w:t>
      </w:r>
      <w:hyperlink r:id="rId27">
        <w:r>
          <w:rPr>
            <w:rStyle w:val="Hyperlink"/>
          </w:rPr>
          <w:t xml:space="preserve">https://doi.org/10.1038/d41586-019-00857-9</w:t>
        </w:r>
      </w:hyperlink>
    </w:p>
    <w:bookmarkEnd w:id="28"/>
    <w:bookmarkStart w:id="30" w:name="ref-amrhein_inferential_2019"/>
    <w:p>
      <w:pPr>
        <w:pStyle w:val="Bibliography"/>
      </w:pPr>
      <w:r>
        <w:t xml:space="preserve">Amrhein, V., Trafimow, D., &amp; Greenland, S. (2019). Inferential</w:t>
      </w:r>
      <w:r>
        <w:t xml:space="preserve"> </w:t>
      </w:r>
      <w:r>
        <w:t xml:space="preserve">Statistics</w:t>
      </w:r>
      <w:r>
        <w:t xml:space="preserve"> </w:t>
      </w:r>
      <w:r>
        <w:t xml:space="preserve">as</w:t>
      </w:r>
      <w:r>
        <w:t xml:space="preserve"> </w:t>
      </w:r>
      <w:r>
        <w:t xml:space="preserve">Descriptive</w:t>
      </w:r>
      <w:r>
        <w:t xml:space="preserve"> </w:t>
      </w:r>
      <w:r>
        <w:t xml:space="preserve">Statistics</w:t>
      </w:r>
      <w:r>
        <w:t xml:space="preserve">:</w:t>
      </w:r>
      <w:r>
        <w:t xml:space="preserve"> </w:t>
      </w:r>
      <w:r>
        <w:t xml:space="preserve">There</w:t>
      </w:r>
      <w:r>
        <w:t xml:space="preserve"> </w:t>
      </w:r>
      <w:r>
        <w:t xml:space="preserve">Is</w:t>
      </w:r>
      <w:r>
        <w:t xml:space="preserve"> </w:t>
      </w:r>
      <w:r>
        <w:t xml:space="preserve">No</w:t>
      </w:r>
      <w:r>
        <w:t xml:space="preserve"> </w:t>
      </w:r>
      <w:r>
        <w:t xml:space="preserve">Replication</w:t>
      </w:r>
      <w:r>
        <w:t xml:space="preserve"> </w:t>
      </w:r>
      <w:r>
        <w:t xml:space="preserve">Crisis</w:t>
      </w:r>
      <w:r>
        <w:t xml:space="preserve"> </w:t>
      </w:r>
      <w:r>
        <w:t xml:space="preserve">if</w:t>
      </w:r>
      <w:r>
        <w:t xml:space="preserve"> </w:t>
      </w:r>
      <w:r>
        <w:t xml:space="preserve">We</w:t>
      </w:r>
      <w:r>
        <w:t xml:space="preserve"> </w:t>
      </w:r>
      <w:r>
        <w:t xml:space="preserve">Don</w:t>
      </w:r>
      <w:r>
        <w:t xml:space="preserve">’t</w:t>
      </w:r>
      <w:r>
        <w:t xml:space="preserve"> </w:t>
      </w:r>
      <w:r>
        <w:t xml:space="preserve">Expect</w:t>
      </w:r>
      <w:r>
        <w:t xml:space="preserve"> </w:t>
      </w:r>
      <w:r>
        <w:t xml:space="preserve">Replication</w:t>
      </w:r>
      <w:r>
        <w:t xml:space="preserve">.</w:t>
      </w:r>
      <w:r>
        <w:t xml:space="preserve"> </w:t>
      </w:r>
      <w:r>
        <w:rPr>
          <w:iCs/>
          <w:i/>
        </w:rPr>
        <w:t xml:space="preserve">The American Statistician</w:t>
      </w:r>
      <w:r>
        <w:t xml:space="preserve">,</w:t>
      </w:r>
      <w:r>
        <w:t xml:space="preserve"> </w:t>
      </w:r>
      <w:r>
        <w:rPr>
          <w:iCs/>
          <w:i/>
        </w:rPr>
        <w:t xml:space="preserve">73</w:t>
      </w:r>
      <w:r>
        <w:t xml:space="preserve">(sup1), 262–270.</w:t>
      </w:r>
      <w:r>
        <w:t xml:space="preserve"> </w:t>
      </w:r>
      <w:hyperlink r:id="rId29">
        <w:r>
          <w:rPr>
            <w:rStyle w:val="Hyperlink"/>
          </w:rPr>
          <w:t xml:space="preserve">https://doi.org/10.1080/00031305.2018.1543137</w:t>
        </w:r>
      </w:hyperlink>
    </w:p>
    <w:bookmarkEnd w:id="30"/>
    <w:bookmarkStart w:id="32" w:name="ref-arel-bundock_marginaleffects_2022"/>
    <w:p>
      <w:pPr>
        <w:pStyle w:val="Bibliography"/>
      </w:pPr>
      <w:r>
        <w:t xml:space="preserve">Arel-Bundock, V., Diniz, M. A., &amp; Greifer, N. (2022).</w:t>
      </w:r>
      <w:r>
        <w:t xml:space="preserve"> </w:t>
      </w:r>
      <w:r>
        <w:rPr>
          <w:iCs/>
          <w:i/>
        </w:rPr>
        <w:t xml:space="preserve">Marginaleffects:</w:t>
      </w:r>
      <w:r>
        <w:rPr>
          <w:iCs/>
          <w:i/>
        </w:rPr>
        <w:t xml:space="preserve"> </w:t>
      </w:r>
      <w:r>
        <w:rPr>
          <w:iCs/>
          <w:i/>
        </w:rPr>
        <w:t xml:space="preserve">Marginal</w:t>
      </w:r>
      <w:r>
        <w:rPr>
          <w:iCs/>
          <w:i/>
        </w:rPr>
        <w:t xml:space="preserve"> </w:t>
      </w:r>
      <w:r>
        <w:rPr>
          <w:iCs/>
          <w:i/>
        </w:rPr>
        <w:t xml:space="preserve">Effects</w:t>
      </w:r>
      <w:r>
        <w:rPr>
          <w:iCs/>
          <w:i/>
        </w:rPr>
        <w:t xml:space="preserve">,</w:t>
      </w:r>
      <w:r>
        <w:rPr>
          <w:iCs/>
          <w:i/>
        </w:rPr>
        <w:t xml:space="preserve"> </w:t>
      </w:r>
      <w:r>
        <w:rPr>
          <w:iCs/>
          <w:i/>
        </w:rPr>
        <w:t xml:space="preserve">Marginal</w:t>
      </w:r>
      <w:r>
        <w:rPr>
          <w:iCs/>
          <w:i/>
        </w:rPr>
        <w:t xml:space="preserve"> </w:t>
      </w:r>
      <w:r>
        <w:rPr>
          <w:iCs/>
          <w:i/>
        </w:rPr>
        <w:t xml:space="preserve">Means</w:t>
      </w:r>
      <w:r>
        <w:rPr>
          <w:iCs/>
          <w:i/>
        </w:rPr>
        <w:t xml:space="preserve">,</w:t>
      </w:r>
      <w:r>
        <w:rPr>
          <w:iCs/>
          <w:i/>
        </w:rPr>
        <w:t xml:space="preserve"> </w:t>
      </w:r>
      <w:r>
        <w:rPr>
          <w:iCs/>
          <w:i/>
        </w:rPr>
        <w:t xml:space="preserve">Predictions</w:t>
      </w:r>
      <w:r>
        <w:rPr>
          <w:iCs/>
          <w:i/>
        </w:rPr>
        <w:t xml:space="preserve">, and</w:t>
      </w:r>
      <w:r>
        <w:rPr>
          <w:iCs/>
          <w:i/>
        </w:rPr>
        <w:t xml:space="preserve"> </w:t>
      </w:r>
      <w:r>
        <w:rPr>
          <w:iCs/>
          <w:i/>
        </w:rPr>
        <w:t xml:space="preserve">Contrasts</w:t>
      </w:r>
      <w:r>
        <w:t xml:space="preserve">.</w:t>
      </w:r>
      <w:r>
        <w:t xml:space="preserve"> </w:t>
      </w:r>
      <w:hyperlink r:id="rId31">
        <w:r>
          <w:rPr>
            <w:rStyle w:val="Hyperlink"/>
          </w:rPr>
          <w:t xml:space="preserve">https://CRAN.R-project.org/package=marginaleffects</w:t>
        </w:r>
      </w:hyperlink>
    </w:p>
    <w:bookmarkEnd w:id="32"/>
    <w:bookmarkStart w:id="34" w:name="ref-bates_lme4_2023"/>
    <w:p>
      <w:pPr>
        <w:pStyle w:val="Bibliography"/>
      </w:pPr>
      <w:r>
        <w:t xml:space="preserve">Bates, D., Maechler, M., Bolker [aut, B., cre, Walker, S., Christensen, R. H. B., Singmann, H., Dai, B., Scheipl, F., Grothendieck, G., Green, P., Fox, J., Bauer, A., &amp; simulate.formula), P. N. K. (shared. copyright on. (2023).</w:t>
      </w:r>
      <w:r>
        <w:t xml:space="preserve"> </w:t>
      </w:r>
      <w:r>
        <w:rPr>
          <w:iCs/>
          <w:i/>
        </w:rPr>
        <w:t xml:space="preserve">lme4:</w:t>
      </w:r>
      <w:r>
        <w:rPr>
          <w:iCs/>
          <w:i/>
        </w:rPr>
        <w:t xml:space="preserve"> </w:t>
      </w:r>
      <w:r>
        <w:rPr>
          <w:iCs/>
          <w:i/>
        </w:rPr>
        <w:t xml:space="preserve">Linear</w:t>
      </w:r>
      <w:r>
        <w:rPr>
          <w:iCs/>
          <w:i/>
        </w:rPr>
        <w:t xml:space="preserve"> </w:t>
      </w:r>
      <w:r>
        <w:rPr>
          <w:iCs/>
          <w:i/>
        </w:rPr>
        <w:t xml:space="preserve">Mixed</w:t>
      </w:r>
      <w:r>
        <w:rPr>
          <w:iCs/>
          <w:i/>
        </w:rPr>
        <w:t xml:space="preserve">-</w:t>
      </w:r>
      <w:r>
        <w:rPr>
          <w:iCs/>
          <w:i/>
        </w:rPr>
        <w:t xml:space="preserve">Effects</w:t>
      </w:r>
      <w:r>
        <w:rPr>
          <w:iCs/>
          <w:i/>
        </w:rPr>
        <w:t xml:space="preserve"> </w:t>
      </w:r>
      <w:r>
        <w:rPr>
          <w:iCs/>
          <w:i/>
        </w:rPr>
        <w:t xml:space="preserve">Models</w:t>
      </w:r>
      <w:r>
        <w:rPr>
          <w:iCs/>
          <w:i/>
        </w:rPr>
        <w:t xml:space="preserve"> </w:t>
      </w:r>
      <w:r>
        <w:rPr>
          <w:iCs/>
          <w:i/>
        </w:rPr>
        <w:t xml:space="preserve">using ’</w:t>
      </w:r>
      <w:r>
        <w:rPr>
          <w:iCs/>
          <w:i/>
        </w:rPr>
        <w:t xml:space="preserve">Eigen</w:t>
      </w:r>
      <w:r>
        <w:rPr>
          <w:iCs/>
          <w:i/>
        </w:rPr>
        <w:t xml:space="preserve">’ and</w:t>
      </w:r>
      <w:r>
        <w:rPr>
          <w:iCs/>
          <w:i/>
        </w:rPr>
        <w:t xml:space="preserve"> </w:t>
      </w:r>
      <w:r>
        <w:rPr>
          <w:iCs/>
          <w:i/>
        </w:rPr>
        <w:t xml:space="preserve">S4</w:t>
      </w:r>
      <w:r>
        <w:t xml:space="preserve">.</w:t>
      </w:r>
      <w:r>
        <w:t xml:space="preserve"> </w:t>
      </w:r>
      <w:hyperlink r:id="rId33">
        <w:r>
          <w:rPr>
            <w:rStyle w:val="Hyperlink"/>
          </w:rPr>
          <w:t xml:space="preserve">https://cran.r-project.org/web/packages/lme4/index.html</w:t>
        </w:r>
      </w:hyperlink>
    </w:p>
    <w:bookmarkEnd w:id="34"/>
    <w:bookmarkStart w:id="36" w:name="ref-cumming_new_2014"/>
    <w:p>
      <w:pPr>
        <w:pStyle w:val="Bibliography"/>
      </w:pPr>
      <w:r>
        <w:t xml:space="preserve">Cumming, G. (2014). The</w:t>
      </w:r>
      <w:r>
        <w:t xml:space="preserve"> </w:t>
      </w:r>
      <w:r>
        <w:t xml:space="preserve">New</w:t>
      </w:r>
      <w:r>
        <w:t xml:space="preserve"> </w:t>
      </w:r>
      <w:r>
        <w:t xml:space="preserve">Statistics</w:t>
      </w:r>
      <w:r>
        <w:t xml:space="preserve">:</w:t>
      </w:r>
      <w:r>
        <w:t xml:space="preserve"> </w:t>
      </w:r>
      <w:r>
        <w:t xml:space="preserve">Why</w:t>
      </w:r>
      <w:r>
        <w:t xml:space="preserve"> </w:t>
      </w:r>
      <w:r>
        <w:t xml:space="preserve">and</w:t>
      </w:r>
      <w:r>
        <w:t xml:space="preserve"> </w:t>
      </w:r>
      <w:r>
        <w:t xml:space="preserve">How</w:t>
      </w:r>
      <w:r>
        <w:t xml:space="preserve">.</w:t>
      </w:r>
      <w:r>
        <w:t xml:space="preserve"> </w:t>
      </w:r>
      <w:r>
        <w:rPr>
          <w:iCs/>
          <w:i/>
        </w:rPr>
        <w:t xml:space="preserve">Psychological Science</w:t>
      </w:r>
      <w:r>
        <w:t xml:space="preserve">,</w:t>
      </w:r>
      <w:r>
        <w:t xml:space="preserve"> </w:t>
      </w:r>
      <w:r>
        <w:rPr>
          <w:iCs/>
          <w:i/>
        </w:rPr>
        <w:t xml:space="preserve">25</w:t>
      </w:r>
      <w:r>
        <w:t xml:space="preserve">(1), 7–29.</w:t>
      </w:r>
      <w:r>
        <w:t xml:space="preserve"> </w:t>
      </w:r>
      <w:hyperlink r:id="rId35">
        <w:r>
          <w:rPr>
            <w:rStyle w:val="Hyperlink"/>
          </w:rPr>
          <w:t xml:space="preserve">https://doi.org/10.1177/0956797613504966</w:t>
        </w:r>
      </w:hyperlink>
    </w:p>
    <w:bookmarkEnd w:id="36"/>
    <w:bookmarkStart w:id="38" w:name="ref-kass_bayes_1995"/>
    <w:p>
      <w:pPr>
        <w:pStyle w:val="Bibliography"/>
      </w:pPr>
      <w:r>
        <w:t xml:space="preserve">Kass, R. E., &amp; Raftery, A. E. (1995). Bayes</w:t>
      </w:r>
      <w:r>
        <w:t xml:space="preserve"> </w:t>
      </w:r>
      <w:r>
        <w:t xml:space="preserve">Factors</w:t>
      </w:r>
      <w:r>
        <w:t xml:space="preserve">.</w:t>
      </w:r>
      <w:r>
        <w:t xml:space="preserve"> </w:t>
      </w:r>
      <w:r>
        <w:rPr>
          <w:iCs/>
          <w:i/>
        </w:rPr>
        <w:t xml:space="preserve">Journal of the American Statistical Association</w:t>
      </w:r>
      <w:r>
        <w:t xml:space="preserve">,</w:t>
      </w:r>
      <w:r>
        <w:t xml:space="preserve"> </w:t>
      </w:r>
      <w:r>
        <w:rPr>
          <w:iCs/>
          <w:i/>
        </w:rPr>
        <w:t xml:space="preserve">90</w:t>
      </w:r>
      <w:r>
        <w:t xml:space="preserve">(430), 773–795.</w:t>
      </w:r>
      <w:r>
        <w:t xml:space="preserve"> </w:t>
      </w:r>
      <w:hyperlink r:id="rId37">
        <w:r>
          <w:rPr>
            <w:rStyle w:val="Hyperlink"/>
          </w:rPr>
          <w:t xml:space="preserve">https://doi.org/10.1080/01621459.1995.10476572</w:t>
        </w:r>
      </w:hyperlink>
    </w:p>
    <w:bookmarkEnd w:id="38"/>
    <w:bookmarkStart w:id="40" w:name="ref-kay_tidybayes_2022"/>
    <w:p>
      <w:pPr>
        <w:pStyle w:val="Bibliography"/>
      </w:pPr>
      <w:r>
        <w:t xml:space="preserve">Kay, M., &amp; Mastny, T. (2022).</w:t>
      </w:r>
      <w:r>
        <w:t xml:space="preserve"> </w:t>
      </w:r>
      <w:r>
        <w:rPr>
          <w:iCs/>
          <w:i/>
        </w:rPr>
        <w:t xml:space="preserve">Tidybayes:</w:t>
      </w:r>
      <w:r>
        <w:rPr>
          <w:iCs/>
          <w:i/>
        </w:rPr>
        <w:t xml:space="preserve"> </w:t>
      </w:r>
      <w:r>
        <w:rPr>
          <w:iCs/>
          <w:i/>
        </w:rPr>
        <w:t xml:space="preserve">Tidy</w:t>
      </w:r>
      <w:r>
        <w:rPr>
          <w:iCs/>
          <w:i/>
        </w:rPr>
        <w:t xml:space="preserve"> </w:t>
      </w:r>
      <w:r>
        <w:rPr>
          <w:iCs/>
          <w:i/>
        </w:rPr>
        <w:t xml:space="preserve">Data</w:t>
      </w:r>
      <w:r>
        <w:rPr>
          <w:iCs/>
          <w:i/>
        </w:rPr>
        <w:t xml:space="preserve"> </w:t>
      </w:r>
      <w:r>
        <w:rPr>
          <w:iCs/>
          <w:i/>
        </w:rPr>
        <w:t xml:space="preserve">and ’</w:t>
      </w:r>
      <w:r>
        <w:rPr>
          <w:iCs/>
          <w:i/>
        </w:rPr>
        <w:t xml:space="preserve">Geoms</w:t>
      </w:r>
      <w:r>
        <w:rPr>
          <w:iCs/>
          <w:i/>
        </w:rPr>
        <w:t xml:space="preserve">’ for</w:t>
      </w:r>
      <w:r>
        <w:rPr>
          <w:iCs/>
          <w:i/>
        </w:rPr>
        <w:t xml:space="preserve"> </w:t>
      </w:r>
      <w:r>
        <w:rPr>
          <w:iCs/>
          <w:i/>
        </w:rPr>
        <w:t xml:space="preserve">Bayesian</w:t>
      </w:r>
      <w:r>
        <w:rPr>
          <w:iCs/>
          <w:i/>
        </w:rPr>
        <w:t xml:space="preserve"> </w:t>
      </w:r>
      <w:r>
        <w:rPr>
          <w:iCs/>
          <w:i/>
        </w:rPr>
        <w:t xml:space="preserve">Models</w:t>
      </w:r>
      <w:r>
        <w:t xml:space="preserve">.</w:t>
      </w:r>
      <w:r>
        <w:t xml:space="preserve"> </w:t>
      </w:r>
      <w:hyperlink r:id="rId39">
        <w:r>
          <w:rPr>
            <w:rStyle w:val="Hyperlink"/>
          </w:rPr>
          <w:t xml:space="preserve">https://CRAN.R-project.org/package=tidybayes</w:t>
        </w:r>
      </w:hyperlink>
    </w:p>
    <w:bookmarkEnd w:id="40"/>
    <w:bookmarkStart w:id="42" w:name="ref-mcshane_abandon_2019"/>
    <w:p>
      <w:pPr>
        <w:pStyle w:val="Bibliography"/>
      </w:pPr>
      <w:r>
        <w:t xml:space="preserve">McShane, B. B., Gal, D., Gelman, A., Robert, C., &amp; Tackett, J. L. (2019). Abandon</w:t>
      </w:r>
      <w:r>
        <w:t xml:space="preserve"> </w:t>
      </w:r>
      <w:r>
        <w:t xml:space="preserve">Statistical</w:t>
      </w:r>
      <w:r>
        <w:t xml:space="preserve"> </w:t>
      </w:r>
      <w:r>
        <w:t xml:space="preserve">Significance</w:t>
      </w:r>
      <w:r>
        <w:t xml:space="preserve">.</w:t>
      </w:r>
      <w:r>
        <w:t xml:space="preserve"> </w:t>
      </w:r>
      <w:r>
        <w:rPr>
          <w:iCs/>
          <w:i/>
        </w:rPr>
        <w:t xml:space="preserve">The American Statistician</w:t>
      </w:r>
      <w:r>
        <w:t xml:space="preserve">,</w:t>
      </w:r>
      <w:r>
        <w:t xml:space="preserve"> </w:t>
      </w:r>
      <w:r>
        <w:rPr>
          <w:iCs/>
          <w:i/>
        </w:rPr>
        <w:t xml:space="preserve">73</w:t>
      </w:r>
      <w:r>
        <w:t xml:space="preserve">(sup1), 235–245.</w:t>
      </w:r>
      <w:r>
        <w:t xml:space="preserve"> </w:t>
      </w:r>
      <w:hyperlink r:id="rId41">
        <w:r>
          <w:rPr>
            <w:rStyle w:val="Hyperlink"/>
          </w:rPr>
          <w:t xml:space="preserve">https://doi.org/10.1080/00031305.2018.1527253</w:t>
        </w:r>
      </w:hyperlink>
    </w:p>
    <w:bookmarkEnd w:id="42"/>
    <w:bookmarkStart w:id="44" w:name="ref-nakagawa_coefficient_2017"/>
    <w:p>
      <w:pPr>
        <w:pStyle w:val="Bibliography"/>
      </w:pPr>
      <w:r>
        <w:t xml:space="preserve">Nakagawa, S., Johnson, P. C. D., &amp; Schielzeth, H. (2017). The coefficient of determination</w:t>
      </w:r>
      <w:r>
        <w:t xml:space="preserve"> </w:t>
      </w:r>
      <w:r>
        <w:t xml:space="preserve">R2</w:t>
      </w:r>
      <w:r>
        <w:t xml:space="preserve"> </w:t>
      </w:r>
      <w:r>
        <w:t xml:space="preserve">and intra-class correlation coefficient from generalized linear mixed-effects models revisited and expanded.</w:t>
      </w:r>
      <w:r>
        <w:t xml:space="preserve"> </w:t>
      </w:r>
      <w:r>
        <w:rPr>
          <w:iCs/>
          <w:i/>
        </w:rPr>
        <w:t xml:space="preserve">Journal of The Royal Society Interface</w:t>
      </w:r>
      <w:r>
        <w:t xml:space="preserve">,</w:t>
      </w:r>
      <w:r>
        <w:t xml:space="preserve"> </w:t>
      </w:r>
      <w:r>
        <w:rPr>
          <w:iCs/>
          <w:i/>
        </w:rPr>
        <w:t xml:space="preserve">14</w:t>
      </w:r>
      <w:r>
        <w:t xml:space="preserve">(134), 20170213.</w:t>
      </w:r>
      <w:r>
        <w:t xml:space="preserve"> </w:t>
      </w:r>
      <w:hyperlink r:id="rId43">
        <w:r>
          <w:rPr>
            <w:rStyle w:val="Hyperlink"/>
          </w:rPr>
          <w:t xml:space="preserve">https://doi.org/10.1098/rsif.2017.0213</w:t>
        </w:r>
      </w:hyperlink>
    </w:p>
    <w:bookmarkEnd w:id="44"/>
    <w:bookmarkStart w:id="46" w:name="ref-pedersen_patchwork_2022"/>
    <w:p>
      <w:pPr>
        <w:pStyle w:val="Bibliography"/>
      </w:pPr>
      <w:r>
        <w:t xml:space="preserve">Pedersen, T. L. (2022).</w:t>
      </w:r>
      <w:r>
        <w:t xml:space="preserve"> </w:t>
      </w:r>
      <w:r>
        <w:rPr>
          <w:iCs/>
          <w:i/>
        </w:rPr>
        <w:t xml:space="preserve">Patchwork:</w:t>
      </w:r>
      <w:r>
        <w:rPr>
          <w:iCs/>
          <w:i/>
        </w:rPr>
        <w:t xml:space="preserve"> </w:t>
      </w:r>
      <w:r>
        <w:rPr>
          <w:iCs/>
          <w:i/>
        </w:rPr>
        <w:t xml:space="preserve">The</w:t>
      </w:r>
      <w:r>
        <w:rPr>
          <w:iCs/>
          <w:i/>
        </w:rPr>
        <w:t xml:space="preserve"> </w:t>
      </w:r>
      <w:r>
        <w:rPr>
          <w:iCs/>
          <w:i/>
        </w:rPr>
        <w:t xml:space="preserve">Composer</w:t>
      </w:r>
      <w:r>
        <w:rPr>
          <w:iCs/>
          <w:i/>
        </w:rPr>
        <w:t xml:space="preserve"> </w:t>
      </w:r>
      <w:r>
        <w:rPr>
          <w:iCs/>
          <w:i/>
        </w:rPr>
        <w:t xml:space="preserve">of</w:t>
      </w:r>
      <w:r>
        <w:rPr>
          <w:iCs/>
          <w:i/>
        </w:rPr>
        <w:t xml:space="preserve"> </w:t>
      </w:r>
      <w:r>
        <w:rPr>
          <w:iCs/>
          <w:i/>
        </w:rPr>
        <w:t xml:space="preserve">Plots</w:t>
      </w:r>
      <w:r>
        <w:t xml:space="preserve">.</w:t>
      </w:r>
      <w:r>
        <w:t xml:space="preserve"> </w:t>
      </w:r>
      <w:hyperlink r:id="rId45">
        <w:r>
          <w:rPr>
            <w:rStyle w:val="Hyperlink"/>
          </w:rPr>
          <w:t xml:space="preserve">https://CRAN.R-project.org/package=patchwork</w:t>
        </w:r>
      </w:hyperlink>
    </w:p>
    <w:bookmarkEnd w:id="46"/>
    <w:bookmarkStart w:id="48" w:name="ref-wagenmakers_practical_2007"/>
    <w:p>
      <w:pPr>
        <w:pStyle w:val="Bibliography"/>
      </w:pPr>
      <w:r>
        <w:t xml:space="preserve">Wagenmakers, E.-J. (2007). A practical solution to the pervasive problems ofp values.</w:t>
      </w:r>
      <w:r>
        <w:t xml:space="preserve"> </w:t>
      </w:r>
      <w:r>
        <w:rPr>
          <w:iCs/>
          <w:i/>
        </w:rPr>
        <w:t xml:space="preserve">Psychonomic Bulletin &amp; Review</w:t>
      </w:r>
      <w:r>
        <w:t xml:space="preserve">,</w:t>
      </w:r>
      <w:r>
        <w:t xml:space="preserve"> </w:t>
      </w:r>
      <w:r>
        <w:rPr>
          <w:iCs/>
          <w:i/>
        </w:rPr>
        <w:t xml:space="preserve">14</w:t>
      </w:r>
      <w:r>
        <w:t xml:space="preserve">(5), 779–804.</w:t>
      </w:r>
      <w:r>
        <w:t xml:space="preserve"> </w:t>
      </w:r>
      <w:hyperlink r:id="rId47">
        <w:r>
          <w:rPr>
            <w:rStyle w:val="Hyperlink"/>
          </w:rPr>
          <w:t xml:space="preserve">https://doi.org/10.3758/BF03194105</w:t>
        </w:r>
      </w:hyperlink>
    </w:p>
    <w:bookmarkEnd w:id="48"/>
    <w:bookmarkStart w:id="50" w:name="ref-wickham_ggplot2_2022"/>
    <w:p>
      <w:pPr>
        <w:pStyle w:val="Bibliography"/>
      </w:pPr>
      <w:r>
        <w:t xml:space="preserve">Wickham, H., Chang, W., Henry, L., Pedersen, T. L., Takahashi, K., Wilke, C., Woo, K., Yutani, H., Dunnington, D., &amp; RStudio. (2022).</w:t>
      </w:r>
      <w:r>
        <w:t xml:space="preserve"> </w:t>
      </w:r>
      <w:r>
        <w:rPr>
          <w:iCs/>
          <w:i/>
        </w:rPr>
        <w:t xml:space="preserve">ggplot2:</w:t>
      </w:r>
      <w:r>
        <w:rPr>
          <w:iCs/>
          <w:i/>
        </w:rPr>
        <w:t xml:space="preserve"> </w:t>
      </w:r>
      <w:r>
        <w:rPr>
          <w:iCs/>
          <w:i/>
        </w:rPr>
        <w:t xml:space="preserve">Create</w:t>
      </w:r>
      <w:r>
        <w:rPr>
          <w:iCs/>
          <w:i/>
        </w:rPr>
        <w:t xml:space="preserve"> </w:t>
      </w:r>
      <w:r>
        <w:rPr>
          <w:iCs/>
          <w:i/>
        </w:rPr>
        <w:t xml:space="preserve">Elegant</w:t>
      </w:r>
      <w:r>
        <w:rPr>
          <w:iCs/>
          <w:i/>
        </w:rPr>
        <w:t xml:space="preserve"> </w:t>
      </w:r>
      <w:r>
        <w:rPr>
          <w:iCs/>
          <w:i/>
        </w:rPr>
        <w:t xml:space="preserve">Data</w:t>
      </w:r>
      <w:r>
        <w:rPr>
          <w:iCs/>
          <w:i/>
        </w:rPr>
        <w:t xml:space="preserve"> </w:t>
      </w:r>
      <w:r>
        <w:rPr>
          <w:iCs/>
          <w:i/>
        </w:rPr>
        <w:t xml:space="preserve">Visualisations</w:t>
      </w:r>
      <w:r>
        <w:rPr>
          <w:iCs/>
          <w:i/>
        </w:rPr>
        <w:t xml:space="preserve"> </w:t>
      </w:r>
      <w:r>
        <w:rPr>
          <w:iCs/>
          <w:i/>
        </w:rPr>
        <w:t xml:space="preserve">Using</w:t>
      </w:r>
      <w:r>
        <w:rPr>
          <w:iCs/>
          <w:i/>
        </w:rPr>
        <w:t xml:space="preserve"> </w:t>
      </w:r>
      <w:r>
        <w:rPr>
          <w:iCs/>
          <w:i/>
        </w:rPr>
        <w:t xml:space="preserve">the</w:t>
      </w:r>
      <w:r>
        <w:rPr>
          <w:iCs/>
          <w:i/>
        </w:rPr>
        <w:t xml:space="preserve"> </w:t>
      </w:r>
      <w:r>
        <w:rPr>
          <w:iCs/>
          <w:i/>
        </w:rPr>
        <w:t xml:space="preserve">Grammar</w:t>
      </w:r>
      <w:r>
        <w:rPr>
          <w:iCs/>
          <w:i/>
        </w:rPr>
        <w:t xml:space="preserve"> </w:t>
      </w:r>
      <w:r>
        <w:rPr>
          <w:iCs/>
          <w:i/>
        </w:rPr>
        <w:t xml:space="preserve">of</w:t>
      </w:r>
      <w:r>
        <w:rPr>
          <w:iCs/>
          <w:i/>
        </w:rPr>
        <w:t xml:space="preserve"> </w:t>
      </w:r>
      <w:r>
        <w:rPr>
          <w:iCs/>
          <w:i/>
        </w:rPr>
        <w:t xml:space="preserve">Graphics</w:t>
      </w:r>
      <w:r>
        <w:t xml:space="preserve">.</w:t>
      </w:r>
      <w:r>
        <w:t xml:space="preserve"> </w:t>
      </w:r>
      <w:hyperlink r:id="rId49">
        <w:r>
          <w:rPr>
            <w:rStyle w:val="Hyperlink"/>
          </w:rPr>
          <w:t xml:space="preserve">https://CRAN.R-project.org/package=ggplot2</w:t>
        </w:r>
      </w:hyperlink>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49" Target="https://CRAN.R-project.org/package=ggplot2" TargetMode="External" /><Relationship Type="http://schemas.openxmlformats.org/officeDocument/2006/relationships/hyperlink" Id="rId31" Target="https://CRAN.R-project.org/package=marginaleffects" TargetMode="External" /><Relationship Type="http://schemas.openxmlformats.org/officeDocument/2006/relationships/hyperlink" Id="rId45" Target="https://CRAN.R-project.org/package=patchwork" TargetMode="External" /><Relationship Type="http://schemas.openxmlformats.org/officeDocument/2006/relationships/hyperlink" Id="rId39" Target="https://CRAN.R-project.org/package=tidybayes" TargetMode="External" /><Relationship Type="http://schemas.openxmlformats.org/officeDocument/2006/relationships/hyperlink" Id="rId33" Target="https://cran.r-project.org/web/packages/lme4/index.html" TargetMode="External" /><Relationship Type="http://schemas.openxmlformats.org/officeDocument/2006/relationships/hyperlink" Id="rId27" Target="https://doi.org/10.1038/d41586-019-00857-9" TargetMode="External" /><Relationship Type="http://schemas.openxmlformats.org/officeDocument/2006/relationships/hyperlink" Id="rId41" Target="https://doi.org/10.1080/00031305.2018.1527253" TargetMode="External" /><Relationship Type="http://schemas.openxmlformats.org/officeDocument/2006/relationships/hyperlink" Id="rId29" Target="https://doi.org/10.1080/00031305.2018.1543137" TargetMode="External" /><Relationship Type="http://schemas.openxmlformats.org/officeDocument/2006/relationships/hyperlink" Id="rId37" Target="https://doi.org/10.1080/01621459.1995.10476572" TargetMode="External" /><Relationship Type="http://schemas.openxmlformats.org/officeDocument/2006/relationships/hyperlink" Id="rId43" Target="https://doi.org/10.1098/rsif.2017.0213" TargetMode="External" /><Relationship Type="http://schemas.openxmlformats.org/officeDocument/2006/relationships/hyperlink" Id="rId35" Target="https://doi.org/10.1177/0956797613504966" TargetMode="External" /><Relationship Type="http://schemas.openxmlformats.org/officeDocument/2006/relationships/hyperlink" Id="rId47" Target="https://doi.org/10.3758/BF03194105" TargetMode="External" /></Relationships>
</file>

<file path=word/_rels/footnotes.xml.rels><?xml version="1.0" encoding="UTF-8"?><Relationships xmlns="http://schemas.openxmlformats.org/package/2006/relationships"><Relationship Type="http://schemas.openxmlformats.org/officeDocument/2006/relationships/hyperlink" Id="rId49" Target="https://CRAN.R-project.org/package=ggplot2" TargetMode="External" /><Relationship Type="http://schemas.openxmlformats.org/officeDocument/2006/relationships/hyperlink" Id="rId31" Target="https://CRAN.R-project.org/package=marginaleffects" TargetMode="External" /><Relationship Type="http://schemas.openxmlformats.org/officeDocument/2006/relationships/hyperlink" Id="rId45" Target="https://CRAN.R-project.org/package=patchwork" TargetMode="External" /><Relationship Type="http://schemas.openxmlformats.org/officeDocument/2006/relationships/hyperlink" Id="rId39" Target="https://CRAN.R-project.org/package=tidybayes" TargetMode="External" /><Relationship Type="http://schemas.openxmlformats.org/officeDocument/2006/relationships/hyperlink" Id="rId33" Target="https://cran.r-project.org/web/packages/lme4/index.html" TargetMode="External" /><Relationship Type="http://schemas.openxmlformats.org/officeDocument/2006/relationships/hyperlink" Id="rId27" Target="https://doi.org/10.1038/d41586-019-00857-9" TargetMode="External" /><Relationship Type="http://schemas.openxmlformats.org/officeDocument/2006/relationships/hyperlink" Id="rId41" Target="https://doi.org/10.1080/00031305.2018.1527253" TargetMode="External" /><Relationship Type="http://schemas.openxmlformats.org/officeDocument/2006/relationships/hyperlink" Id="rId29" Target="https://doi.org/10.1080/00031305.2018.1543137" TargetMode="External" /><Relationship Type="http://schemas.openxmlformats.org/officeDocument/2006/relationships/hyperlink" Id="rId37" Target="https://doi.org/10.1080/01621459.1995.10476572" TargetMode="External" /><Relationship Type="http://schemas.openxmlformats.org/officeDocument/2006/relationships/hyperlink" Id="rId43" Target="https://doi.org/10.1098/rsif.2017.0213" TargetMode="External" /><Relationship Type="http://schemas.openxmlformats.org/officeDocument/2006/relationships/hyperlink" Id="rId35" Target="https://doi.org/10.1177/0956797613504966" TargetMode="External" /><Relationship Type="http://schemas.openxmlformats.org/officeDocument/2006/relationships/hyperlink" Id="rId47" Target="https://doi.org/10.3758/BF0319410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and Results</dc:title>
  <dc:creator/>
  <cp:keywords/>
  <dcterms:created xsi:type="dcterms:W3CDTF">2023-08-23T09:37:52Z</dcterms:created>
  <dcterms:modified xsi:type="dcterms:W3CDTF">2023-08-23T09:37:52Z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