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3" w:name="statistical-analysis"/>
    <w:p>
      <w:pPr>
        <w:pStyle w:val="Heading1"/>
      </w:pPr>
      <w:r>
        <w:t xml:space="preserve">Statistical Analysis</w:t>
      </w:r>
    </w:p>
    <w:p>
      <w:pPr>
        <w:pStyle w:val="FirstParagraph"/>
      </w:pPr>
      <w:r>
        <w:t xml:space="preserve">The present analysis was not pre-registered as we had no a priori hypotheses and thus, given the pilot nature of this study,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and visualising individual participant level model predictions.</w:t>
      </w:r>
    </w:p>
    <w:p>
      <w:pPr>
        <w:pStyle w:val="BodyText"/>
      </w:pPr>
      <w:r>
        <w:t xml:space="preserve">All analysis was performed in R (version 4.2.2, The R Foundation for Statistical Computing, 2022) and all data and code is presented in the supplementary materials (https://osf.io/kf9r3/). The aim of our analysis was to explore how well the Zelemiq sensor device predicted blood lactate levels as measured from capillary samples by the Biosen C-Line. The dependent variable in our model was therefore the blood lactate levels, and the independent predictor variable was the Zelemiq sensor data. A rolling mean was calculated for the Zelemiq data using a 10 sample window prior to the corresponding blood lactate values at that time point. A mixed effect model was estimated</w:t>
      </w:r>
      <w:r>
        <w:t xml:space="preserve"> </w:t>
      </w:r>
      <w:r>
        <w:t xml:space="preserve">(Bates et al., 2023)</w:t>
      </w:r>
      <w:r>
        <w:t xml:space="preserve"> </w:t>
      </w:r>
      <w:r>
        <w:t xml:space="preserve">using Restricted Maximal Likelihood with the Zelemiq sensor data as a fixed effect, and allowing random intercepts and slopes by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Lactate</m:t>
                    </m:r>
                  </m:e>
                  <m:sub>
                    <m:r>
                      <m:t>i</m:t>
                    </m:r>
                  </m:sub>
                </m:sSub>
              </m:e>
              <m:e>
                <m:r>
                  <m:rPr>
                    <m:sty m:val="p"/>
                  </m:rPr>
                  <m:t>∼</m:t>
                </m:r>
                <m:r>
                  <m:t>N</m:t>
                </m:r>
                <m:d>
                  <m:dPr>
                    <m:begChr m:val="("/>
                    <m:endChr m:val=")"/>
                    <m:sepChr m:val=""/>
                    <m:grow/>
                  </m:dPr>
                  <m:e>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Zelemiq</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id j = 1,</m:t>
                </m:r>
                <m:r>
                  <m:rPr>
                    <m:sty m:val="p"/>
                  </m:rPr>
                  <m:t>…</m:t>
                </m:r>
                <m:r>
                  <m:rPr>
                    <m:nor/>
                    <m:sty m:val="p"/>
                  </m:rPr>
                  <m:t>,J</m:t>
                </m:r>
              </m:e>
            </m:mr>
          </m:m>
        </m:oMath>
      </m:oMathPara>
    </w:p>
    <w:p>
      <w:pPr>
        <w:pStyle w:val="FirstParagraph"/>
      </w:pPr>
      <w:r>
        <w:t xml:space="preserve">We initially fit the model based on the unadjusted averaged Zelemiq sensor data. However, it was clear from this initial model that the model was a poor fit to the data (see posterior predictive check here: ????) likely resulting from the considerable variance in the intercepts between participants due to very different baseline Zelemiq sensor values (see model and individual predictions here: ????). As such, we re-centered within each individual participant based upon their baseline average Zelemiq sensor value (i.e., within each participant</w:t>
      </w:r>
      <w:r>
        <w:t xml:space="preserve"> </w:t>
      </w:r>
      <m:oMath>
        <m:r>
          <m:t>Z</m:t>
        </m:r>
        <m:r>
          <m:t>e</m:t>
        </m:r>
        <m:r>
          <m:t>l</m:t>
        </m:r>
        <m:r>
          <m:t>e</m:t>
        </m:r>
        <m:r>
          <m:t>m</m:t>
        </m:r>
        <m:r>
          <m:t>i</m:t>
        </m:r>
        <m:sSub>
          <m:e>
            <m:r>
              <m:t>q</m:t>
            </m:r>
          </m:e>
          <m:sub>
            <m:r>
              <m:t>z</m:t>
            </m:r>
          </m:sub>
        </m:sSub>
        <m:r>
          <m:rPr>
            <m:sty m:val="p"/>
          </m:rPr>
          <m:t>−</m:t>
        </m:r>
        <m:r>
          <m:t>Z</m:t>
        </m:r>
        <m:r>
          <m:t>e</m:t>
        </m:r>
        <m:r>
          <m:t>l</m:t>
        </m:r>
        <m:r>
          <m:t>e</m:t>
        </m:r>
        <m:r>
          <m:t>m</m:t>
        </m:r>
        <m:r>
          <m:t>i</m:t>
        </m:r>
        <m:sSub>
          <m:e>
            <m:r>
              <m:t>q</m:t>
            </m:r>
          </m:e>
          <m:sub>
            <m:r>
              <m:t>1</m:t>
            </m:r>
          </m:sub>
        </m:sSub>
        <m:r>
          <m:rPr>
            <m:nor/>
            <m:sty m:val="p"/>
          </m:rPr>
          <m:t>, for Zelemiq z = 1,</m:t>
        </m:r>
        <m:r>
          <m:rPr>
            <m:sty m:val="p"/>
          </m:rPr>
          <m:t>…</m:t>
        </m:r>
        <m:r>
          <m:rPr>
            <m:nor/>
            <m:sty m:val="p"/>
          </m:rPr>
          <m:t>,Z</m:t>
        </m:r>
      </m:oMath>
      <w:r>
        <w:t xml:space="preserve">). Comparison of the re-centred model with the original model based on Bayes factors calculated with approximate Bayesian Information Criterion</w:t>
      </w:r>
      <w:r>
        <w:t xml:space="preserve"> </w:t>
      </w:r>
      <w:r>
        <w:t xml:space="preserve">(Wagenmakers, 2007)</w:t>
      </w:r>
      <w:r>
        <w:t xml:space="preserve"> </w:t>
      </w:r>
      <w:r>
        <w:t xml:space="preserve">suggested there was very strong evidence supporting the re-centred model (</w:t>
      </w:r>
      <m:oMath>
        <m:r>
          <m:t>2</m:t>
        </m:r>
        <m:r>
          <m:rPr>
            <m:sty m:val="p"/>
          </m:rPr>
          <m:t>×</m:t>
        </m:r>
        <m:r>
          <m:t>l</m:t>
        </m:r>
        <m:r>
          <m:t>o</m:t>
        </m:r>
        <m:r>
          <m:t>g</m:t>
        </m:r>
        <m:r>
          <m:t>B</m:t>
        </m:r>
        <m:r>
          <m:t>F</m:t>
        </m:r>
        <m:r>
          <m:rPr>
            <m:sty m:val="p"/>
          </m:rPr>
          <m:t>=</m:t>
        </m:r>
      </m:oMath>
      <w:r>
        <w:t xml:space="preserve"> </w:t>
      </w:r>
      <w:r>
        <w:t xml:space="preserve">11.4;</w:t>
      </w:r>
      <w:r>
        <w:t xml:space="preserve"> </w:t>
      </w:r>
      <w:r>
        <w:t xml:space="preserve">Kass &amp; Raftery (1995)</w:t>
      </w:r>
      <w:r>
        <w:t xml:space="preserve">). Thus we proceeded with this model. The assumption checks for the re-centered model can be seen in the supplementary materials (see ????). We examined the marginal and conditional</w:t>
      </w:r>
      <w:r>
        <w:t xml:space="preserve"> </w:t>
      </w:r>
      <m:oMath>
        <m:sSup>
          <m:e>
            <m:r>
              <m:t>R</m:t>
            </m:r>
          </m:e>
          <m:sup>
            <m:r>
              <m:t>2</m:t>
            </m:r>
          </m:sup>
        </m:sSup>
      </m:oMath>
      <w:r>
        <w:t xml:space="preserve">. Model predictions were visualised for both the conditional fixed effect, and at the individual participant level using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We also examined the random effects standard deviations with profile confidence intervals. The raw Zelemiq sensor data (i.e., unaveraged) was also visualised alongside the blood lactate data.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Start w:id="42" w:name="refs"/>
    <w:bookmarkStart w:id="21"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20">
        <w:r>
          <w:rPr>
            <w:rStyle w:val="Hyperlink"/>
          </w:rPr>
          <w:t xml:space="preserve">https://doi.org/10.1038/d41586-019-00857-9</w:t>
        </w:r>
      </w:hyperlink>
    </w:p>
    <w:bookmarkEnd w:id="21"/>
    <w:bookmarkStart w:id="23"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22">
        <w:r>
          <w:rPr>
            <w:rStyle w:val="Hyperlink"/>
          </w:rPr>
          <w:t xml:space="preserve">https://doi.org/10.1080/00031305.2018.1543137</w:t>
        </w:r>
      </w:hyperlink>
    </w:p>
    <w:bookmarkEnd w:id="23"/>
    <w:bookmarkStart w:id="25"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24">
        <w:r>
          <w:rPr>
            <w:rStyle w:val="Hyperlink"/>
          </w:rPr>
          <w:t xml:space="preserve">https://CRAN.R-project.org/package=marginaleffects</w:t>
        </w:r>
      </w:hyperlink>
    </w:p>
    <w:bookmarkEnd w:id="25"/>
    <w:bookmarkStart w:id="27" w:name="ref-bates_lme4_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w:t>
      </w:r>
      <w:r>
        <w:rPr>
          <w:iCs/>
          <w:i/>
        </w:rPr>
        <w:t xml:space="preserve"> </w:t>
      </w:r>
      <w:r>
        <w:rPr>
          <w:iCs/>
          <w:i/>
        </w:rPr>
        <w:t xml:space="preserve">Mixed</w:t>
      </w:r>
      <w:r>
        <w:rPr>
          <w:iCs/>
          <w:i/>
        </w:rPr>
        <w:t xml:space="preserve">-</w:t>
      </w:r>
      <w:r>
        <w:rPr>
          <w:iCs/>
          <w:i/>
        </w:rPr>
        <w:t xml:space="preserve">Effects</w:t>
      </w:r>
      <w:r>
        <w:rPr>
          <w:iCs/>
          <w:i/>
        </w:rPr>
        <w:t xml:space="preserve"> </w:t>
      </w:r>
      <w:r>
        <w:rPr>
          <w:iCs/>
          <w:i/>
        </w:rPr>
        <w:t xml:space="preserve">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r>
        <w:t xml:space="preserve"> </w:t>
      </w:r>
      <w:hyperlink r:id="rId26">
        <w:r>
          <w:rPr>
            <w:rStyle w:val="Hyperlink"/>
          </w:rPr>
          <w:t xml:space="preserve">https://cran.r-project.org/web/packages/lme4/index.html</w:t>
        </w:r>
      </w:hyperlink>
    </w:p>
    <w:bookmarkEnd w:id="27"/>
    <w:bookmarkStart w:id="29"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28">
        <w:r>
          <w:rPr>
            <w:rStyle w:val="Hyperlink"/>
          </w:rPr>
          <w:t xml:space="preserve">https://doi.org/10.1177/0956797613504966</w:t>
        </w:r>
      </w:hyperlink>
    </w:p>
    <w:bookmarkEnd w:id="29"/>
    <w:bookmarkStart w:id="31" w:name="ref-kass_bayes_1995"/>
    <w:p>
      <w:pPr>
        <w:pStyle w:val="Bibliography"/>
      </w:pPr>
      <w:r>
        <w:t xml:space="preserve">Kass, R. E., &amp; Raftery, A. E. (1995). Bayes</w:t>
      </w:r>
      <w:r>
        <w:t xml:space="preserve"> </w:t>
      </w:r>
      <w:r>
        <w:t xml:space="preserve">Factors</w:t>
      </w:r>
      <w:r>
        <w:t xml:space="preserve">.</w:t>
      </w:r>
      <w:r>
        <w:t xml:space="preserve"> </w:t>
      </w:r>
      <w:r>
        <w:rPr>
          <w:iCs/>
          <w:i/>
        </w:rPr>
        <w:t xml:space="preserve">Journal of the American Statistical Association</w:t>
      </w:r>
      <w:r>
        <w:t xml:space="preserve">,</w:t>
      </w:r>
      <w:r>
        <w:t xml:space="preserve"> </w:t>
      </w:r>
      <w:r>
        <w:rPr>
          <w:iCs/>
          <w:i/>
        </w:rPr>
        <w:t xml:space="preserve">90</w:t>
      </w:r>
      <w:r>
        <w:t xml:space="preserve">(430), 773–795.</w:t>
      </w:r>
      <w:r>
        <w:t xml:space="preserve"> </w:t>
      </w:r>
      <w:hyperlink r:id="rId30">
        <w:r>
          <w:rPr>
            <w:rStyle w:val="Hyperlink"/>
          </w:rPr>
          <w:t xml:space="preserve">https://doi.org/10.1080/01621459.1995.10476572</w:t>
        </w:r>
      </w:hyperlink>
    </w:p>
    <w:bookmarkEnd w:id="31"/>
    <w:bookmarkStart w:id="33"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32">
        <w:r>
          <w:rPr>
            <w:rStyle w:val="Hyperlink"/>
          </w:rPr>
          <w:t xml:space="preserve">https://CRAN.R-project.org/package=tidybayes</w:t>
        </w:r>
      </w:hyperlink>
    </w:p>
    <w:bookmarkEnd w:id="33"/>
    <w:bookmarkStart w:id="35"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34">
        <w:r>
          <w:rPr>
            <w:rStyle w:val="Hyperlink"/>
          </w:rPr>
          <w:t xml:space="preserve">https://doi.org/10.1080/00031305.2018.1527253</w:t>
        </w:r>
      </w:hyperlink>
    </w:p>
    <w:bookmarkEnd w:id="35"/>
    <w:bookmarkStart w:id="37"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36">
        <w:r>
          <w:rPr>
            <w:rStyle w:val="Hyperlink"/>
          </w:rPr>
          <w:t xml:space="preserve">https://CRAN.R-project.org/package=patchwork</w:t>
        </w:r>
      </w:hyperlink>
    </w:p>
    <w:bookmarkEnd w:id="37"/>
    <w:bookmarkStart w:id="39" w:name="ref-wagenmakers_practical_2007"/>
    <w:p>
      <w:pPr>
        <w:pStyle w:val="Bibliography"/>
      </w:pPr>
      <w:r>
        <w:t xml:space="preserve">Wagenmakers, E.-J. (2007). A practical solution to the pervasive problems ofp values.</w:t>
      </w:r>
      <w:r>
        <w:t xml:space="preserve"> </w:t>
      </w:r>
      <w:r>
        <w:rPr>
          <w:iCs/>
          <w:i/>
        </w:rPr>
        <w:t xml:space="preserve">Psychonomic Bulletin &amp; Review</w:t>
      </w:r>
      <w:r>
        <w:t xml:space="preserve">,</w:t>
      </w:r>
      <w:r>
        <w:t xml:space="preserve"> </w:t>
      </w:r>
      <w:r>
        <w:rPr>
          <w:iCs/>
          <w:i/>
        </w:rPr>
        <w:t xml:space="preserve">14</w:t>
      </w:r>
      <w:r>
        <w:t xml:space="preserve">(5), 779–804.</w:t>
      </w:r>
      <w:r>
        <w:t xml:space="preserve"> </w:t>
      </w:r>
      <w:hyperlink r:id="rId38">
        <w:r>
          <w:rPr>
            <w:rStyle w:val="Hyperlink"/>
          </w:rPr>
          <w:t xml:space="preserve">https://doi.org/10.3758/BF03194105</w:t>
        </w:r>
      </w:hyperlink>
    </w:p>
    <w:bookmarkEnd w:id="39"/>
    <w:bookmarkStart w:id="41"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40">
        <w:r>
          <w:rPr>
            <w:rStyle w:val="Hyperlink"/>
          </w:rPr>
          <w:t xml:space="preserve">https://CRAN.R-project.org/package=ggplot2</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RAN.R-project.org/package=ggplot2" TargetMode="External" /><Relationship Type="http://schemas.openxmlformats.org/officeDocument/2006/relationships/hyperlink" Id="rId24" Target="https://CRAN.R-project.org/package=marginaleffects" TargetMode="External" /><Relationship Type="http://schemas.openxmlformats.org/officeDocument/2006/relationships/hyperlink" Id="rId36" Target="https://CRAN.R-project.org/package=patchwork" TargetMode="External" /><Relationship Type="http://schemas.openxmlformats.org/officeDocument/2006/relationships/hyperlink" Id="rId32" Target="https://CRAN.R-project.org/package=tidybayes" TargetMode="External" /><Relationship Type="http://schemas.openxmlformats.org/officeDocument/2006/relationships/hyperlink" Id="rId26" Target="https://cran.r-project.org/web/packages/lme4/index.html" TargetMode="External" /><Relationship Type="http://schemas.openxmlformats.org/officeDocument/2006/relationships/hyperlink" Id="rId20" Target="https://doi.org/10.1038/d41586-019-00857-9" TargetMode="External" /><Relationship Type="http://schemas.openxmlformats.org/officeDocument/2006/relationships/hyperlink" Id="rId34" Target="https://doi.org/10.1080/00031305.2018.1527253" TargetMode="External" /><Relationship Type="http://schemas.openxmlformats.org/officeDocument/2006/relationships/hyperlink" Id="rId22" Target="https://doi.org/10.1080/00031305.2018.1543137" TargetMode="External" /><Relationship Type="http://schemas.openxmlformats.org/officeDocument/2006/relationships/hyperlink" Id="rId30" Target="https://doi.org/10.1080/01621459.1995.10476572" TargetMode="External" /><Relationship Type="http://schemas.openxmlformats.org/officeDocument/2006/relationships/hyperlink" Id="rId28" Target="https://doi.org/10.1177/0956797613504966" TargetMode="External" /><Relationship Type="http://schemas.openxmlformats.org/officeDocument/2006/relationships/hyperlink" Id="rId38" Target="https://doi.org/10.3758/BF03194105" TargetMode="External" /></Relationships>
</file>

<file path=word/_rels/footnotes.xml.rels><?xml version="1.0" encoding="UTF-8"?><Relationships xmlns="http://schemas.openxmlformats.org/package/2006/relationships"><Relationship Type="http://schemas.openxmlformats.org/officeDocument/2006/relationships/hyperlink" Id="rId40" Target="https://CRAN.R-project.org/package=ggplot2" TargetMode="External" /><Relationship Type="http://schemas.openxmlformats.org/officeDocument/2006/relationships/hyperlink" Id="rId24" Target="https://CRAN.R-project.org/package=marginaleffects" TargetMode="External" /><Relationship Type="http://schemas.openxmlformats.org/officeDocument/2006/relationships/hyperlink" Id="rId36" Target="https://CRAN.R-project.org/package=patchwork" TargetMode="External" /><Relationship Type="http://schemas.openxmlformats.org/officeDocument/2006/relationships/hyperlink" Id="rId32" Target="https://CRAN.R-project.org/package=tidybayes" TargetMode="External" /><Relationship Type="http://schemas.openxmlformats.org/officeDocument/2006/relationships/hyperlink" Id="rId26" Target="https://cran.r-project.org/web/packages/lme4/index.html" TargetMode="External" /><Relationship Type="http://schemas.openxmlformats.org/officeDocument/2006/relationships/hyperlink" Id="rId20" Target="https://doi.org/10.1038/d41586-019-00857-9" TargetMode="External" /><Relationship Type="http://schemas.openxmlformats.org/officeDocument/2006/relationships/hyperlink" Id="rId34" Target="https://doi.org/10.1080/00031305.2018.1527253" TargetMode="External" /><Relationship Type="http://schemas.openxmlformats.org/officeDocument/2006/relationships/hyperlink" Id="rId22" Target="https://doi.org/10.1080/00031305.2018.1543137" TargetMode="External" /><Relationship Type="http://schemas.openxmlformats.org/officeDocument/2006/relationships/hyperlink" Id="rId30" Target="https://doi.org/10.1080/01621459.1995.10476572" TargetMode="External" /><Relationship Type="http://schemas.openxmlformats.org/officeDocument/2006/relationships/hyperlink" Id="rId28" Target="https://doi.org/10.1177/0956797613504966" TargetMode="External" /><Relationship Type="http://schemas.openxmlformats.org/officeDocument/2006/relationships/hyperlink" Id="rId38" Target="https://doi.org/10.3758/BF03194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2023-08-17T18:18:50Z</dcterms:created>
  <dcterms:modified xsi:type="dcterms:W3CDTF">2023-08-17T18:18:50Z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docx">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