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Amigo 21 English Project Dossier</w:t>
      </w:r>
    </w:p>
    <w:p>
      <w:r>
        <w:t>Technical history, operating guide and environment migration record</w:t>
      </w:r>
    </w:p>
    <w:p>
      <w:r>
        <w:t>Prepared for James Strande, successor engineers and authorized operational agents. Evidence reviewed September 7–8, 2026, America/New_York. This dossier preserves historical outcomes separately from current observations and work still awaiting acceptance.</w:t>
      </w:r>
    </w:p>
    <w:p>
      <w:pPr>
        <w:pStyle w:val="Heading1"/>
      </w:pPr>
      <w:r>
        <w:t>Executive assessment</w:t>
      </w:r>
    </w:p>
    <w:p>
      <w:r>
        <w:t>Amigo 21 English operates a bilingual public website and a separate authenticated payment sandbox. The public domains currently follow different serving paths: the .com website uses Google infrastructure and the .org apex uses Cloudflare infrastructure associated with OpenAI Sites. The latest public checks returned successful home and track pages for both apex domains. The .com www hostname redirects to the apex. The www.org hostname did not resolve during this review.</w:t>
      </w:r>
    </w:p>
    <w:p>
      <w:r>
        <w:t>The approved destination is one Webflow marketing website with amigo21english.com as the canonical domain, redirecting both www variants and amigo21english.org to the corresponding .com paths. Public contact processing remains a separate backend. Payments remain strictly nonproduction. The new environment design uses three independent Google Cloud projects rather than three services sharing one nonproduction project.</w:t>
      </w:r>
    </w:p>
    <w:p>
      <w:r>
        <w:t>The migration is not complete. Webflow exposes no accessible sites through the connector, and its browser dashboard requires sign-in. The production Cloud SQL instance inventory returned no instances, so a healthy GET on the contact endpoint does not establish that inquiries can be persisted. Real provider payment acceptance is incomplete: the verified staging Braintree sandbox credential was installed in the new isolated staging project and passed a read-only gateway ping in both locations, while dev and QA credentials remain placeholders and all screening and advisory-agent secrets are empty. These are release blockers, not cosmetic documentation gaps.</w:t>
      </w:r>
    </w:p>
    <w:p>
      <w:r>
        <w:t>This task implemented the independent-project infrastructure module, environment-bound runtime checks, safer release entrypoints, and a tested Webflow contact-routing adapter in an isolated copy of the working sandbox. It also created an unpublished documentation assistant. The three live foundations and their private database schemas were provisioned and verified with one promoted image digest. No completed marketing-site or payment migration should be inferred from those foundations.</w:t>
      </w:r>
    </w:p>
    <w:p>
      <w:pPr>
        <w:pStyle w:val="Heading1"/>
      </w:pPr>
      <w:r>
        <w:t>How to use this dossier</w:t>
      </w:r>
    </w:p>
    <w:p>
      <w:r>
        <w:t>Use the current-state tables to locate the real serving system before making changes. Use the history to understand why multiple copies and providers exist. Use the runbooks to release and verify one environment at a time. The companion Project Tracker uses the supplied template to record workstreams, statuses, proposed priorities and eventual schedule dates.</w:t>
      </w:r>
    </w:p>
    <w:p>
      <w:r>
        <w:t>Evidence classifications used throughout this dossier are:</w:t>
      </w:r>
    </w:p>
    <w:tbl>
      <w:tblPr>
        <w:tblStyle w:val="LightShading-Accent1"/>
        <w:tblW w:type="auto" w:w="0"/>
        <w:tblLayout w:type="fixed"/>
        <w:tblLook w:firstColumn="1" w:firstRow="1" w:lastColumn="0" w:lastRow="0" w:noHBand="0" w:noVBand="1" w:val="04A0"/>
      </w:tblPr>
      <w:tblGrid>
        <w:gridCol w:w="5040"/>
        <w:gridCol w:w="5040"/>
      </w:tblGrid>
      <w:tr>
        <w:trPr>
          <w:cantSplit/>
          <w:tblHeader/>
        </w:trPr>
        <w:tc>
          <w:tcPr>
            <w:tcW w:type="dxa" w:w="5040"/>
            <w:shd w:fill="245B66"/>
          </w:tcPr>
          <w:p>
            <w:pPr>
              <w:spacing w:after="80"/>
            </w:pPr>
            <w:r>
              <w:rPr>
                <w:b/>
                <w:color w:val="FFFFFF"/>
                <w:sz w:val="18"/>
              </w:rPr>
              <w:t>Classification</w:t>
            </w:r>
          </w:p>
        </w:tc>
        <w:tc>
          <w:tcPr>
            <w:tcW w:type="dxa" w:w="5040"/>
            <w:shd w:fill="245B66"/>
          </w:tcPr>
          <w:p>
            <w:pPr>
              <w:spacing w:after="80"/>
            </w:pPr>
            <w:r>
              <w:rPr>
                <w:b/>
                <w:color w:val="FFFFFF"/>
                <w:sz w:val="18"/>
              </w:rPr>
              <w:t>Meaning</w:t>
            </w:r>
          </w:p>
        </w:tc>
      </w:tr>
      <w:tr>
        <w:trPr>
          <w:cantSplit/>
        </w:trPr>
        <w:tc>
          <w:tcPr>
            <w:tcW w:type="dxa" w:w="5040"/>
          </w:tcPr>
          <w:p>
            <w:pPr>
              <w:spacing w:after="80"/>
            </w:pPr>
            <w:r>
              <w:rPr>
                <w:sz w:val="18"/>
              </w:rPr>
              <w:t>Current observation</w:t>
            </w:r>
          </w:p>
        </w:tc>
        <w:tc>
          <w:tcPr>
            <w:tcW w:type="dxa" w:w="5040"/>
          </w:tcPr>
          <w:p>
            <w:pPr>
              <w:spacing w:after="80"/>
            </w:pPr>
            <w:r>
              <w:rPr>
                <w:sz w:val="18"/>
              </w:rPr>
              <w:t>Checked in this task against source, provider metadata or public behavior</w:t>
            </w:r>
          </w:p>
        </w:tc>
      </w:tr>
      <w:tr>
        <w:trPr>
          <w:cantSplit/>
        </w:trPr>
        <w:tc>
          <w:tcPr>
            <w:tcW w:type="dxa" w:w="5040"/>
          </w:tcPr>
          <w:p>
            <w:pPr>
              <w:spacing w:after="80"/>
            </w:pPr>
            <w:r>
              <w:rPr>
                <w:sz w:val="18"/>
              </w:rPr>
              <w:t>Historical evidence</w:t>
            </w:r>
          </w:p>
        </w:tc>
        <w:tc>
          <w:tcPr>
            <w:tcW w:type="dxa" w:w="5040"/>
          </w:tcPr>
          <w:p>
            <w:pPr>
              <w:spacing w:after="80"/>
            </w:pPr>
            <w:r>
              <w:rPr>
                <w:sz w:val="18"/>
              </w:rPr>
              <w:t>A dated earlier result that has not necessarily been repeated</w:t>
            </w:r>
          </w:p>
        </w:tc>
      </w:tr>
      <w:tr>
        <w:trPr>
          <w:cantSplit/>
        </w:trPr>
        <w:tc>
          <w:tcPr>
            <w:tcW w:type="dxa" w:w="5040"/>
          </w:tcPr>
          <w:p>
            <w:pPr>
              <w:spacing w:after="80"/>
            </w:pPr>
            <w:r>
              <w:rPr>
                <w:sz w:val="18"/>
              </w:rPr>
              <w:t>Implemented and locally tested</w:t>
            </w:r>
          </w:p>
        </w:tc>
        <w:tc>
          <w:tcPr>
            <w:tcW w:type="dxa" w:w="5040"/>
          </w:tcPr>
          <w:p>
            <w:pPr>
              <w:spacing w:after="80"/>
            </w:pPr>
            <w:r>
              <w:rPr>
                <w:sz w:val="18"/>
              </w:rPr>
              <w:t>Code exists and named local checks passed; hosted acceptance may remain open</w:t>
            </w:r>
          </w:p>
        </w:tc>
      </w:tr>
      <w:tr>
        <w:trPr>
          <w:cantSplit/>
        </w:trPr>
        <w:tc>
          <w:tcPr>
            <w:tcW w:type="dxa" w:w="5040"/>
          </w:tcPr>
          <w:p>
            <w:pPr>
              <w:spacing w:after="80"/>
            </w:pPr>
            <w:r>
              <w:rPr>
                <w:sz w:val="18"/>
              </w:rPr>
              <w:t>Provisioned</w:t>
            </w:r>
          </w:p>
        </w:tc>
        <w:tc>
          <w:tcPr>
            <w:tcW w:type="dxa" w:w="5040"/>
          </w:tcPr>
          <w:p>
            <w:pPr>
              <w:spacing w:after="80"/>
            </w:pPr>
            <w:r>
              <w:rPr>
                <w:sz w:val="18"/>
              </w:rPr>
              <w:t>A cloud resource exists; this does not establish a usable application</w:t>
            </w:r>
          </w:p>
        </w:tc>
      </w:tr>
      <w:tr>
        <w:trPr>
          <w:cantSplit/>
        </w:trPr>
        <w:tc>
          <w:tcPr>
            <w:tcW w:type="dxa" w:w="5040"/>
          </w:tcPr>
          <w:p>
            <w:pPr>
              <w:spacing w:after="80"/>
            </w:pPr>
            <w:r>
              <w:rPr>
                <w:sz w:val="18"/>
              </w:rPr>
              <w:t>Blocked or pending</w:t>
            </w:r>
          </w:p>
        </w:tc>
        <w:tc>
          <w:tcPr>
            <w:tcW w:type="dxa" w:w="5040"/>
          </w:tcPr>
          <w:p>
            <w:pPr>
              <w:spacing w:after="80"/>
            </w:pPr>
            <w:r>
              <w:rPr>
                <w:sz w:val="18"/>
              </w:rPr>
              <w:t>An external prerequisite or acceptance test remains unresolved</w:t>
            </w:r>
          </w:p>
        </w:tc>
      </w:tr>
    </w:tbl>
    <w:p>
      <w:pPr>
        <w:spacing w:after="40"/>
      </w:pPr>
    </w:p>
    <w:p>
      <w:r>
        <w:t>A source checkout, a built image, a ready Cloud Run revision, a successful HTTP response and an actual provider transaction answer different questions. Never substitute one for another. All secret values, raw Terraform state, payment tokens and private student screening records are excluded from the handoff artifacts.</w:t>
      </w:r>
    </w:p>
    <w:p>
      <w:pPr>
        <w:pStyle w:val="Heading1"/>
      </w:pPr>
      <w:r>
        <w:t>Project history and decisions</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3360"/>
            <w:shd w:fill="245B66"/>
          </w:tcPr>
          <w:p>
            <w:pPr>
              <w:spacing w:after="80"/>
            </w:pPr>
            <w:r>
              <w:rPr>
                <w:b/>
                <w:color w:val="FFFFFF"/>
                <w:sz w:val="18"/>
              </w:rPr>
              <w:t>Period</w:t>
            </w:r>
          </w:p>
        </w:tc>
        <w:tc>
          <w:tcPr>
            <w:tcW w:type="dxa" w:w="3360"/>
            <w:shd w:fill="245B66"/>
          </w:tcPr>
          <w:p>
            <w:pPr>
              <w:spacing w:after="80"/>
            </w:pPr>
            <w:r>
              <w:rPr>
                <w:b/>
                <w:color w:val="FFFFFF"/>
                <w:sz w:val="18"/>
              </w:rPr>
              <w:t>Work completed or attempted</w:t>
            </w:r>
          </w:p>
        </w:tc>
        <w:tc>
          <w:tcPr>
            <w:tcW w:type="dxa" w:w="3360"/>
            <w:shd w:fill="245B66"/>
          </w:tcPr>
          <w:p>
            <w:pPr>
              <w:spacing w:after="80"/>
            </w:pPr>
            <w:r>
              <w:rPr>
                <w:b/>
                <w:color w:val="FFFFFF"/>
                <w:sz w:val="18"/>
              </w:rPr>
              <w:t>Operational lesson</w:t>
            </w:r>
          </w:p>
        </w:tc>
      </w:tr>
      <w:tr>
        <w:trPr>
          <w:cantSplit/>
        </w:trPr>
        <w:tc>
          <w:tcPr>
            <w:tcW w:type="dxa" w:w="3360"/>
          </w:tcPr>
          <w:p>
            <w:pPr>
              <w:spacing w:after="80"/>
            </w:pPr>
            <w:r>
              <w:rPr>
                <w:sz w:val="18"/>
              </w:rPr>
              <w:t>Early website development</w:t>
            </w:r>
          </w:p>
        </w:tc>
        <w:tc>
          <w:tcPr>
            <w:tcW w:type="dxa" w:w="3360"/>
          </w:tcPr>
          <w:p>
            <w:pPr>
              <w:spacing w:after="80"/>
            </w:pPr>
            <w:r>
              <w:rPr>
                <w:sz w:val="18"/>
              </w:rPr>
              <w:t>TypeScript, React and Vinext marketing application; earlier Firestore and GraphQL work existed in a predecessor checkout</w:t>
            </w:r>
          </w:p>
        </w:tc>
        <w:tc>
          <w:tcPr>
            <w:tcW w:type="dxa" w:w="3360"/>
          </w:tcPr>
          <w:p>
            <w:pPr>
              <w:spacing w:after="80"/>
            </w:pPr>
            <w:r>
              <w:rPr>
                <w:sz w:val="18"/>
              </w:rPr>
              <w:t>Do not confuse predecessor implementations with the deployed contact API</w:t>
            </w:r>
          </w:p>
        </w:tc>
      </w:tr>
      <w:tr>
        <w:trPr>
          <w:cantSplit/>
        </w:trPr>
        <w:tc>
          <w:tcPr>
            <w:tcW w:type="dxa" w:w="3360"/>
          </w:tcPr>
          <w:p>
            <w:pPr>
              <w:spacing w:after="80"/>
            </w:pPr>
            <w:r>
              <w:rPr>
                <w:sz w:val="18"/>
              </w:rPr>
              <w:t>August 2026 contact work</w:t>
            </w:r>
          </w:p>
        </w:tc>
        <w:tc>
          <w:tcPr>
            <w:tcW w:type="dxa" w:w="3360"/>
          </w:tcPr>
          <w:p>
            <w:pPr>
              <w:spacing w:after="80"/>
            </w:pPr>
            <w:r>
              <w:rPr>
                <w:sz w:val="18"/>
              </w:rPr>
              <w:t>Added lesson-interest validation, database schema evolution, persistence-first notification handling and CORS for external embeds</w:t>
            </w:r>
          </w:p>
        </w:tc>
        <w:tc>
          <w:tcPr>
            <w:tcW w:type="dxa" w:w="3360"/>
          </w:tcPr>
          <w:p>
            <w:pPr>
              <w:spacing w:after="80"/>
            </w:pPr>
            <w:r>
              <w:rPr>
                <w:sz w:val="18"/>
              </w:rPr>
              <w:t>A form response must be traced to actual storage and delivery</w:t>
            </w:r>
          </w:p>
        </w:tc>
      </w:tr>
      <w:tr>
        <w:trPr>
          <w:cantSplit/>
        </w:trPr>
        <w:tc>
          <w:tcPr>
            <w:tcW w:type="dxa" w:w="3360"/>
          </w:tcPr>
          <w:p>
            <w:pPr>
              <w:spacing w:after="80"/>
            </w:pPr>
            <w:r>
              <w:rPr>
                <w:sz w:val="18"/>
              </w:rPr>
              <w:t>August 14 dossier</w:t>
            </w:r>
          </w:p>
        </w:tc>
        <w:tc>
          <w:tcPr>
            <w:tcW w:type="dxa" w:w="3360"/>
          </w:tcPr>
          <w:p>
            <w:pPr>
              <w:spacing w:after="80"/>
            </w:pPr>
            <w:r>
              <w:rPr>
                <w:sz w:val="18"/>
              </w:rPr>
              <w:t>Recorded a clean main revision, build and local tests, Cloud Run/Firebase design and unresolved contact acceptance</w:t>
            </w:r>
          </w:p>
        </w:tc>
        <w:tc>
          <w:tcPr>
            <w:tcW w:type="dxa" w:w="3360"/>
          </w:tcPr>
          <w:p>
            <w:pPr>
              <w:spacing w:after="80"/>
            </w:pPr>
            <w:r>
              <w:rPr>
                <w:sz w:val="18"/>
              </w:rPr>
              <w:t>The old dossier is a historical baseline, not the current inventory</w:t>
            </w:r>
          </w:p>
        </w:tc>
      </w:tr>
      <w:tr>
        <w:trPr>
          <w:cantSplit/>
        </w:trPr>
        <w:tc>
          <w:tcPr>
            <w:tcW w:type="dxa" w:w="3360"/>
          </w:tcPr>
          <w:p>
            <w:pPr>
              <w:spacing w:after="80"/>
            </w:pPr>
            <w:r>
              <w:rPr>
                <w:sz w:val="18"/>
              </w:rPr>
              <w:t>August hosting and logo work</w:t>
            </w:r>
          </w:p>
        </w:tc>
        <w:tc>
          <w:tcPr>
            <w:tcW w:type="dxa" w:w="3360"/>
          </w:tcPr>
          <w:p>
            <w:pPr>
              <w:spacing w:after="80"/>
            </w:pPr>
            <w:r>
              <w:rPr>
                <w:sz w:val="18"/>
              </w:rPr>
              <w:t>Published the new logo and investigated Firebase versus Sites custom-domain routing</w:t>
            </w:r>
          </w:p>
        </w:tc>
        <w:tc>
          <w:tcPr>
            <w:tcW w:type="dxa" w:w="3360"/>
          </w:tcPr>
          <w:p>
            <w:pPr>
              <w:spacing w:after="80"/>
            </w:pPr>
            <w:r>
              <w:rPr>
                <w:sz w:val="18"/>
              </w:rPr>
              <w:t>A successful provider deployment does not prove the intended hostname serves it</w:t>
            </w:r>
          </w:p>
        </w:tc>
      </w:tr>
      <w:tr>
        <w:trPr>
          <w:cantSplit/>
        </w:trPr>
        <w:tc>
          <w:tcPr>
            <w:tcW w:type="dxa" w:w="3360"/>
          </w:tcPr>
          <w:p>
            <w:pPr>
              <w:spacing w:after="80"/>
            </w:pPr>
            <w:r>
              <w:rPr>
                <w:sz w:val="18"/>
              </w:rPr>
              <w:t>Late August curriculum work</w:t>
            </w:r>
          </w:p>
        </w:tc>
        <w:tc>
          <w:tcPr>
            <w:tcW w:type="dxa" w:w="3360"/>
          </w:tcPr>
          <w:p>
            <w:pPr>
              <w:spacing w:after="80"/>
            </w:pPr>
            <w:r>
              <w:rPr>
                <w:sz w:val="18"/>
              </w:rPr>
              <w:t>Added Track 1 level summaries and detailed course progression; later added Professional/Business and Driver’s Exam track pages</w:t>
            </w:r>
          </w:p>
        </w:tc>
        <w:tc>
          <w:tcPr>
            <w:tcW w:type="dxa" w:w="3360"/>
          </w:tcPr>
          <w:p>
            <w:pPr>
              <w:spacing w:after="80"/>
            </w:pPr>
            <w:r>
              <w:rPr>
                <w:sz w:val="18"/>
              </w:rPr>
              <w:t>Public pages summarize teaching resources rather than exposing full teaching plans</w:t>
            </w:r>
          </w:p>
        </w:tc>
      </w:tr>
      <w:tr>
        <w:trPr>
          <w:cantSplit/>
        </w:trPr>
        <w:tc>
          <w:tcPr>
            <w:tcW w:type="dxa" w:w="3360"/>
          </w:tcPr>
          <w:p>
            <w:pPr>
              <w:spacing w:after="80"/>
            </w:pPr>
            <w:r>
              <w:rPr>
                <w:sz w:val="18"/>
              </w:rPr>
              <w:t>Early September analytics</w:t>
            </w:r>
          </w:p>
        </w:tc>
        <w:tc>
          <w:tcPr>
            <w:tcW w:type="dxa" w:w="3360"/>
          </w:tcPr>
          <w:p>
            <w:pPr>
              <w:spacing w:after="80"/>
            </w:pPr>
            <w:r>
              <w:rPr>
                <w:sz w:val="18"/>
              </w:rPr>
              <w:t>Installed the shared Google tag across the separately served production sites</w:t>
            </w:r>
          </w:p>
        </w:tc>
        <w:tc>
          <w:tcPr>
            <w:tcW w:type="dxa" w:w="3360"/>
          </w:tcPr>
          <w:p>
            <w:pPr>
              <w:spacing w:after="80"/>
            </w:pPr>
            <w:r>
              <w:rPr>
                <w:sz w:val="18"/>
              </w:rPr>
              <w:t>Script presence is distinct from verified Analytics event ingestion</w:t>
            </w:r>
          </w:p>
        </w:tc>
      </w:tr>
      <w:tr>
        <w:trPr>
          <w:cantSplit/>
        </w:trPr>
        <w:tc>
          <w:tcPr>
            <w:tcW w:type="dxa" w:w="3360"/>
          </w:tcPr>
          <w:p>
            <w:pPr>
              <w:spacing w:after="80"/>
            </w:pPr>
            <w:r>
              <w:rPr>
                <w:sz w:val="18"/>
              </w:rPr>
              <w:t>September 5 placement flow</w:t>
            </w:r>
          </w:p>
        </w:tc>
        <w:tc>
          <w:tcPr>
            <w:tcW w:type="dxa" w:w="3360"/>
          </w:tcPr>
          <w:p>
            <w:pPr>
              <w:spacing w:after="80"/>
            </w:pPr>
            <w:r>
              <w:rPr>
                <w:sz w:val="18"/>
              </w:rPr>
              <w:t>Added the teacher-guided placement page and conditional new-tab flow; a Sites cutover attempt was blocked by a passkey</w:t>
            </w:r>
          </w:p>
        </w:tc>
        <w:tc>
          <w:tcPr>
            <w:tcW w:type="dxa" w:w="3360"/>
          </w:tcPr>
          <w:p>
            <w:pPr>
              <w:spacing w:after="80"/>
            </w:pPr>
            <w:r>
              <w:rPr>
                <w:sz w:val="18"/>
              </w:rPr>
              <w:t>Preserve the exact Beginner I exemption and complete DNS authentication honestly</w:t>
            </w:r>
          </w:p>
        </w:tc>
      </w:tr>
      <w:tr>
        <w:trPr>
          <w:cantSplit/>
        </w:trPr>
        <w:tc>
          <w:tcPr>
            <w:tcW w:type="dxa" w:w="3360"/>
          </w:tcPr>
          <w:p>
            <w:pPr>
              <w:spacing w:after="80"/>
            </w:pPr>
            <w:r>
              <w:rPr>
                <w:sz w:val="18"/>
              </w:rPr>
              <w:t>September 6 pricing</w:t>
            </w:r>
          </w:p>
        </w:tc>
        <w:tc>
          <w:tcPr>
            <w:tcW w:type="dxa" w:w="3360"/>
          </w:tcPr>
          <w:p>
            <w:pPr>
              <w:spacing w:after="80"/>
            </w:pPr>
            <w:r>
              <w:rPr>
                <w:sz w:val="18"/>
              </w:rPr>
              <w:t>Synchronized Basic, Complete and Plus prices across the price proposal and both production providers</w:t>
            </w:r>
          </w:p>
        </w:tc>
        <w:tc>
          <w:tcPr>
            <w:tcW w:type="dxa" w:w="3360"/>
          </w:tcPr>
          <w:p>
            <w:pPr>
              <w:spacing w:after="80"/>
            </w:pPr>
            <w:r>
              <w:rPr>
                <w:sz w:val="18"/>
              </w:rPr>
              <w:t>Make pricing changes once against an explicit matrix, then verify every course card</w:t>
            </w:r>
          </w:p>
        </w:tc>
      </w:tr>
      <w:tr>
        <w:trPr>
          <w:cantSplit/>
        </w:trPr>
        <w:tc>
          <w:tcPr>
            <w:tcW w:type="dxa" w:w="3360"/>
          </w:tcPr>
          <w:p>
            <w:pPr>
              <w:spacing w:after="80"/>
            </w:pPr>
            <w:r>
              <w:rPr>
                <w:sz w:val="18"/>
              </w:rPr>
              <w:t>September 6 sandbox</w:t>
            </w:r>
          </w:p>
        </w:tc>
        <w:tc>
          <w:tcPr>
            <w:tcW w:type="dxa" w:w="3360"/>
          </w:tcPr>
          <w:p>
            <w:pPr>
              <w:spacing w:after="80"/>
            </w:pPr>
            <w:r>
              <w:rPr>
                <w:sz w:val="18"/>
              </w:rPr>
              <w:t>Built dedicated nonproduction hosting, databases, payment adapters, authentication, refunds, webhooks and reconciliation</w:t>
            </w:r>
          </w:p>
        </w:tc>
        <w:tc>
          <w:tcPr>
            <w:tcW w:type="dxa" w:w="3360"/>
          </w:tcPr>
          <w:p>
            <w:pPr>
              <w:spacing w:after="80"/>
            </w:pPr>
            <w:r>
              <w:rPr>
                <w:sz w:val="18"/>
              </w:rPr>
              <w:t>Stub tests do not establish merchant or device acceptance</w:t>
            </w:r>
          </w:p>
        </w:tc>
      </w:tr>
      <w:tr>
        <w:trPr>
          <w:cantSplit/>
        </w:trPr>
        <w:tc>
          <w:tcPr>
            <w:tcW w:type="dxa" w:w="3360"/>
          </w:tcPr>
          <w:p>
            <w:pPr>
              <w:spacing w:after="80"/>
            </w:pPr>
            <w:r>
              <w:rPr>
                <w:sz w:val="18"/>
              </w:rPr>
              <w:t>September 6 local repair</w:t>
            </w:r>
          </w:p>
        </w:tc>
        <w:tc>
          <w:tcPr>
            <w:tcW w:type="dxa" w:w="3360"/>
          </w:tcPr>
          <w:p>
            <w:pPr>
              <w:spacing w:after="80"/>
            </w:pPr>
            <w:r>
              <w:rPr>
                <w:sz w:val="18"/>
              </w:rPr>
              <w:t>Put the authenticated gateway at localhost:3000, retained persistent local test data and restored all 36 course prices</w:t>
            </w:r>
          </w:p>
        </w:tc>
        <w:tc>
          <w:tcPr>
            <w:tcW w:type="dxa" w:w="3360"/>
          </w:tcPr>
          <w:p>
            <w:pPr>
              <w:spacing w:after="80"/>
            </w:pPr>
            <w:r>
              <w:rPr>
                <w:sz w:val="18"/>
              </w:rPr>
              <w:t>Demo transaction prices are separate from informational tuition</w:t>
            </w:r>
          </w:p>
        </w:tc>
      </w:tr>
      <w:tr>
        <w:trPr>
          <w:cantSplit/>
        </w:trPr>
        <w:tc>
          <w:tcPr>
            <w:tcW w:type="dxa" w:w="3360"/>
          </w:tcPr>
          <w:p>
            <w:pPr>
              <w:spacing w:after="80"/>
            </w:pPr>
            <w:r>
              <w:rPr>
                <w:sz w:val="18"/>
              </w:rPr>
              <w:t>September 6–7 PayPal</w:t>
            </w:r>
          </w:p>
        </w:tc>
        <w:tc>
          <w:tcPr>
            <w:tcW w:type="dxa" w:w="3360"/>
          </w:tcPr>
          <w:p>
            <w:pPr>
              <w:spacing w:after="80"/>
            </w:pPr>
            <w:r>
              <w:rPr>
                <w:sz w:val="18"/>
              </w:rPr>
              <w:t>Added dedicated PayPal SDK checkout work and a separate Direct PayPal MCP guide</w:t>
            </w:r>
          </w:p>
        </w:tc>
        <w:tc>
          <w:tcPr>
            <w:tcW w:type="dxa" w:w="3360"/>
          </w:tcPr>
          <w:p>
            <w:pPr>
              <w:spacing w:after="80"/>
            </w:pPr>
            <w:r>
              <w:rPr>
                <w:sz w:val="18"/>
              </w:rPr>
              <w:t>Direct MCP transactions do not automatically write application order records</w:t>
            </w:r>
          </w:p>
        </w:tc>
      </w:tr>
      <w:tr>
        <w:trPr>
          <w:cantSplit/>
        </w:trPr>
        <w:tc>
          <w:tcPr>
            <w:tcW w:type="dxa" w:w="3360"/>
          </w:tcPr>
          <w:p>
            <w:pPr>
              <w:spacing w:after="80"/>
            </w:pPr>
            <w:r>
              <w:rPr>
                <w:sz w:val="18"/>
              </w:rPr>
              <w:t>September 7 screening</w:t>
            </w:r>
          </w:p>
        </w:tc>
        <w:tc>
          <w:tcPr>
            <w:tcW w:type="dxa" w:w="3360"/>
          </w:tcPr>
          <w:p>
            <w:pPr>
              <w:spacing w:after="80"/>
            </w:pPr>
            <w:r>
              <w:rPr>
                <w:sz w:val="18"/>
              </w:rPr>
              <w:t>Added versioned identity evidence, screening gates, human review and a durable advisory-agent outbox; deployed the three predecessor stages</w:t>
            </w:r>
          </w:p>
        </w:tc>
        <w:tc>
          <w:tcPr>
            <w:tcW w:type="dxa" w:w="3360"/>
          </w:tcPr>
          <w:p>
            <w:pPr>
              <w:spacing w:after="80"/>
            </w:pPr>
            <w:r>
              <w:rPr>
                <w:sz w:val="18"/>
              </w:rPr>
              <w:t>Agent reports remain advisory and cannot clear a payment</w:t>
            </w:r>
          </w:p>
        </w:tc>
      </w:tr>
      <w:tr>
        <w:trPr>
          <w:cantSplit/>
        </w:trPr>
        <w:tc>
          <w:tcPr>
            <w:tcW w:type="dxa" w:w="3360"/>
          </w:tcPr>
          <w:p>
            <w:pPr>
              <w:spacing w:after="80"/>
            </w:pPr>
            <w:r>
              <w:rPr>
                <w:sz w:val="18"/>
              </w:rPr>
              <w:t>This implementation</w:t>
            </w:r>
          </w:p>
        </w:tc>
        <w:tc>
          <w:tcPr>
            <w:tcW w:type="dxa" w:w="3360"/>
          </w:tcPr>
          <w:p>
            <w:pPr>
              <w:spacing w:after="80"/>
            </w:pPr>
            <w:r>
              <w:rPr>
                <w:sz w:val="18"/>
              </w:rPr>
              <w:t>Began independent-project migration, prepared Webflow handoff code, and produced updated documentation and tracker</w:t>
            </w:r>
          </w:p>
        </w:tc>
        <w:tc>
          <w:tcPr>
            <w:tcW w:type="dxa" w:w="3360"/>
          </w:tcPr>
          <w:p>
            <w:pPr>
              <w:spacing w:after="80"/>
            </w:pPr>
            <w:r>
              <w:rPr>
                <w:sz w:val="18"/>
              </w:rPr>
              <w:t>Publish only after routing, persistence, isolation and provider acceptance gates pass</w:t>
            </w:r>
          </w:p>
        </w:tc>
      </w:tr>
    </w:tbl>
    <w:p>
      <w:pPr>
        <w:spacing w:after="40"/>
      </w:pPr>
    </w:p>
    <w:p>
      <w:r>
        <w:t>Earlier records sometimes describe .com as attached to Sites or describe Firebase transport as withheld. The latest live routing and September 7 implementation status supersede those older observations. The historical transport restriction was resolved for the predecessor sandbox; the new projects still have separate activation gates.</w:t>
      </w:r>
    </w:p>
    <w:p>
      <w:pPr>
        <w:pStyle w:val="Heading1"/>
      </w:pPr>
      <w:r>
        <w:t>Source and deployment map</w:t>
      </w:r>
    </w:p>
    <w:p>
      <w:r>
        <w:t xml:space="preserve">The main website checkout is at </w:t>
      </w:r>
      <w:r>
        <w:rPr>
          <w:rFonts w:ascii="Consolas" w:hAnsi="Consolas"/>
          <w:sz w:val="18"/>
        </w:rPr>
        <w:t>/Users/jamesstrande.amigo21english/Amigo21Website</w:t>
      </w:r>
      <w:r>
        <w:t>. Its local main revision observed during planning was efa23c6. It is not identical to the isolated release copy serving the last verified production pricing release. For deployment work, inspect current traffic and the exact source revision before selecting a baseline.</w:t>
      </w:r>
    </w:p>
    <w:p>
      <w:r>
        <w:t xml:space="preserve">The Cloud Run release copy is under </w:t>
      </w:r>
      <w:r>
        <w:rPr>
          <w:rFonts w:ascii="Consolas" w:hAnsi="Consolas"/>
          <w:sz w:val="18"/>
        </w:rPr>
        <w:t>Desktop/Lesson Framework/.cloudrun-google-tag-release</w:t>
      </w:r>
      <w:r>
        <w:t xml:space="preserve">, at commit efe6f0638ead1cd8267f3b9367125d9d9713b5e3. The Sites release copy is </w:t>
      </w:r>
      <w:r>
        <w:rPr>
          <w:rFonts w:ascii="Consolas" w:hAnsi="Consolas"/>
          <w:sz w:val="18"/>
        </w:rPr>
        <w:t>.site-placement-test-update</w:t>
      </w:r>
      <w:r>
        <w:t>, at commit 416ac4d6d5ab148910289fc9b82dc33ffceb86a1. Both commits were read again in this task. Earlier task history links those copies to the final pricing release. No force-push or overwriting of those histories is part of this migration.</w:t>
      </w:r>
    </w:p>
    <w:p>
      <w:r>
        <w:t xml:space="preserve">The original payment sandbox is </w:t>
      </w:r>
      <w:r>
        <w:rPr>
          <w:rFonts w:ascii="Consolas" w:hAnsi="Consolas"/>
          <w:sz w:val="18"/>
        </w:rPr>
        <w:t>Desktop/Lesson Framework/amigo21-payment-sandbox</w:t>
      </w:r>
      <w:r>
        <w:t xml:space="preserve">. It contains substantial uncommitted September 7 changes, including screening, PayPal and local runtime work. This task copied the relevant working files into </w:t>
      </w:r>
      <w:r>
        <w:rPr>
          <w:rFonts w:ascii="Consolas" w:hAnsi="Consolas"/>
          <w:sz w:val="18"/>
        </w:rPr>
        <w:t>implementation/payment-sandbox</w:t>
      </w:r>
      <w:r>
        <w:t xml:space="preserve"> under the current workspace, preserving those changes and excluding secrets, Terraform state, build outputs and the original Git metadata. The original checkout remains intact.</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3360"/>
            <w:shd w:fill="245B66"/>
          </w:tcPr>
          <w:p>
            <w:pPr>
              <w:spacing w:after="80"/>
            </w:pPr>
            <w:r>
              <w:rPr>
                <w:b/>
                <w:color w:val="FFFFFF"/>
                <w:sz w:val="18"/>
              </w:rPr>
              <w:t>Live surface</w:t>
            </w:r>
          </w:p>
        </w:tc>
        <w:tc>
          <w:tcPr>
            <w:tcW w:type="dxa" w:w="3360"/>
            <w:shd w:fill="245B66"/>
          </w:tcPr>
          <w:p>
            <w:pPr>
              <w:spacing w:after="80"/>
            </w:pPr>
            <w:r>
              <w:rPr>
                <w:b/>
                <w:color w:val="FFFFFF"/>
                <w:sz w:val="18"/>
              </w:rPr>
              <w:t>Current provider or project</w:t>
            </w:r>
          </w:p>
        </w:tc>
        <w:tc>
          <w:tcPr>
            <w:tcW w:type="dxa" w:w="3360"/>
            <w:shd w:fill="245B66"/>
          </w:tcPr>
          <w:p>
            <w:pPr>
              <w:spacing w:after="80"/>
            </w:pPr>
            <w:r>
              <w:rPr>
                <w:b/>
                <w:color w:val="FFFFFF"/>
                <w:sz w:val="18"/>
              </w:rPr>
              <w:t>Verified boundary</w:t>
            </w:r>
          </w:p>
        </w:tc>
      </w:tr>
      <w:tr>
        <w:trPr>
          <w:cantSplit/>
        </w:trPr>
        <w:tc>
          <w:tcPr>
            <w:tcW w:type="dxa" w:w="3360"/>
          </w:tcPr>
          <w:p>
            <w:pPr>
              <w:spacing w:after="80"/>
            </w:pPr>
            <w:r>
              <w:rPr>
                <w:sz w:val="18"/>
              </w:rPr>
              <w:t>amigo21english.com</w:t>
            </w:r>
          </w:p>
        </w:tc>
        <w:tc>
          <w:tcPr>
            <w:tcW w:type="dxa" w:w="3360"/>
          </w:tcPr>
          <w:p>
            <w:pPr>
              <w:spacing w:after="80"/>
            </w:pPr>
            <w:r>
              <w:rPr>
                <w:sz w:val="18"/>
              </w:rPr>
              <w:t>Firebase/Google frontend and Cloud Run production project</w:t>
            </w:r>
          </w:p>
        </w:tc>
        <w:tc>
          <w:tcPr>
            <w:tcW w:type="dxa" w:w="3360"/>
          </w:tcPr>
          <w:p>
            <w:pPr>
              <w:spacing w:after="80"/>
            </w:pPr>
            <w:r>
              <w:rPr>
                <w:sz w:val="18"/>
              </w:rPr>
              <w:t>Home and all three track pages return 200</w:t>
            </w:r>
          </w:p>
        </w:tc>
      </w:tr>
      <w:tr>
        <w:trPr>
          <w:cantSplit/>
        </w:trPr>
        <w:tc>
          <w:tcPr>
            <w:tcW w:type="dxa" w:w="3360"/>
          </w:tcPr>
          <w:p>
            <w:pPr>
              <w:spacing w:after="80"/>
            </w:pPr>
            <w:r>
              <w:rPr>
                <w:sz w:val="18"/>
              </w:rPr>
              <w:t>www.amigo21english.com</w:t>
            </w:r>
          </w:p>
        </w:tc>
        <w:tc>
          <w:tcPr>
            <w:tcW w:type="dxa" w:w="3360"/>
          </w:tcPr>
          <w:p>
            <w:pPr>
              <w:spacing w:after="80"/>
            </w:pPr>
            <w:r>
              <w:rPr>
                <w:sz w:val="18"/>
              </w:rPr>
              <w:t>Redirect to .com apex</w:t>
            </w:r>
          </w:p>
        </w:tc>
        <w:tc>
          <w:tcPr>
            <w:tcW w:type="dxa" w:w="3360"/>
          </w:tcPr>
          <w:p>
            <w:pPr>
              <w:spacing w:after="80"/>
            </w:pPr>
            <w:r>
              <w:rPr>
                <w:sz w:val="18"/>
              </w:rPr>
              <w:t>Matching checked paths reach the apex</w:t>
            </w:r>
          </w:p>
        </w:tc>
      </w:tr>
      <w:tr>
        <w:trPr>
          <w:cantSplit/>
        </w:trPr>
        <w:tc>
          <w:tcPr>
            <w:tcW w:type="dxa" w:w="3360"/>
          </w:tcPr>
          <w:p>
            <w:pPr>
              <w:spacing w:after="80"/>
            </w:pPr>
            <w:r>
              <w:rPr>
                <w:sz w:val="18"/>
              </w:rPr>
              <w:t>amigo21english.org</w:t>
            </w:r>
          </w:p>
        </w:tc>
        <w:tc>
          <w:tcPr>
            <w:tcW w:type="dxa" w:w="3360"/>
          </w:tcPr>
          <w:p>
            <w:pPr>
              <w:spacing w:after="80"/>
            </w:pPr>
            <w:r>
              <w:rPr>
                <w:sz w:val="18"/>
              </w:rPr>
              <w:t>Cloudflare response; historical OpenAI Sites deployment</w:t>
            </w:r>
          </w:p>
        </w:tc>
        <w:tc>
          <w:tcPr>
            <w:tcW w:type="dxa" w:w="3360"/>
          </w:tcPr>
          <w:p>
            <w:pPr>
              <w:spacing w:after="80"/>
            </w:pPr>
            <w:r>
              <w:rPr>
                <w:sz w:val="18"/>
              </w:rPr>
              <w:t>Home and track pages return 200</w:t>
            </w:r>
          </w:p>
        </w:tc>
      </w:tr>
      <w:tr>
        <w:trPr>
          <w:cantSplit/>
        </w:trPr>
        <w:tc>
          <w:tcPr>
            <w:tcW w:type="dxa" w:w="3360"/>
          </w:tcPr>
          <w:p>
            <w:pPr>
              <w:spacing w:after="80"/>
            </w:pPr>
            <w:r>
              <w:rPr>
                <w:sz w:val="18"/>
              </w:rPr>
              <w:t>www.amigo21english.org</w:t>
            </w:r>
          </w:p>
        </w:tc>
        <w:tc>
          <w:tcPr>
            <w:tcW w:type="dxa" w:w="3360"/>
          </w:tcPr>
          <w:p>
            <w:pPr>
              <w:spacing w:after="80"/>
            </w:pPr>
            <w:r>
              <w:rPr>
                <w:sz w:val="18"/>
              </w:rPr>
              <w:t>No DNS resolution in current check</w:t>
            </w:r>
          </w:p>
        </w:tc>
        <w:tc>
          <w:tcPr>
            <w:tcW w:type="dxa" w:w="3360"/>
          </w:tcPr>
          <w:p>
            <w:pPr>
              <w:spacing w:after="80"/>
            </w:pPr>
            <w:r>
              <w:rPr>
                <w:sz w:val="18"/>
              </w:rPr>
              <w:t>Needs explicit cutover coverage</w:t>
            </w:r>
          </w:p>
        </w:tc>
      </w:tr>
      <w:tr>
        <w:trPr>
          <w:cantSplit/>
        </w:trPr>
        <w:tc>
          <w:tcPr>
            <w:tcW w:type="dxa" w:w="3360"/>
          </w:tcPr>
          <w:p>
            <w:pPr>
              <w:spacing w:after="80"/>
            </w:pPr>
            <w:r>
              <w:rPr>
                <w:sz w:val="18"/>
              </w:rPr>
              <w:t>Production Cloud Run</w:t>
            </w:r>
          </w:p>
        </w:tc>
        <w:tc>
          <w:tcPr>
            <w:tcW w:type="dxa" w:w="3360"/>
          </w:tcPr>
          <w:p>
            <w:pPr>
              <w:spacing w:after="80"/>
            </w:pPr>
            <w:r>
              <w:rPr>
                <w:sz w:val="18"/>
              </w:rPr>
              <w:t>amigo-21-english-website-22737, us-east1</w:t>
            </w:r>
          </w:p>
        </w:tc>
        <w:tc>
          <w:tcPr>
            <w:tcW w:type="dxa" w:w="3360"/>
          </w:tcPr>
          <w:p>
            <w:pPr>
              <w:spacing w:after="80"/>
            </w:pPr>
            <w:r>
              <w:rPr>
                <w:sz w:val="18"/>
              </w:rPr>
              <w:t>Ready revision amigo21website-00029-f9s</w:t>
            </w:r>
          </w:p>
        </w:tc>
      </w:tr>
      <w:tr>
        <w:trPr>
          <w:cantSplit/>
        </w:trPr>
        <w:tc>
          <w:tcPr>
            <w:tcW w:type="dxa" w:w="3360"/>
          </w:tcPr>
          <w:p>
            <w:pPr>
              <w:spacing w:after="80"/>
            </w:pPr>
            <w:r>
              <w:rPr>
                <w:sz w:val="18"/>
              </w:rPr>
              <w:t>Existing sandbox project</w:t>
            </w:r>
          </w:p>
        </w:tc>
        <w:tc>
          <w:tcPr>
            <w:tcW w:type="dxa" w:w="3360"/>
          </w:tcPr>
          <w:p>
            <w:pPr>
              <w:spacing w:after="80"/>
            </w:pPr>
            <w:r>
              <w:rPr>
                <w:sz w:val="18"/>
              </w:rPr>
              <w:t>amigo21-payments-nonprod-22737, us-east1</w:t>
            </w:r>
          </w:p>
        </w:tc>
        <w:tc>
          <w:tcPr>
            <w:tcW w:type="dxa" w:w="3360"/>
          </w:tcPr>
          <w:p>
            <w:pPr>
              <w:spacing w:after="80"/>
            </w:pPr>
            <w:r>
              <w:rPr>
                <w:sz w:val="18"/>
              </w:rPr>
              <w:t>Three ready application revisions remain the rollback baseline</w:t>
            </w:r>
          </w:p>
        </w:tc>
      </w:tr>
    </w:tbl>
    <w:p>
      <w:pPr>
        <w:spacing w:after="40"/>
      </w:pPr>
    </w:p>
    <w:p>
      <w:r>
        <w:t>The predecessor sandbox ready revisions observed live are sandbox-dev-00004-99v, sandbox-qa-00004-4q9 and sandbox-staging-00004-4s5. The recorded September 7 application image digest is 9db26e033004e7a54251bbd2f9f8613ca92e7b5452bfc222c5362332d974a279. That digest is historical release evidence; it is not the new migration build.</w:t>
      </w:r>
    </w:p>
    <w:p>
      <w:pPr>
        <w:pStyle w:val="Heading1"/>
      </w:pPr>
      <w:r>
        <w:t>Product content and public behavior</w:t>
      </w:r>
    </w:p>
    <w:p>
      <w:r>
        <w:t>The public site serves Portuguese-speaking learners with English and Brazilian Portuguese experiences, business contact links, course summaries and inquiry or placement entrypoints. There are twelve courses across three tracks. Track 1 covers Beginner I/II, Elementary I/II, Intermediate I/II and Advanced I/II. Track 2 covers Professional English I/II. Track 3 covers Driver’s Exam English I/II and is not affiliated with the New Jersey MVC.</w:t>
      </w:r>
    </w:p>
    <w:p>
      <w:r>
        <w:t>Course summaries must remain consistent with the teaching framework. The current curriculum history records eight-week courses with 50-minute lessons; older ten-week or sixteen-week materials exist in the wider document history. Do not silently combine those durations. The separate LessonPlanningDOSSIER.md describes detailed teaching resources and reconciliation issues. This website dossier does not replace it or authorize publication of teacher materials.</w:t>
      </w:r>
    </w:p>
    <w:p>
      <w:r>
        <w:t>The pricing matrix below was read from the verified Cloud Run release copy. It is informational tuition, not a transaction catalog, and must remain inside the appropriate course cards.</w:t>
      </w:r>
    </w:p>
    <w:tbl>
      <w:tblPr>
        <w:tblStyle w:val="LightShading-Accent1"/>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2520"/>
            <w:shd w:fill="245B66"/>
          </w:tcPr>
          <w:p>
            <w:pPr>
              <w:spacing w:after="80"/>
            </w:pPr>
            <w:r>
              <w:rPr>
                <w:b/>
                <w:color w:val="FFFFFF"/>
                <w:sz w:val="18"/>
              </w:rPr>
              <w:t>Course pair</w:t>
            </w:r>
          </w:p>
        </w:tc>
        <w:tc>
          <w:tcPr>
            <w:tcW w:type="dxa" w:w="2520"/>
            <w:shd w:fill="245B66"/>
          </w:tcPr>
          <w:p>
            <w:pPr>
              <w:spacing w:after="80"/>
            </w:pPr>
            <w:r>
              <w:rPr>
                <w:b/>
                <w:color w:val="FFFFFF"/>
                <w:sz w:val="18"/>
              </w:rPr>
              <w:t>Basic USD</w:t>
            </w:r>
          </w:p>
        </w:tc>
        <w:tc>
          <w:tcPr>
            <w:tcW w:type="dxa" w:w="2520"/>
            <w:shd w:fill="245B66"/>
          </w:tcPr>
          <w:p>
            <w:pPr>
              <w:spacing w:after="80"/>
            </w:pPr>
            <w:r>
              <w:rPr>
                <w:b/>
                <w:color w:val="FFFFFF"/>
                <w:sz w:val="18"/>
              </w:rPr>
              <w:t>Complete USD</w:t>
            </w:r>
          </w:p>
        </w:tc>
        <w:tc>
          <w:tcPr>
            <w:tcW w:type="dxa" w:w="2520"/>
            <w:shd w:fill="245B66"/>
          </w:tcPr>
          <w:p>
            <w:pPr>
              <w:spacing w:after="80"/>
            </w:pPr>
            <w:r>
              <w:rPr>
                <w:b/>
                <w:color w:val="FFFFFF"/>
                <w:sz w:val="18"/>
              </w:rPr>
              <w:t>Plus USD</w:t>
            </w:r>
          </w:p>
        </w:tc>
      </w:tr>
      <w:tr>
        <w:trPr>
          <w:cantSplit/>
        </w:trPr>
        <w:tc>
          <w:tcPr>
            <w:tcW w:type="dxa" w:w="2520"/>
          </w:tcPr>
          <w:p>
            <w:pPr>
              <w:spacing w:after="80"/>
            </w:pPr>
            <w:r>
              <w:rPr>
                <w:sz w:val="18"/>
              </w:rPr>
              <w:t>Beginner I and II</w:t>
            </w:r>
          </w:p>
        </w:tc>
        <w:tc>
          <w:tcPr>
            <w:tcW w:type="dxa" w:w="2520"/>
          </w:tcPr>
          <w:p>
            <w:pPr>
              <w:spacing w:after="80"/>
            </w:pPr>
            <w:r>
              <w:rPr>
                <w:sz w:val="18"/>
              </w:rPr>
              <w:t>149</w:t>
            </w:r>
          </w:p>
        </w:tc>
        <w:tc>
          <w:tcPr>
            <w:tcW w:type="dxa" w:w="2520"/>
          </w:tcPr>
          <w:p>
            <w:pPr>
              <w:spacing w:after="80"/>
            </w:pPr>
            <w:r>
              <w:rPr>
                <w:sz w:val="18"/>
              </w:rPr>
              <w:t>199</w:t>
            </w:r>
          </w:p>
        </w:tc>
        <w:tc>
          <w:tcPr>
            <w:tcW w:type="dxa" w:w="2520"/>
          </w:tcPr>
          <w:p>
            <w:pPr>
              <w:spacing w:after="80"/>
            </w:pPr>
            <w:r>
              <w:rPr>
                <w:sz w:val="18"/>
              </w:rPr>
              <w:t>249</w:t>
            </w:r>
          </w:p>
        </w:tc>
      </w:tr>
      <w:tr>
        <w:trPr>
          <w:cantSplit/>
        </w:trPr>
        <w:tc>
          <w:tcPr>
            <w:tcW w:type="dxa" w:w="2520"/>
          </w:tcPr>
          <w:p>
            <w:pPr>
              <w:spacing w:after="80"/>
            </w:pPr>
            <w:r>
              <w:rPr>
                <w:sz w:val="18"/>
              </w:rPr>
              <w:t>Elementary I and II</w:t>
            </w:r>
          </w:p>
        </w:tc>
        <w:tc>
          <w:tcPr>
            <w:tcW w:type="dxa" w:w="2520"/>
          </w:tcPr>
          <w:p>
            <w:pPr>
              <w:spacing w:after="80"/>
            </w:pPr>
            <w:r>
              <w:rPr>
                <w:sz w:val="18"/>
              </w:rPr>
              <w:t>210</w:t>
            </w:r>
          </w:p>
        </w:tc>
        <w:tc>
          <w:tcPr>
            <w:tcW w:type="dxa" w:w="2520"/>
          </w:tcPr>
          <w:p>
            <w:pPr>
              <w:spacing w:after="80"/>
            </w:pPr>
            <w:r>
              <w:rPr>
                <w:sz w:val="18"/>
              </w:rPr>
              <w:t>249</w:t>
            </w:r>
          </w:p>
        </w:tc>
        <w:tc>
          <w:tcPr>
            <w:tcW w:type="dxa" w:w="2520"/>
          </w:tcPr>
          <w:p>
            <w:pPr>
              <w:spacing w:after="80"/>
            </w:pPr>
            <w:r>
              <w:rPr>
                <w:sz w:val="18"/>
              </w:rPr>
              <w:t>299</w:t>
            </w:r>
          </w:p>
        </w:tc>
      </w:tr>
      <w:tr>
        <w:trPr>
          <w:cantSplit/>
        </w:trPr>
        <w:tc>
          <w:tcPr>
            <w:tcW w:type="dxa" w:w="2520"/>
          </w:tcPr>
          <w:p>
            <w:pPr>
              <w:spacing w:after="80"/>
            </w:pPr>
            <w:r>
              <w:rPr>
                <w:sz w:val="18"/>
              </w:rPr>
              <w:t>Intermediate I and II</w:t>
            </w:r>
          </w:p>
        </w:tc>
        <w:tc>
          <w:tcPr>
            <w:tcW w:type="dxa" w:w="2520"/>
          </w:tcPr>
          <w:p>
            <w:pPr>
              <w:spacing w:after="80"/>
            </w:pPr>
            <w:r>
              <w:rPr>
                <w:sz w:val="18"/>
              </w:rPr>
              <w:t>249</w:t>
            </w:r>
          </w:p>
        </w:tc>
        <w:tc>
          <w:tcPr>
            <w:tcW w:type="dxa" w:w="2520"/>
          </w:tcPr>
          <w:p>
            <w:pPr>
              <w:spacing w:after="80"/>
            </w:pPr>
            <w:r>
              <w:rPr>
                <w:sz w:val="18"/>
              </w:rPr>
              <w:t>279</w:t>
            </w:r>
          </w:p>
        </w:tc>
        <w:tc>
          <w:tcPr>
            <w:tcW w:type="dxa" w:w="2520"/>
          </w:tcPr>
          <w:p>
            <w:pPr>
              <w:spacing w:after="80"/>
            </w:pPr>
            <w:r>
              <w:rPr>
                <w:sz w:val="18"/>
              </w:rPr>
              <w:t>329</w:t>
            </w:r>
          </w:p>
        </w:tc>
      </w:tr>
      <w:tr>
        <w:trPr>
          <w:cantSplit/>
        </w:trPr>
        <w:tc>
          <w:tcPr>
            <w:tcW w:type="dxa" w:w="2520"/>
          </w:tcPr>
          <w:p>
            <w:pPr>
              <w:spacing w:after="80"/>
            </w:pPr>
            <w:r>
              <w:rPr>
                <w:sz w:val="18"/>
              </w:rPr>
              <w:t>Advanced I and II</w:t>
            </w:r>
          </w:p>
        </w:tc>
        <w:tc>
          <w:tcPr>
            <w:tcW w:type="dxa" w:w="2520"/>
          </w:tcPr>
          <w:p>
            <w:pPr>
              <w:spacing w:after="80"/>
            </w:pPr>
            <w:r>
              <w:rPr>
                <w:sz w:val="18"/>
              </w:rPr>
              <w:t>299</w:t>
            </w:r>
          </w:p>
        </w:tc>
        <w:tc>
          <w:tcPr>
            <w:tcW w:type="dxa" w:w="2520"/>
          </w:tcPr>
          <w:p>
            <w:pPr>
              <w:spacing w:after="80"/>
            </w:pPr>
            <w:r>
              <w:rPr>
                <w:sz w:val="18"/>
              </w:rPr>
              <w:t>329</w:t>
            </w:r>
          </w:p>
        </w:tc>
        <w:tc>
          <w:tcPr>
            <w:tcW w:type="dxa" w:w="2520"/>
          </w:tcPr>
          <w:p>
            <w:pPr>
              <w:spacing w:after="80"/>
            </w:pPr>
            <w:r>
              <w:rPr>
                <w:sz w:val="18"/>
              </w:rPr>
              <w:t>399</w:t>
            </w:r>
          </w:p>
        </w:tc>
      </w:tr>
      <w:tr>
        <w:trPr>
          <w:cantSplit/>
        </w:trPr>
        <w:tc>
          <w:tcPr>
            <w:tcW w:type="dxa" w:w="2520"/>
          </w:tcPr>
          <w:p>
            <w:pPr>
              <w:spacing w:after="80"/>
            </w:pPr>
            <w:r>
              <w:rPr>
                <w:sz w:val="18"/>
              </w:rPr>
              <w:t>Professional English I and II</w:t>
            </w:r>
          </w:p>
        </w:tc>
        <w:tc>
          <w:tcPr>
            <w:tcW w:type="dxa" w:w="2520"/>
          </w:tcPr>
          <w:p>
            <w:pPr>
              <w:spacing w:after="80"/>
            </w:pPr>
            <w:r>
              <w:rPr>
                <w:sz w:val="18"/>
              </w:rPr>
              <w:t>349</w:t>
            </w:r>
          </w:p>
        </w:tc>
        <w:tc>
          <w:tcPr>
            <w:tcW w:type="dxa" w:w="2520"/>
          </w:tcPr>
          <w:p>
            <w:pPr>
              <w:spacing w:after="80"/>
            </w:pPr>
            <w:r>
              <w:rPr>
                <w:sz w:val="18"/>
              </w:rPr>
              <w:t>419</w:t>
            </w:r>
          </w:p>
        </w:tc>
        <w:tc>
          <w:tcPr>
            <w:tcW w:type="dxa" w:w="2520"/>
          </w:tcPr>
          <w:p>
            <w:pPr>
              <w:spacing w:after="80"/>
            </w:pPr>
            <w:r>
              <w:rPr>
                <w:sz w:val="18"/>
              </w:rPr>
              <w:t>499</w:t>
            </w:r>
          </w:p>
        </w:tc>
      </w:tr>
      <w:tr>
        <w:trPr>
          <w:cantSplit/>
        </w:trPr>
        <w:tc>
          <w:tcPr>
            <w:tcW w:type="dxa" w:w="2520"/>
          </w:tcPr>
          <w:p>
            <w:pPr>
              <w:spacing w:after="80"/>
            </w:pPr>
            <w:r>
              <w:rPr>
                <w:sz w:val="18"/>
              </w:rPr>
              <w:t>Driver’s Exam English I and II</w:t>
            </w:r>
          </w:p>
        </w:tc>
        <w:tc>
          <w:tcPr>
            <w:tcW w:type="dxa" w:w="2520"/>
          </w:tcPr>
          <w:p>
            <w:pPr>
              <w:spacing w:after="80"/>
            </w:pPr>
            <w:r>
              <w:rPr>
                <w:sz w:val="18"/>
              </w:rPr>
              <w:t>499</w:t>
            </w:r>
          </w:p>
        </w:tc>
        <w:tc>
          <w:tcPr>
            <w:tcW w:type="dxa" w:w="2520"/>
          </w:tcPr>
          <w:p>
            <w:pPr>
              <w:spacing w:after="80"/>
            </w:pPr>
            <w:r>
              <w:rPr>
                <w:sz w:val="18"/>
              </w:rPr>
              <w:t>529</w:t>
            </w:r>
          </w:p>
        </w:tc>
        <w:tc>
          <w:tcPr>
            <w:tcW w:type="dxa" w:w="2520"/>
          </w:tcPr>
          <w:p>
            <w:pPr>
              <w:spacing w:after="80"/>
            </w:pPr>
            <w:r>
              <w:rPr>
                <w:sz w:val="18"/>
              </w:rPr>
              <w:t>599</w:t>
            </w:r>
          </w:p>
        </w:tc>
      </w:tr>
    </w:tbl>
    <w:p>
      <w:pPr>
        <w:spacing w:after="40"/>
      </w:pPr>
    </w:p>
    <w:p>
      <w:r>
        <w:t>The native Price Proposal sheet was synchronized in the September 6 release history. Its current live cells were not reread in this task; this dossier does not claim a new Sheets edit or reconciliation. Future price changes require a fresh sheet read and explicit comparison of all 36 displayed prices on every production hostname.</w:t>
      </w:r>
    </w:p>
    <w:p>
      <w:r>
        <w:t xml:space="preserve">The exact course string </w:t>
      </w:r>
      <w:r>
        <w:rPr>
          <w:rFonts w:ascii="Consolas" w:hAnsi="Consolas"/>
          <w:sz w:val="18"/>
        </w:rPr>
        <w:t>Track 1 — Course 1: Beginner I</w:t>
      </w:r>
      <w:r>
        <w:t xml:space="preserve"> is the only placement-test exemption. Every other valid selection opens the placement experience in a new tab. The teacher-guided assessment uses English or Portuguese instructions, English scored responses, and a working microphone. The source placement page describes approximately 35 minutes and links public student test assets. Preserve those already authorized student assets through a dedicated inventory; never infer permission to publish private lesson plans or teacher answer keys.</w:t>
      </w:r>
    </w:p>
    <w:p>
      <w:pPr>
        <w:pStyle w:val="Heading1"/>
      </w:pPr>
      <w:r>
        <w:t>Contact processing and integration contracts</w:t>
      </w:r>
    </w:p>
    <w:p>
      <w:r>
        <w:t xml:space="preserve">The stable production backend URL is </w:t>
      </w:r>
      <w:r>
        <w:rPr>
          <w:rFonts w:ascii="Consolas" w:hAnsi="Consolas"/>
          <w:sz w:val="18"/>
        </w:rPr>
        <w:t>https://amigo21website-7doj6ahycq-ue.a.run.app/api/contact</w:t>
      </w:r>
      <w:r>
        <w:t xml:space="preserve">. The public frontend should call this backend after moving to Webflow, because a relative </w:t>
      </w:r>
      <w:r>
        <w:rPr>
          <w:rFonts w:ascii="Consolas" w:hAnsi="Consolas"/>
          <w:sz w:val="18"/>
        </w:rPr>
        <w:t>/api/contact</w:t>
      </w:r>
      <w:r>
        <w:t xml:space="preserve"> on Webflow would no longer reach the Node application.</w:t>
      </w:r>
    </w:p>
    <w:p>
      <w:r>
        <w:t>The recorded deployed-release contract uses GET for health, OPTIONS for CORS and POST for an inquiry. POST accepts firstName, lastName, email, phone, lessonInterest, message and the hidden website honeypot. First name, last name, email, a valid course interest and message are required; phone is optional. The server trims values and applies bounded lengths. Unexpected browser origins are rejected; allowed origins receive an exact Access-Control-Allow-Origin value rather than a wildcard.</w:t>
      </w:r>
    </w:p>
    <w:p>
      <w:r>
        <w:t>In the inspected Cloud Run release source, a normal inquiry initializes or checks the PostgreSQL schema, performs a parameterized INSERT into inquiries, then attempts email notification. A notification failure is logged without discarding a successfully stored inquiry. The honeypot returns a success-like response without creating an inquiry. Neither a honeypot response nor an invalid-input test proves database persistence.</w:t>
      </w:r>
    </w:p>
    <w:p>
      <w:r>
        <w:t>The main checkout has additional Google Sheets synchronization code that differs from the deployed-release copy. Historical work also documented a Beginner I fallback to a dedicated sheet. These paths must remain explicitly distinguished: the presence of a helper in one checkout does not prove it is serving the current revision. Before restoring contact functionality, resolve the deployed source and decide which persistence path is authoritative. Do not silently route customer submissions to another provider merely because that provider is healthy.</w:t>
      </w:r>
    </w:p>
    <w:p>
      <w:r>
        <w:t>Current blocker: the production Google Cloud SQL instance inventory returned empty. The observed GET health response can succeed without a database connection. Production contact acceptance therefore requires verifying or restoring the intended persistence service, submitting a uniquely identified authorized test inquiry, finding the stored record, checking notification outcomes for both recipients, and checking that the record survives an application redeploy. This task has not claimed that acceptance.</w:t>
      </w:r>
    </w:p>
    <w:p>
      <w:r>
        <w:t>The production notification implementation uses server-only Resend configuration and routes business notifications to James and Rita. Credentials and recipient delivery logs stay private. A source-level email implementation and public mail DNS do not establish domain verification or successful delivery.</w:t>
      </w:r>
    </w:p>
    <w:p>
      <w:r>
        <w:t>The Webflow contact adapter in this task preserves the seven-field payload and uses an exact production-origin set. Unknown preview origins fail closed. A preview mapping may target only an approved sandbox hostname; it can never fall back to the production contact service. Its routing and failure behavior passed four local tests.</w:t>
      </w:r>
    </w:p>
    <w:p>
      <w:r>
        <w:t>There is an important integration constraint: the existing sandbox contact endpoint sits behind Google sign-in, a host-only session and exact-origin CSRF protections. A cross-origin Webflow preview cannot use it unchanged with omitted credentials. Preview capture therefore remains disabled until a synthetic-only integration is implemented and tested. Do not weaken the payment session’s SameSite, CSRF or origin checks to make a marketing preview submit.</w:t>
      </w:r>
    </w:p>
    <w:p>
      <w:pPr>
        <w:pStyle w:val="Heading1"/>
      </w:pPr>
      <w:r>
        <w:t>Existing sandbox architecture</w:t>
      </w:r>
    </w:p>
    <w:p>
      <w:r>
        <w:t>The predecessor project separates development, QA and staging by service, database, database user, runtime identity, secrets, hostname and environment marker. They still share the cloud project, SQL instance, network, Firebase authentication and some operational identities. This is stronger than a shared application database but weaker than independent project boundaries.</w:t>
      </w:r>
    </w:p>
    <w:p>
      <w:r>
        <w:t>The public entrypoint is an Express gateway. It verifies Google sessions and an explicit tester allowlist, then proxies the bilingual Vinext website on an internal loopback port. API routes are handled or rejected by the gateway, preventing accidental traversal into inherited production contact handlers. Test inquiries go to sandbox_inquiries. Production analytics is removed; noindex headers and environment banners identify nonproduction behavior.</w:t>
      </w:r>
    </w:p>
    <w:p>
      <w:r>
        <w:t>Session state is environment-bound. Firebase Hosting forwards the __session cookie; the gateway derives CSRF from that session rather than relying on a second forwarded cookie. Cookies are HttpOnly, Secure on hosted stages, host-only and SameSite=Lax. Hashed database session registrations prevent cross-environment replay and support logout. State-changing browser requests require the expected Origin and CSRF token. Scheduler requests use audience-bound Google tokens and a known scheduler identity.</w:t>
      </w:r>
    </w:p>
    <w:p>
      <w:r>
        <w:t>Local development runs the authenticated gateway at localhost:3000 and the internal site at port 3001, retaining PGlite data in .sandbox-data/local. Local development is not an authentication bypass. In the new isolated checkout, the Firebase configuration is explicit rather than extracted from secret-bearing Terraform state, and local identity uses the development project with a sandbox_local database.</w:t>
      </w:r>
    </w:p>
    <w:p>
      <w:pPr>
        <w:pStyle w:val="Heading1"/>
      </w:pPr>
      <w:r>
        <w:t>Payment rails and acceptance</w:t>
      </w:r>
    </w:p>
    <w:p>
      <w:r>
        <w:t>The implemented checkout is Braintree-based. Transaction operations use the sandbox GraphQL endpoint and pinned API version. The browser collects provider tokens rather than sending raw card or bank details to the application. The server controls product amounts and verifies ownership, payment-method origin and screening clearance before calling the provider.</w:t>
      </w:r>
    </w:p>
    <w:p>
      <w:r>
        <w:t>The demo catalog contains USD 10 and USD 25 lessons. Other high amounts are explicit provider test-scenario triggers for card declines or ACH outcomes, not tuition or intended real charges. Never derive the charged amount from a course-card label or client-supplied amount.</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3360"/>
            <w:shd w:fill="245B66"/>
          </w:tcPr>
          <w:p>
            <w:pPr>
              <w:spacing w:after="80"/>
            </w:pPr>
            <w:r>
              <w:rPr>
                <w:b/>
                <w:color w:val="FFFFFF"/>
                <w:sz w:val="18"/>
              </w:rPr>
              <w:t>Method</w:t>
            </w:r>
          </w:p>
        </w:tc>
        <w:tc>
          <w:tcPr>
            <w:tcW w:type="dxa" w:w="3360"/>
            <w:shd w:fill="245B66"/>
          </w:tcPr>
          <w:p>
            <w:pPr>
              <w:spacing w:after="80"/>
            </w:pPr>
            <w:r>
              <w:rPr>
                <w:b/>
                <w:color w:val="FFFFFF"/>
                <w:sz w:val="18"/>
              </w:rPr>
              <w:t>Implemented behavior</w:t>
            </w:r>
          </w:p>
        </w:tc>
        <w:tc>
          <w:tcPr>
            <w:tcW w:type="dxa" w:w="3360"/>
            <w:shd w:fill="245B66"/>
          </w:tcPr>
          <w:p>
            <w:pPr>
              <w:spacing w:after="80"/>
            </w:pPr>
            <w:r>
              <w:rPr>
                <w:b/>
                <w:color w:val="FFFFFF"/>
                <w:sz w:val="18"/>
              </w:rPr>
              <w:t>Acceptance still required</w:t>
            </w:r>
          </w:p>
        </w:tc>
      </w:tr>
      <w:tr>
        <w:trPr>
          <w:cantSplit/>
        </w:trPr>
        <w:tc>
          <w:tcPr>
            <w:tcW w:type="dxa" w:w="3360"/>
          </w:tcPr>
          <w:p>
            <w:pPr>
              <w:spacing w:after="80"/>
            </w:pPr>
            <w:r>
              <w:rPr>
                <w:sz w:val="18"/>
              </w:rPr>
              <w:t>PayPal</w:t>
            </w:r>
          </w:p>
        </w:tc>
        <w:tc>
          <w:tcPr>
            <w:tcW w:type="dxa" w:w="3360"/>
          </w:tcPr>
          <w:p>
            <w:pPr>
              <w:spacing w:after="80"/>
            </w:pPr>
            <w:r>
              <w:rPr>
                <w:sz w:val="18"/>
              </w:rPr>
              <w:t>Braintree PayPal SDK approval and nonce flow</w:t>
            </w:r>
          </w:p>
        </w:tc>
        <w:tc>
          <w:tcPr>
            <w:tcW w:type="dxa" w:w="3360"/>
          </w:tcPr>
          <w:p>
            <w:pPr>
              <w:spacing w:after="80"/>
            </w:pPr>
            <w:r>
              <w:rPr>
                <w:sz w:val="18"/>
              </w:rPr>
              <w:t>Buyer approval, cancellation, charge, settlement and refund</w:t>
            </w:r>
          </w:p>
        </w:tc>
      </w:tr>
      <w:tr>
        <w:trPr>
          <w:cantSplit/>
        </w:trPr>
        <w:tc>
          <w:tcPr>
            <w:tcW w:type="dxa" w:w="3360"/>
          </w:tcPr>
          <w:p>
            <w:pPr>
              <w:spacing w:after="80"/>
            </w:pPr>
            <w:r>
              <w:rPr>
                <w:sz w:val="18"/>
              </w:rPr>
              <w:t>Visa and Mastercard</w:t>
            </w:r>
          </w:p>
        </w:tc>
        <w:tc>
          <w:tcPr>
            <w:tcW w:type="dxa" w:w="3360"/>
          </w:tcPr>
          <w:p>
            <w:pPr>
              <w:spacing w:after="80"/>
            </w:pPr>
            <w:r>
              <w:rPr>
                <w:sz w:val="18"/>
              </w:rPr>
              <w:t>Tokenized cards and provider-confirmed 3DS requirements</w:t>
            </w:r>
          </w:p>
        </w:tc>
        <w:tc>
          <w:tcPr>
            <w:tcW w:type="dxa" w:w="3360"/>
          </w:tcPr>
          <w:p>
            <w:pPr>
              <w:spacing w:after="80"/>
            </w:pPr>
            <w:r>
              <w:rPr>
                <w:sz w:val="18"/>
              </w:rPr>
              <w:t>Success, decline, invalid fields and 3DS failure</w:t>
            </w:r>
          </w:p>
        </w:tc>
      </w:tr>
      <w:tr>
        <w:trPr>
          <w:cantSplit/>
        </w:trPr>
        <w:tc>
          <w:tcPr>
            <w:tcW w:type="dxa" w:w="3360"/>
          </w:tcPr>
          <w:p>
            <w:pPr>
              <w:spacing w:after="80"/>
            </w:pPr>
            <w:r>
              <w:rPr>
                <w:sz w:val="18"/>
              </w:rPr>
              <w:t>Apple Pay</w:t>
            </w:r>
          </w:p>
        </w:tc>
        <w:tc>
          <w:tcPr>
            <w:tcW w:type="dxa" w:w="3360"/>
          </w:tcPr>
          <w:p>
            <w:pPr>
              <w:spacing w:after="80"/>
            </w:pPr>
            <w:r>
              <w:rPr>
                <w:sz w:val="18"/>
              </w:rPr>
              <w:t>Domain-specific merchant validation and token-origin checks</w:t>
            </w:r>
          </w:p>
        </w:tc>
        <w:tc>
          <w:tcPr>
            <w:tcW w:type="dxa" w:w="3360"/>
          </w:tcPr>
          <w:p>
            <w:pPr>
              <w:spacing w:after="80"/>
            </w:pPr>
            <w:r>
              <w:rPr>
                <w:sz w:val="18"/>
              </w:rPr>
              <w:t>Registered hostname and supported Apple sandbox device</w:t>
            </w:r>
          </w:p>
        </w:tc>
      </w:tr>
      <w:tr>
        <w:trPr>
          <w:cantSplit/>
        </w:trPr>
        <w:tc>
          <w:tcPr>
            <w:tcW w:type="dxa" w:w="3360"/>
          </w:tcPr>
          <w:p>
            <w:pPr>
              <w:spacing w:after="80"/>
            </w:pPr>
            <w:r>
              <w:rPr>
                <w:sz w:val="18"/>
              </w:rPr>
              <w:t>Google Pay</w:t>
            </w:r>
          </w:p>
        </w:tc>
        <w:tc>
          <w:tcPr>
            <w:tcW w:type="dxa" w:w="3360"/>
          </w:tcPr>
          <w:p>
            <w:pPr>
              <w:spacing w:after="80"/>
            </w:pPr>
            <w:r>
              <w:rPr>
                <w:sz w:val="18"/>
              </w:rPr>
              <w:t>TEST wallet configuration and token-origin checks</w:t>
            </w:r>
          </w:p>
        </w:tc>
        <w:tc>
          <w:tcPr>
            <w:tcW w:type="dxa" w:w="3360"/>
          </w:tcPr>
          <w:p>
            <w:pPr>
              <w:spacing w:after="80"/>
            </w:pPr>
            <w:r>
              <w:rPr>
                <w:sz w:val="18"/>
              </w:rPr>
              <w:t>Supported browser/account and provider-backed transaction</w:t>
            </w:r>
          </w:p>
        </w:tc>
      </w:tr>
      <w:tr>
        <w:trPr>
          <w:cantSplit/>
        </w:trPr>
        <w:tc>
          <w:tcPr>
            <w:tcW w:type="dxa" w:w="3360"/>
          </w:tcPr>
          <w:p>
            <w:pPr>
              <w:spacing w:after="80"/>
            </w:pPr>
            <w:r>
              <w:rPr>
                <w:sz w:val="18"/>
              </w:rPr>
              <w:t>Venmo</w:t>
            </w:r>
          </w:p>
        </w:tc>
        <w:tc>
          <w:tcPr>
            <w:tcW w:type="dxa" w:w="3360"/>
          </w:tcPr>
          <w:p>
            <w:pPr>
              <w:spacing w:after="80"/>
            </w:pPr>
            <w:r>
              <w:rPr>
                <w:sz w:val="18"/>
              </w:rPr>
              <w:t>Mobile switch or desktop QR integration</w:t>
            </w:r>
          </w:p>
        </w:tc>
        <w:tc>
          <w:tcPr>
            <w:tcW w:type="dxa" w:w="3360"/>
          </w:tcPr>
          <w:p>
            <w:pPr>
              <w:spacing w:after="80"/>
            </w:pPr>
            <w:r>
              <w:rPr>
                <w:sz w:val="18"/>
              </w:rPr>
              <w:t>Supported device flow, return recovery and sandbox limitations</w:t>
            </w:r>
          </w:p>
        </w:tc>
      </w:tr>
      <w:tr>
        <w:trPr>
          <w:cantSplit/>
        </w:trPr>
        <w:tc>
          <w:tcPr>
            <w:tcW w:type="dxa" w:w="3360"/>
          </w:tcPr>
          <w:p>
            <w:pPr>
              <w:spacing w:after="80"/>
            </w:pPr>
            <w:r>
              <w:rPr>
                <w:sz w:val="18"/>
              </w:rPr>
              <w:t>ACH</w:t>
            </w:r>
          </w:p>
        </w:tc>
        <w:tc>
          <w:tcPr>
            <w:tcW w:type="dxa" w:w="3360"/>
          </w:tcPr>
          <w:p>
            <w:pPr>
              <w:spacing w:after="80"/>
            </w:pPr>
            <w:r>
              <w:rPr>
                <w:sz w:val="18"/>
              </w:rPr>
              <w:t>Mandate, vaulting, verification, debit and later reconciliation</w:t>
            </w:r>
          </w:p>
        </w:tc>
        <w:tc>
          <w:tcPr>
            <w:tcW w:type="dxa" w:w="3360"/>
          </w:tcPr>
          <w:p>
            <w:pPr>
              <w:spacing w:after="80"/>
            </w:pPr>
            <w:r>
              <w:rPr>
                <w:sz w:val="18"/>
              </w:rPr>
              <w:t>Verification, delayed settlement, returns and settled refunds</w:t>
            </w:r>
          </w:p>
        </w:tc>
      </w:tr>
    </w:tbl>
    <w:p>
      <w:pPr>
        <w:spacing w:after="40"/>
      </w:pPr>
    </w:p>
    <w:p>
      <w:r>
        <w:t>Orders and attempts retain application and provider identifiers. Database concurrency protections and provider apiRequestKey prevent duplicate operations. clientMutationId is reconciliation metadata, not duplicate-charge protection. A timeout is an unknown outcome; an empty search result does not authorize another charge. Webhooks validate signatures, deduplicate events and fetch authoritative provider state instead of applying an old event snapshot directly.</w:t>
      </w:r>
    </w:p>
    <w:p>
      <w:r>
        <w:t>Refunds reserve refundable amounts to prevent concurrent over-refunds. ACH refunds require settlement; reversal is not interchangeable with an ACH refund. Bank verification can be asynchronous. Authorization text and version, tester, order and time are retained. Reconciliation must preserve unresolved attempts until provider outcomes are known, including late returns or settlement failures.</w:t>
      </w:r>
    </w:p>
    <w:p>
      <w:r>
        <w:t>The Direct PayPal MCP guide describes a separate integration path. Its orders.create, orders.get, orders.capture and refund tools use MCP-specific schemas rather than interchangeable REST payloads. Direct MCP calls do not automatically create the application’s Braintree order or attempt records. No direct MCP transaction acceptance is claimed here.</w:t>
      </w:r>
    </w:p>
    <w:p>
      <w:r>
        <w:t>The live credential-readiness check found dev and QA Braintree placeholders, and configured staging credentials with matching environment and successful sandbox ping. All predecessor OFAC and advisory-agent secrets were empty. No secret values were printed or saved into the dossier. A successful ping proves gateway connectivity only; missing screening setup still blocks payment execution by design.</w:t>
      </w:r>
    </w:p>
    <w:p>
      <w:pPr>
        <w:pStyle w:val="Heading1"/>
      </w:pPr>
      <w:r>
        <w:t>Screening and workspace agents</w:t>
      </w:r>
    </w:p>
    <w:p>
      <w:r>
        <w:t>Screening collects versioned student and payer identities using synthetic data in this sandbox. Same-person cases are represented once where applicable. The application records provider evidence, a canonical evidence hash and the identity version associated with a clearance. Missing configuration, provider errors, expired clearance or changed identities fail closed. Clearance lasts fifteen minutes; changed evidence requires a fresh review.</w:t>
      </w:r>
    </w:p>
    <w:p>
      <w:r>
        <w:t>Only the authenticated reviewer can record the application decision. Requests for additional information, false-positive findings and subsequent evidence changes are retained rather than overwriting history. Existing payment or bank-operation uncertainty constrains identity edits so that an order cannot be rescreened into a contradictory state while an outcome is unresolved. No sanctions-compliance certification or production legal conclusion is implied by this implementation.</w:t>
      </w:r>
    </w:p>
    <w:p>
      <w:r>
        <w:t>The existing Amigo21 OFAC Review Assistant is published with API channel agtch_6a9eb658d3ac819199844d5e37810fd4. Its editable configuration was inspected: no web search, image generation, connected tools or persistent memory were enabled. Instructions treat case packets as untrusted evidence, prohibit payment or review decisions, and require James to decide through the protected application queue. The API outbox retains delivery attempts and retries with stable identifiers; empty tokens leave work undelivered rather than silently clearing it.</w:t>
      </w:r>
    </w:p>
    <w:p>
      <w:r>
        <w:t>This task created Amigo21 Project Documentation Assistant, agent ID agt_6a9f6d09124081919f104fdaa82ef669. A readback confirmed it remains unpublished, with no tools, connectors, schedules, API deployment or persistent memory. Its role is to propose dossier and tracker updates from approved evidence, preserve provenance, and identify missing facts. It has no deployment, DNS, payment, messaging or screening-decision authority. The dossier files have not been uploaded to it; its initial configuration supplies the operating instructions.</w:t>
      </w:r>
    </w:p>
    <w:p>
      <w:pPr>
        <w:pStyle w:val="Heading1"/>
      </w:pPr>
      <w:r>
        <w:t>Independent environment implementation</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3360"/>
            <w:shd w:fill="245B66"/>
          </w:tcPr>
          <w:p>
            <w:pPr>
              <w:spacing w:after="80"/>
            </w:pPr>
            <w:r>
              <w:rPr>
                <w:b/>
                <w:color w:val="FFFFFF"/>
                <w:sz w:val="18"/>
              </w:rPr>
              <w:t>Environment</w:t>
            </w:r>
          </w:p>
        </w:tc>
        <w:tc>
          <w:tcPr>
            <w:tcW w:type="dxa" w:w="3360"/>
            <w:shd w:fill="245B66"/>
          </w:tcPr>
          <w:p>
            <w:pPr>
              <w:spacing w:after="80"/>
            </w:pPr>
            <w:r>
              <w:rPr>
                <w:b/>
                <w:color w:val="FFFFFF"/>
                <w:sz w:val="18"/>
              </w:rPr>
              <w:t>New project</w:t>
            </w:r>
          </w:p>
        </w:tc>
        <w:tc>
          <w:tcPr>
            <w:tcW w:type="dxa" w:w="3360"/>
            <w:shd w:fill="245B66"/>
          </w:tcPr>
          <w:p>
            <w:pPr>
              <w:spacing w:after="80"/>
            </w:pPr>
            <w:r>
              <w:rPr>
                <w:b/>
                <w:color w:val="FFFFFF"/>
                <w:sz w:val="18"/>
              </w:rPr>
              <w:t>Retained public hostname</w:t>
            </w:r>
          </w:p>
        </w:tc>
      </w:tr>
      <w:tr>
        <w:trPr>
          <w:cantSplit/>
        </w:trPr>
        <w:tc>
          <w:tcPr>
            <w:tcW w:type="dxa" w:w="3360"/>
          </w:tcPr>
          <w:p>
            <w:pPr>
              <w:spacing w:after="80"/>
            </w:pPr>
            <w:r>
              <w:rPr>
                <w:sz w:val="18"/>
              </w:rPr>
              <w:t>Development</w:t>
            </w:r>
          </w:p>
        </w:tc>
        <w:tc>
          <w:tcPr>
            <w:tcW w:type="dxa" w:w="3360"/>
          </w:tcPr>
          <w:p>
            <w:pPr>
              <w:spacing w:after="80"/>
            </w:pPr>
            <w:r>
              <w:rPr>
                <w:sz w:val="18"/>
              </w:rPr>
              <w:t>amigo21-pay-dev-22737</w:t>
            </w:r>
          </w:p>
        </w:tc>
        <w:tc>
          <w:tcPr>
            <w:tcW w:type="dxa" w:w="3360"/>
          </w:tcPr>
          <w:p>
            <w:pPr>
              <w:spacing w:after="80"/>
            </w:pPr>
            <w:r>
              <w:rPr>
                <w:sz w:val="18"/>
              </w:rPr>
              <w:t>dev.amigo21english.com</w:t>
            </w:r>
          </w:p>
        </w:tc>
      </w:tr>
      <w:tr>
        <w:trPr>
          <w:cantSplit/>
        </w:trPr>
        <w:tc>
          <w:tcPr>
            <w:tcW w:type="dxa" w:w="3360"/>
          </w:tcPr>
          <w:p>
            <w:pPr>
              <w:spacing w:after="80"/>
            </w:pPr>
            <w:r>
              <w:rPr>
                <w:sz w:val="18"/>
              </w:rPr>
              <w:t>QA</w:t>
            </w:r>
          </w:p>
        </w:tc>
        <w:tc>
          <w:tcPr>
            <w:tcW w:type="dxa" w:w="3360"/>
          </w:tcPr>
          <w:p>
            <w:pPr>
              <w:spacing w:after="80"/>
            </w:pPr>
            <w:r>
              <w:rPr>
                <w:sz w:val="18"/>
              </w:rPr>
              <w:t>amigo21-pay-qa-22737</w:t>
            </w:r>
          </w:p>
        </w:tc>
        <w:tc>
          <w:tcPr>
            <w:tcW w:type="dxa" w:w="3360"/>
          </w:tcPr>
          <w:p>
            <w:pPr>
              <w:spacing w:after="80"/>
            </w:pPr>
            <w:r>
              <w:rPr>
                <w:sz w:val="18"/>
              </w:rPr>
              <w:t>qa.amigo21english.com</w:t>
            </w:r>
          </w:p>
        </w:tc>
      </w:tr>
      <w:tr>
        <w:trPr>
          <w:cantSplit/>
        </w:trPr>
        <w:tc>
          <w:tcPr>
            <w:tcW w:type="dxa" w:w="3360"/>
          </w:tcPr>
          <w:p>
            <w:pPr>
              <w:spacing w:after="80"/>
            </w:pPr>
            <w:r>
              <w:rPr>
                <w:sz w:val="18"/>
              </w:rPr>
              <w:t>Staging</w:t>
            </w:r>
          </w:p>
        </w:tc>
        <w:tc>
          <w:tcPr>
            <w:tcW w:type="dxa" w:w="3360"/>
          </w:tcPr>
          <w:p>
            <w:pPr>
              <w:spacing w:after="80"/>
            </w:pPr>
            <w:r>
              <w:rPr>
                <w:sz w:val="18"/>
              </w:rPr>
              <w:t>amigo21-pay-staging-22737</w:t>
            </w:r>
          </w:p>
        </w:tc>
        <w:tc>
          <w:tcPr>
            <w:tcW w:type="dxa" w:w="3360"/>
          </w:tcPr>
          <w:p>
            <w:pPr>
              <w:spacing w:after="80"/>
            </w:pPr>
            <w:r>
              <w:rPr>
                <w:sz w:val="18"/>
              </w:rPr>
              <w:t>staging.amigo21english.com</w:t>
            </w:r>
          </w:p>
        </w:tc>
      </w:tr>
    </w:tbl>
    <w:p>
      <w:pPr>
        <w:spacing w:after="40"/>
      </w:pPr>
    </w:p>
    <w:p>
      <w:r>
        <w:t>Each project has a dedicated Terraform root and private versioned GCS state bucket named with the project ID followed by -tfstate. The reusable module provisions project-local Firebase, Hosting, SQL, network, identities, secrets and operational jobs. No production project is an allowed target. State and saved plans contain generated secrets and must remain private even though the source configuration is shareable.</w:t>
      </w:r>
    </w:p>
    <w:p>
      <w:r>
        <w:t>The runtime now validates an exact project-to-stage mapping, exact database name, private SQL connection project and region, Firebase audience/auth domain, and scheduler identity. Production and predecessor-project values are rejected in the isolated checkout. Credentials must still identify the matching stage, and production Braintree endpoints remain forbidden. The server’s database-name check no longer accepts merely matching prefixes.</w:t>
      </w:r>
    </w:p>
    <w:p>
      <w:r>
        <w:t>The migration command handles only the current project’s database role instead of assuming all three roles exist in one SQL instance. The local launcher no longer reads Terraform state. Credential installation targets the stage’s new project. The historical infrastructure root has been moved under infra/legacy, and the old release entrypoint delegates to the isolated release workflow.</w:t>
      </w:r>
    </w:p>
    <w:p>
      <w:r>
        <w:t>Application deployment and infrastructure administration are separate responsibilities. The environment deployer receives project-local Cloud Run developer access, registry read access and act-as permission for its runtime and migration identities. It does not receive permissions in another environment. Infrastructure changes use the authorized infrastructure operator and checked Terraform plans. Organization administrators still have their inherited powers; independent projects do not remove those powers automatically.</w:t>
      </w:r>
    </w:p>
    <w:p>
      <w:r>
        <w:t>Release tooling defaults to planning. It rejects deletes/replacements and foreign-project changes, stages a migration job at the requested immutable image, verifies that image, executes migration successfully, then applies the full service plan. Image promotion must copy the same digest into the next project’s registry rather than rebuild. Payment methods, schedulers and custom-domain activation remain explicit gates.</w:t>
      </w:r>
    </w:p>
    <w:p>
      <w:r>
        <w:t>During foundation provisioning, a missing domain guard initially created a new dev custom-domain registration earlier than intended. The applies were stopped gracefully, the guard was corrected, and an additional plan-level check now forbids domain creation during foundation provisioning. The recovery path permits removing only that exact inactive new-project registration. Existing public routes were rechecked; no production DNS cutover was performed. The final cloud verification record states the recovered resource status.</w:t>
      </w:r>
    </w:p>
    <w:p>
      <w:pPr>
        <w:pStyle w:val="Heading1"/>
      </w:pPr>
      <w:r>
        <w:t>Migration and rollback runbook</w:t>
      </w:r>
    </w:p>
    <w:p>
      <w:pPr>
        <w:pStyle w:val="ListNumber"/>
      </w:pPr>
      <w:r>
        <w:t>Confirm the current host-to-provider map, ready revisions and source hashes. Inventory DNS, mail records, secrets by name, scheduler status and database backups. Keep raw state and data exports outside the deliverables.</w:t>
      </w:r>
    </w:p>
    <w:p>
      <w:pPr>
        <w:pStyle w:val="ListNumber"/>
      </w:pPr>
      <w:r>
        <w:t>Provision and validate one new environment foundation. Verify state-bucket privacy, least-privilege access, database connectivity and a restore test before relying on it.</w:t>
      </w:r>
    </w:p>
    <w:p>
      <w:pPr>
        <w:pStyle w:val="ListNumber"/>
      </w:pPr>
      <w:r>
        <w:t>Build the new application once. Record its source manifest and digest. Stage and execute the matching migration job before bringing up the service. Initialize the environment marker and confirm the runtime cannot use the migrator’s privileges.</w:t>
      </w:r>
    </w:p>
    <w:p>
      <w:pPr>
        <w:pStyle w:val="ListNumber"/>
      </w:pPr>
      <w:r>
        <w:t>Configure the new Firebase Google provider and OAuth client, exact authorized domains, tester/reviewer allowlists, stage-specific provider credentials, wallet registrations and webhooks. New Firebase projects require fresh browser sign-in; existing sessions are not migrated.</w:t>
      </w:r>
    </w:p>
    <w:p>
      <w:pPr>
        <w:pStyle w:val="ListNumber"/>
      </w:pPr>
      <w:r>
        <w:t>Run security, signed-in, screening and payment acceptance with synthetic evidence. Record browser/device constraints. A passed build or health probe is not a substitute.</w:t>
      </w:r>
    </w:p>
    <w:p>
      <w:pPr>
        <w:pStyle w:val="ListNumber"/>
      </w:pPr>
      <w:r>
        <w:t>Before moving one hostname, pause old schedulers and writes, export securely, reconcile unresolved attempts, restore and compare row counts/checksums. Preserve IDs and the environment marker. Do not permit two reconcilers to process the same operational state independently.</w:t>
      </w:r>
    </w:p>
    <w:p>
      <w:pPr>
        <w:pStyle w:val="ListNumber"/>
      </w:pPr>
      <w:r>
        <w:t>Move only that environment’s custom-domain attachment using provider-returned verification and DNS data. Check TLS, sessions, CSRF, data writes and provider callbacks at the retained hostname. Enable its schedulers only after verification. Repeat in dev, QA, staging order.</w:t>
      </w:r>
    </w:p>
    <w:p>
      <w:pPr>
        <w:pStyle w:val="ListNumber"/>
      </w:pPr>
      <w:r>
        <w:t>Prepare the Webflow marketing site and preview capture, then verify public content, accessibility, language behavior, placement flow, pricing and production contact persistence. Set .com canonical and map both apex/www pairs. Preserve paths or create explicit page redirects.</w:t>
      </w:r>
    </w:p>
    <w:p>
      <w:pPr>
        <w:pStyle w:val="ListNumber"/>
      </w:pPr>
      <w:r>
        <w:t>Change only authorized website DNS records after staged acceptance. Retain Google Workspace and other existing mail/verification records. Check all four public hostnames, redirects, TLS, contact persistence and analytics configuration. A missing www.org entry must be addressed explicitly.</w:t>
      </w:r>
    </w:p>
    <w:p>
      <w:r>
        <w:t>For an application failure, deploy the previous known-good digest; additive schema changes remain in place. For a domain failure, stop new writes/schedulers and restore the prior attachment and website records. Reconcile any records created after cutover before restoring an older database. Do not destroy resources, purge unresolved attempts or reverse migrations automatically. Keep the predecessor project available until retirement is separately decided.</w:t>
      </w:r>
    </w:p>
    <w:p>
      <w:pPr>
        <w:pStyle w:val="Heading1"/>
      </w:pPr>
      <w:r>
        <w:t>Costs and access dependencies</w:t>
      </w:r>
    </w:p>
    <w:p>
      <w:r>
        <w:t>At 730 hours per month, three db-f1-micro instances at USD 0.0105/hour cost approximately USD 23.00 in compute. Thirty GB of SSD storage at USD 0.17/GB-month adds USD 5.10, giving a baseline of approximately USD 28.10/month for the new databases. This estimate excludes backups, growth, network traffic, Cloud Run, build/registry, secrets, storage operations, schedulers, taxes and the retained predecessor environment. It is not a spending cap. Shared-core instances do not carry the Cloud SQL SLA.</w:t>
      </w:r>
    </w:p>
    <w:p>
      <w:r>
        <w:t>Webflow’s published Basic pricing is USD 25 on monthly billing or USD 15/month equivalent with annual billing. A static-page implementation may fit Basic, but the actual site features and account entitlements must be verified before purchase. Native CMS or localization requirements can change the plan. No Webflow subscription, screening subscription or real-money merchant product was purchased by this task.</w:t>
      </w:r>
    </w:p>
    <w:p>
      <w:r>
        <w:t>External dependencies are Webflow account/site access; the required site plan; Google OAuth setup for new Firebase projects; stage-specific Braintree method enablement; OFAC and advisory-agent tokens; supported wallet devices; and verified production contact storage. Tokens should be entered through secure setup tools or Secret Manager, never pasted into chat or stored in the workbook.</w:t>
      </w:r>
    </w:p>
    <w:p>
      <w:pPr>
        <w:pStyle w:val="Heading1"/>
      </w:pPr>
      <w:r>
        <w:t>Verification record</w:t>
      </w:r>
    </w:p>
    <w:p>
      <w:r>
        <w:t>The isolated application passed 40 sandbox tests, 10 rendered website tests, lint and TypeScript checks. The environment tests cover the exact project/database boundary and rejection of mismatched Firebase, scheduler, hosted SQL and production settings. Four separate Webflow adapter tests cover production routing, absence of preview fallback, exact course exemption, payload fields and unsuccessful responses.</w:t>
      </w:r>
    </w:p>
    <w:p>
      <w:r>
        <w:t>Terraform validation passed after permitting provider-plugin communication. The first local HTTP test run failed because temporary server binds were denied; rerunning with local-server permission passed all tests. These are test-environment limitations, not provider acceptance evidence.</w:t>
      </w:r>
    </w:p>
    <w:p>
      <w:r>
        <w:t>The live public checks include home and three track routes for the .com and .org apexes, .com www redirects, and authentication boundaries on all three predecessor sandbox hostnames. Each sandbox login returned 200 with noindex and anonymous orders returned 401. The www.org DNS failure remains recorded. Public GET health checks did not test contact persistence.</w:t>
      </w:r>
    </w:p>
    <w:p>
      <w:r>
        <w:t>Outstanding acceptance includes real PostgreSQL cross-project denial tests, backup restoration, new-project browser OAuth, predecessor-record transfer and reconciliation, wallet/device transactions, provider screening, advisory-agent delivery, Webflow preview capture, production contact storage and full marketing cutover. The tracker keeps those separate from completed foundation and local implementation work.</w:t>
      </w:r>
    </w:p>
    <w:p>
      <w:pPr>
        <w:pStyle w:val="Heading1"/>
      </w:pPr>
      <w:r>
        <w:t>Evidence register and source navigation</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3360"/>
            <w:shd w:fill="245B66"/>
          </w:tcPr>
          <w:p>
            <w:pPr>
              <w:spacing w:after="80"/>
            </w:pPr>
            <w:r>
              <w:rPr>
                <w:b/>
                <w:color w:val="FFFFFF"/>
                <w:sz w:val="18"/>
              </w:rPr>
              <w:t>ID</w:t>
            </w:r>
          </w:p>
        </w:tc>
        <w:tc>
          <w:tcPr>
            <w:tcW w:type="dxa" w:w="3360"/>
            <w:shd w:fill="245B66"/>
          </w:tcPr>
          <w:p>
            <w:pPr>
              <w:spacing w:after="80"/>
            </w:pPr>
            <w:r>
              <w:rPr>
                <w:b/>
                <w:color w:val="FFFFFF"/>
                <w:sz w:val="18"/>
              </w:rPr>
              <w:t>Source</w:t>
            </w:r>
          </w:p>
        </w:tc>
        <w:tc>
          <w:tcPr>
            <w:tcW w:type="dxa" w:w="3360"/>
            <w:shd w:fill="245B66"/>
          </w:tcPr>
          <w:p>
            <w:pPr>
              <w:spacing w:after="80"/>
            </w:pPr>
            <w:r>
              <w:rPr>
                <w:b/>
                <w:color w:val="FFFFFF"/>
                <w:sz w:val="18"/>
              </w:rPr>
              <w:t>What it supports</w:t>
            </w:r>
          </w:p>
        </w:tc>
      </w:tr>
      <w:tr>
        <w:trPr>
          <w:cantSplit/>
        </w:trPr>
        <w:tc>
          <w:tcPr>
            <w:tcW w:type="dxa" w:w="3360"/>
          </w:tcPr>
          <w:p>
            <w:pPr>
              <w:spacing w:after="80"/>
            </w:pPr>
            <w:r>
              <w:rPr>
                <w:sz w:val="18"/>
              </w:rPr>
              <w:t>E01</w:t>
            </w:r>
          </w:p>
        </w:tc>
        <w:tc>
          <w:tcPr>
            <w:tcW w:type="dxa" w:w="3360"/>
          </w:tcPr>
          <w:p>
            <w:pPr>
              <w:spacing w:after="80"/>
            </w:pPr>
            <w:r>
              <w:rPr>
                <w:sz w:val="18"/>
              </w:rPr>
              <w:t>evidence/http.json and captured public HTML</w:t>
            </w:r>
          </w:p>
        </w:tc>
        <w:tc>
          <w:tcPr>
            <w:tcW w:type="dxa" w:w="3360"/>
          </w:tcPr>
          <w:p>
            <w:pPr>
              <w:spacing w:after="80"/>
            </w:pPr>
            <w:r>
              <w:rPr>
                <w:sz w:val="18"/>
              </w:rPr>
              <w:t>Timestamped route, redirect, status and server observations</w:t>
            </w:r>
          </w:p>
        </w:tc>
      </w:tr>
      <w:tr>
        <w:trPr>
          <w:cantSplit/>
        </w:trPr>
        <w:tc>
          <w:tcPr>
            <w:tcW w:type="dxa" w:w="3360"/>
          </w:tcPr>
          <w:p>
            <w:pPr>
              <w:spacing w:after="80"/>
            </w:pPr>
            <w:r>
              <w:rPr>
                <w:sz w:val="18"/>
              </w:rPr>
              <w:t>E02</w:t>
            </w:r>
          </w:p>
        </w:tc>
        <w:tc>
          <w:tcPr>
            <w:tcW w:type="dxa" w:w="3360"/>
          </w:tcPr>
          <w:p>
            <w:pPr>
              <w:spacing w:after="80"/>
            </w:pPr>
            <w:r>
              <w:rPr>
                <w:sz w:val="18"/>
              </w:rPr>
              <w:t>evidence/*.A.txt, *.CNAME.txt and *.MX.txt</w:t>
            </w:r>
          </w:p>
        </w:tc>
        <w:tc>
          <w:tcPr>
            <w:tcW w:type="dxa" w:w="3360"/>
          </w:tcPr>
          <w:p>
            <w:pPr>
              <w:spacing w:after="80"/>
            </w:pPr>
            <w:r>
              <w:rPr>
                <w:sz w:val="18"/>
              </w:rPr>
              <w:t>Resolver observations; an empty answer is not a complete DNS-zone inventory</w:t>
            </w:r>
          </w:p>
        </w:tc>
      </w:tr>
      <w:tr>
        <w:trPr>
          <w:cantSplit/>
        </w:trPr>
        <w:tc>
          <w:tcPr>
            <w:tcW w:type="dxa" w:w="3360"/>
          </w:tcPr>
          <w:p>
            <w:pPr>
              <w:spacing w:after="80"/>
            </w:pPr>
            <w:r>
              <w:rPr>
                <w:sz w:val="18"/>
              </w:rPr>
              <w:t>E03</w:t>
            </w:r>
          </w:p>
        </w:tc>
        <w:tc>
          <w:tcPr>
            <w:tcW w:type="dxa" w:w="3360"/>
          </w:tcPr>
          <w:p>
            <w:pPr>
              <w:spacing w:after="80"/>
            </w:pPr>
            <w:r>
              <w:rPr>
                <w:sz w:val="18"/>
              </w:rPr>
              <w:t>Live gcloud Cloud Run service inventories</w:t>
            </w:r>
          </w:p>
        </w:tc>
        <w:tc>
          <w:tcPr>
            <w:tcW w:type="dxa" w:w="3360"/>
          </w:tcPr>
          <w:p>
            <w:pPr>
              <w:spacing w:after="80"/>
            </w:pPr>
            <w:r>
              <w:rPr>
                <w:sz w:val="18"/>
              </w:rPr>
              <w:t>Ready production and predecessor sandbox revisions</w:t>
            </w:r>
          </w:p>
        </w:tc>
      </w:tr>
      <w:tr>
        <w:trPr>
          <w:cantSplit/>
        </w:trPr>
        <w:tc>
          <w:tcPr>
            <w:tcW w:type="dxa" w:w="3360"/>
          </w:tcPr>
          <w:p>
            <w:pPr>
              <w:spacing w:after="80"/>
            </w:pPr>
            <w:r>
              <w:rPr>
                <w:sz w:val="18"/>
              </w:rPr>
              <w:t>E04</w:t>
            </w:r>
          </w:p>
        </w:tc>
        <w:tc>
          <w:tcPr>
            <w:tcW w:type="dxa" w:w="3360"/>
          </w:tcPr>
          <w:p>
            <w:pPr>
              <w:spacing w:after="80"/>
            </w:pPr>
            <w:r>
              <w:rPr>
                <w:sz w:val="18"/>
              </w:rPr>
              <w:t>evidence/provider-readiness.json</w:t>
            </w:r>
          </w:p>
        </w:tc>
        <w:tc>
          <w:tcPr>
            <w:tcW w:type="dxa" w:w="3360"/>
          </w:tcPr>
          <w:p>
            <w:pPr>
              <w:spacing w:after="80"/>
            </w:pPr>
            <w:r>
              <w:rPr>
                <w:sz w:val="18"/>
              </w:rPr>
              <w:t>Secret readiness and staging gateway ping without secret disclosure</w:t>
            </w:r>
          </w:p>
        </w:tc>
      </w:tr>
      <w:tr>
        <w:trPr>
          <w:cantSplit/>
        </w:trPr>
        <w:tc>
          <w:tcPr>
            <w:tcW w:type="dxa" w:w="3360"/>
          </w:tcPr>
          <w:p>
            <w:pPr>
              <w:spacing w:after="80"/>
            </w:pPr>
            <w:r>
              <w:rPr>
                <w:sz w:val="18"/>
              </w:rPr>
              <w:t>E05</w:t>
            </w:r>
          </w:p>
        </w:tc>
        <w:tc>
          <w:tcPr>
            <w:tcW w:type="dxa" w:w="3360"/>
          </w:tcPr>
          <w:p>
            <w:pPr>
              <w:spacing w:after="80"/>
            </w:pPr>
            <w:r>
              <w:rPr>
                <w:sz w:val="18"/>
              </w:rPr>
              <w:t>Original sandbox IMPLEMENTATION_STATUS.md</w:t>
            </w:r>
          </w:p>
        </w:tc>
        <w:tc>
          <w:tcPr>
            <w:tcW w:type="dxa" w:w="3360"/>
          </w:tcPr>
          <w:p>
            <w:pPr>
              <w:spacing w:after="80"/>
            </w:pPr>
            <w:r>
              <w:rPr>
                <w:sz w:val="18"/>
              </w:rPr>
              <w:t>September 6–7 implementation and historical deployment evidence</w:t>
            </w:r>
          </w:p>
        </w:tc>
      </w:tr>
      <w:tr>
        <w:trPr>
          <w:cantSplit/>
        </w:trPr>
        <w:tc>
          <w:tcPr>
            <w:tcW w:type="dxa" w:w="3360"/>
          </w:tcPr>
          <w:p>
            <w:pPr>
              <w:spacing w:after="80"/>
            </w:pPr>
            <w:r>
              <w:rPr>
                <w:sz w:val="18"/>
              </w:rPr>
              <w:t>E06</w:t>
            </w:r>
          </w:p>
        </w:tc>
        <w:tc>
          <w:tcPr>
            <w:tcW w:type="dxa" w:w="3360"/>
          </w:tcPr>
          <w:p>
            <w:pPr>
              <w:spacing w:after="80"/>
            </w:pPr>
            <w:r>
              <w:rPr>
                <w:sz w:val="18"/>
              </w:rPr>
              <w:t>Original SANDBOX_RUNBOOK.md and OFAC_SCREENING_RUNBOOK.md</w:t>
            </w:r>
          </w:p>
        </w:tc>
        <w:tc>
          <w:tcPr>
            <w:tcW w:type="dxa" w:w="3360"/>
          </w:tcPr>
          <w:p>
            <w:pPr>
              <w:spacing w:after="80"/>
            </w:pPr>
            <w:r>
              <w:rPr>
                <w:sz w:val="18"/>
              </w:rPr>
              <w:t>Payment, authentication, screening and operating contracts</w:t>
            </w:r>
          </w:p>
        </w:tc>
      </w:tr>
      <w:tr>
        <w:trPr>
          <w:cantSplit/>
        </w:trPr>
        <w:tc>
          <w:tcPr>
            <w:tcW w:type="dxa" w:w="3360"/>
          </w:tcPr>
          <w:p>
            <w:pPr>
              <w:spacing w:after="80"/>
            </w:pPr>
            <w:r>
              <w:rPr>
                <w:sz w:val="18"/>
              </w:rPr>
              <w:t>E07</w:t>
            </w:r>
          </w:p>
        </w:tc>
        <w:tc>
          <w:tcPr>
            <w:tcW w:type="dxa" w:w="3360"/>
          </w:tcPr>
          <w:p>
            <w:pPr>
              <w:spacing w:after="80"/>
            </w:pPr>
            <w:r>
              <w:rPr>
                <w:sz w:val="18"/>
              </w:rPr>
              <w:t>Cloud Run release commit efe6f063 and Sites commit 416ac4d6</w:t>
            </w:r>
          </w:p>
        </w:tc>
        <w:tc>
          <w:tcPr>
            <w:tcW w:type="dxa" w:w="3360"/>
          </w:tcPr>
          <w:p>
            <w:pPr>
              <w:spacing w:after="80"/>
            </w:pPr>
            <w:r>
              <w:rPr>
                <w:sz w:val="18"/>
              </w:rPr>
              <w:t>Inspected release-source baselines and pricing matrix</w:t>
            </w:r>
          </w:p>
        </w:tc>
      </w:tr>
      <w:tr>
        <w:trPr>
          <w:cantSplit/>
        </w:trPr>
        <w:tc>
          <w:tcPr>
            <w:tcW w:type="dxa" w:w="3360"/>
          </w:tcPr>
          <w:p>
            <w:pPr>
              <w:spacing w:after="80"/>
            </w:pPr>
            <w:r>
              <w:rPr>
                <w:sz w:val="18"/>
              </w:rPr>
              <w:t>E08</w:t>
            </w:r>
          </w:p>
        </w:tc>
        <w:tc>
          <w:tcPr>
            <w:tcW w:type="dxa" w:w="3360"/>
          </w:tcPr>
          <w:p>
            <w:pPr>
              <w:spacing w:after="80"/>
            </w:pPr>
            <w:r>
              <w:rPr>
                <w:sz w:val="18"/>
              </w:rPr>
              <w:t>Original website PROJECT_DOSSIER.md</w:t>
            </w:r>
          </w:p>
        </w:tc>
        <w:tc>
          <w:tcPr>
            <w:tcW w:type="dxa" w:w="3360"/>
          </w:tcPr>
          <w:p>
            <w:pPr>
              <w:spacing w:after="80"/>
            </w:pPr>
            <w:r>
              <w:rPr>
                <w:sz w:val="18"/>
              </w:rPr>
              <w:t>August 14 historical handoff, not current deployment truth</w:t>
            </w:r>
          </w:p>
        </w:tc>
      </w:tr>
      <w:tr>
        <w:trPr>
          <w:cantSplit/>
        </w:trPr>
        <w:tc>
          <w:tcPr>
            <w:tcW w:type="dxa" w:w="3360"/>
          </w:tcPr>
          <w:p>
            <w:pPr>
              <w:spacing w:after="80"/>
            </w:pPr>
            <w:r>
              <w:rPr>
                <w:sz w:val="18"/>
              </w:rPr>
              <w:t>E09</w:t>
            </w:r>
          </w:p>
        </w:tc>
        <w:tc>
          <w:tcPr>
            <w:tcW w:type="dxa" w:w="3360"/>
          </w:tcPr>
          <w:p>
            <w:pPr>
              <w:spacing w:after="80"/>
            </w:pPr>
            <w:r>
              <w:rPr>
                <w:sz w:val="18"/>
              </w:rPr>
              <w:t>Current main contact route and isolated release contact route</w:t>
            </w:r>
          </w:p>
        </w:tc>
        <w:tc>
          <w:tcPr>
            <w:tcW w:type="dxa" w:w="3360"/>
          </w:tcPr>
          <w:p>
            <w:pPr>
              <w:spacing w:after="80"/>
            </w:pPr>
            <w:r>
              <w:rPr>
                <w:sz w:val="18"/>
              </w:rPr>
              <w:t>Source divergence in Sheets synchronization and persistence behavior</w:t>
            </w:r>
          </w:p>
        </w:tc>
      </w:tr>
      <w:tr>
        <w:trPr>
          <w:cantSplit/>
        </w:trPr>
        <w:tc>
          <w:tcPr>
            <w:tcW w:type="dxa" w:w="3360"/>
          </w:tcPr>
          <w:p>
            <w:pPr>
              <w:spacing w:after="80"/>
            </w:pPr>
            <w:r>
              <w:rPr>
                <w:sz w:val="18"/>
              </w:rPr>
              <w:t>E10</w:t>
            </w:r>
          </w:p>
        </w:tc>
        <w:tc>
          <w:tcPr>
            <w:tcW w:type="dxa" w:w="3360"/>
          </w:tcPr>
          <w:p>
            <w:pPr>
              <w:spacing w:after="80"/>
            </w:pPr>
            <w:r>
              <w:rPr>
                <w:sz w:val="18"/>
              </w:rPr>
              <w:t>Workspace-agent configuration readbacks</w:t>
            </w:r>
          </w:p>
        </w:tc>
        <w:tc>
          <w:tcPr>
            <w:tcW w:type="dxa" w:w="3360"/>
          </w:tcPr>
          <w:p>
            <w:pPr>
              <w:spacing w:after="80"/>
            </w:pPr>
            <w:r>
              <w:rPr>
                <w:sz w:val="18"/>
              </w:rPr>
              <w:t>Advisory assistant capabilities and unpublished documentation-agent boundary</w:t>
            </w:r>
          </w:p>
        </w:tc>
      </w:tr>
      <w:tr>
        <w:trPr>
          <w:cantSplit/>
        </w:trPr>
        <w:tc>
          <w:tcPr>
            <w:tcW w:type="dxa" w:w="3360"/>
          </w:tcPr>
          <w:p>
            <w:pPr>
              <w:spacing w:after="80"/>
            </w:pPr>
            <w:r>
              <w:rPr>
                <w:sz w:val="18"/>
              </w:rPr>
              <w:t>E11</w:t>
            </w:r>
          </w:p>
        </w:tc>
        <w:tc>
          <w:tcPr>
            <w:tcW w:type="dxa" w:w="3360"/>
          </w:tcPr>
          <w:p>
            <w:pPr>
              <w:spacing w:after="80"/>
            </w:pPr>
            <w:r>
              <w:rPr>
                <w:sz w:val="18"/>
              </w:rPr>
              <w:t>New isolated module, tests and ISOLATED_ENVIRONMENTS.md</w:t>
            </w:r>
          </w:p>
        </w:tc>
        <w:tc>
          <w:tcPr>
            <w:tcW w:type="dxa" w:w="3360"/>
          </w:tcPr>
          <w:p>
            <w:pPr>
              <w:spacing w:after="80"/>
            </w:pPr>
            <w:r>
              <w:rPr>
                <w:sz w:val="18"/>
              </w:rPr>
              <w:t>Implemented project checks and migration workflow</w:t>
            </w:r>
          </w:p>
        </w:tc>
      </w:tr>
      <w:tr>
        <w:trPr>
          <w:cantSplit/>
        </w:trPr>
        <w:tc>
          <w:tcPr>
            <w:tcW w:type="dxa" w:w="3360"/>
          </w:tcPr>
          <w:p>
            <w:pPr>
              <w:spacing w:after="80"/>
            </w:pPr>
            <w:r>
              <w:rPr>
                <w:sz w:val="18"/>
              </w:rPr>
              <w:t>E12</w:t>
            </w:r>
          </w:p>
        </w:tc>
        <w:tc>
          <w:tcPr>
            <w:tcW w:type="dxa" w:w="3360"/>
          </w:tcPr>
          <w:p>
            <w:pPr>
              <w:spacing w:after="80"/>
            </w:pPr>
            <w:r>
              <w:rPr>
                <w:sz w:val="18"/>
              </w:rPr>
              <w:t>evidence/provision-*.log and final cloud inventory</w:t>
            </w:r>
          </w:p>
        </w:tc>
        <w:tc>
          <w:tcPr>
            <w:tcW w:type="dxa" w:w="3360"/>
          </w:tcPr>
          <w:p>
            <w:pPr>
              <w:spacing w:after="80"/>
            </w:pPr>
            <w:r>
              <w:rPr>
                <w:sz w:val="18"/>
              </w:rPr>
              <w:t>Provisioning outcomes and remaining cloud gaps</w:t>
            </w:r>
          </w:p>
        </w:tc>
      </w:tr>
      <w:tr>
        <w:trPr>
          <w:cantSplit/>
        </w:trPr>
        <w:tc>
          <w:tcPr>
            <w:tcW w:type="dxa" w:w="3360"/>
          </w:tcPr>
          <w:p>
            <w:pPr>
              <w:spacing w:after="80"/>
            </w:pPr>
            <w:r>
              <w:rPr>
                <w:sz w:val="18"/>
              </w:rPr>
              <w:t>E13</w:t>
            </w:r>
          </w:p>
        </w:tc>
        <w:tc>
          <w:tcPr>
            <w:tcW w:type="dxa" w:w="3360"/>
          </w:tcPr>
          <w:p>
            <w:pPr>
              <w:spacing w:after="80"/>
            </w:pPr>
            <w:r>
              <w:rPr>
                <w:sz w:val="18"/>
              </w:rPr>
              <w:t>Historical task registry and named release summaries</w:t>
            </w:r>
          </w:p>
        </w:tc>
        <w:tc>
          <w:tcPr>
            <w:tcW w:type="dxa" w:w="3360"/>
          </w:tcPr>
          <w:p>
            <w:pPr>
              <w:spacing w:after="80"/>
            </w:pPr>
            <w:r>
              <w:rPr>
                <w:sz w:val="18"/>
              </w:rPr>
              <w:t>Chronology and prior decisions; not substitute live checks</w:t>
            </w:r>
          </w:p>
        </w:tc>
      </w:tr>
      <w:tr>
        <w:trPr>
          <w:cantSplit/>
        </w:trPr>
        <w:tc>
          <w:tcPr>
            <w:tcW w:type="dxa" w:w="3360"/>
          </w:tcPr>
          <w:p>
            <w:pPr>
              <w:spacing w:after="80"/>
            </w:pPr>
            <w:r>
              <w:rPr>
                <w:sz w:val="18"/>
              </w:rPr>
              <w:t>E14</w:t>
            </w:r>
          </w:p>
        </w:tc>
        <w:tc>
          <w:tcPr>
            <w:tcW w:type="dxa" w:w="3360"/>
          </w:tcPr>
          <w:p>
            <w:pPr>
              <w:spacing w:after="80"/>
            </w:pPr>
            <w:r>
              <w:rPr>
                <w:sz w:val="18"/>
              </w:rPr>
              <w:t>Project Tracker retained reference.xlsx</w:t>
            </w:r>
          </w:p>
        </w:tc>
        <w:tc>
          <w:tcPr>
            <w:tcW w:type="dxa" w:w="3360"/>
          </w:tcPr>
          <w:p>
            <w:pPr>
              <w:spacing w:after="80"/>
            </w:pPr>
            <w:r>
              <w:rPr>
                <w:sz w:val="18"/>
              </w:rPr>
              <w:t>Workbook visual structure and formula behavior</w:t>
            </w:r>
          </w:p>
        </w:tc>
      </w:tr>
    </w:tbl>
    <w:p>
      <w:pPr>
        <w:spacing w:after="40"/>
      </w:pPr>
    </w:p>
    <w:p>
      <w:r>
        <w:t xml:space="preserve">Primary local sources are the main website checkout, the two release copies and the original payment sandbox identified above. The current task’s </w:t>
      </w:r>
      <w:r>
        <w:rPr>
          <w:rFonts w:ascii="Consolas" w:hAnsi="Consolas"/>
          <w:sz w:val="18"/>
        </w:rPr>
        <w:t>implementation</w:t>
      </w:r>
      <w:r>
        <w:t xml:space="preserve"> folder contains the new code and migration instructions. A successor should open those sources rather than copying deployment commands from an older dossier.</w:t>
      </w:r>
    </w:p>
    <w:p>
      <w:r>
        <w:t xml:space="preserve">Official references: </w:t>
      </w:r>
      <w:hyperlink r:id="rId9">
        <w:r>
          <w:rPr>
            <w:color w:val="185F70"/>
          </w:rPr>
          <w:t>Webflow default-domain routing</w:t>
        </w:r>
      </w:hyperlink>
      <w:r>
        <w:t xml:space="preserve">, </w:t>
      </w:r>
      <w:hyperlink r:id="rId10">
        <w:r>
          <w:rPr>
            <w:color w:val="185F70"/>
          </w:rPr>
          <w:t>Webflow pricing update</w:t>
        </w:r>
      </w:hyperlink>
      <w:r>
        <w:t xml:space="preserve">, </w:t>
      </w:r>
      <w:hyperlink r:id="rId11">
        <w:r>
          <w:rPr>
            <w:color w:val="185F70"/>
          </w:rPr>
          <w:t>Cloud SQL pricing</w:t>
        </w:r>
      </w:hyperlink>
      <w:r>
        <w:t xml:space="preserve">, </w:t>
      </w:r>
      <w:hyperlink r:id="rId12">
        <w:r>
          <w:rPr>
            <w:color w:val="185F70"/>
          </w:rPr>
          <w:t>Cloud SQL storage pricing</w:t>
        </w:r>
      </w:hyperlink>
      <w:r>
        <w:t xml:space="preserve">, </w:t>
      </w:r>
      <w:hyperlink r:id="rId13">
        <w:r>
          <w:rPr>
            <w:color w:val="185F70"/>
          </w:rPr>
          <w:t>Braintree sandbox testing</w:t>
        </w:r>
      </w:hyperlink>
      <w:r>
        <w:t xml:space="preserve">, and </w:t>
      </w:r>
      <w:hyperlink r:id="rId14">
        <w:r>
          <w:rPr>
            <w:color w:val="185F70"/>
          </w:rPr>
          <w:t>Braintree ACH testing</w:t>
        </w:r>
      </w:hyperlink>
      <w:r>
        <w:t>.</w:t>
      </w:r>
    </w:p>
    <w:p>
      <w:pPr>
        <w:pStyle w:val="Heading1"/>
      </w:pPr>
      <w:r>
        <w:t>Execution status</w:t>
      </w:r>
    </w:p>
    <w:p>
      <w:r>
        <w:t>The isolated foundations are complete; the overall application and marketing migration is not. The public sandbox still uses the predecessor project, and no Webflow production cutover has occurred.</w:t>
      </w:r>
    </w:p>
    <w:tbl>
      <w:tblPr>
        <w:tblStyle w:val="LightShading-Accent1"/>
        <w:tblW w:type="auto" w:w="0"/>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shd w:fill="245B66"/>
          </w:tcPr>
          <w:p>
            <w:pPr>
              <w:spacing w:after="80"/>
            </w:pPr>
            <w:r>
              <w:rPr>
                <w:b/>
                <w:color w:val="FFFFFF"/>
                <w:sz w:val="18"/>
              </w:rPr>
              <w:t>Environment</w:t>
            </w:r>
          </w:p>
        </w:tc>
        <w:tc>
          <w:tcPr>
            <w:tcW w:type="dxa" w:w="2016"/>
            <w:shd w:fill="245B66"/>
          </w:tcPr>
          <w:p>
            <w:pPr>
              <w:spacing w:after="80"/>
            </w:pPr>
            <w:r>
              <w:rPr>
                <w:b/>
                <w:color w:val="FFFFFF"/>
                <w:sz w:val="18"/>
              </w:rPr>
              <w:t>Project</w:t>
            </w:r>
          </w:p>
        </w:tc>
        <w:tc>
          <w:tcPr>
            <w:tcW w:type="dxa" w:w="2016"/>
            <w:shd w:fill="245B66"/>
          </w:tcPr>
          <w:p>
            <w:pPr>
              <w:spacing w:after="80"/>
            </w:pPr>
            <w:r>
              <w:rPr>
                <w:b/>
                <w:color w:val="FFFFFF"/>
                <w:sz w:val="18"/>
              </w:rPr>
              <w:t>SQL and schema</w:t>
            </w:r>
          </w:p>
        </w:tc>
        <w:tc>
          <w:tcPr>
            <w:tcW w:type="dxa" w:w="2016"/>
            <w:shd w:fill="245B66"/>
          </w:tcPr>
          <w:p>
            <w:pPr>
              <w:spacing w:after="80"/>
            </w:pPr>
            <w:r>
              <w:rPr>
                <w:b/>
                <w:color w:val="FFFFFF"/>
                <w:sz w:val="18"/>
              </w:rPr>
              <w:t>Image</w:t>
            </w:r>
          </w:p>
        </w:tc>
        <w:tc>
          <w:tcPr>
            <w:tcW w:type="dxa" w:w="2016"/>
            <w:shd w:fill="245B66"/>
          </w:tcPr>
          <w:p>
            <w:pPr>
              <w:spacing w:after="80"/>
            </w:pPr>
            <w:r>
              <w:rPr>
                <w:b/>
                <w:color w:val="FFFFFF"/>
                <w:sz w:val="18"/>
              </w:rPr>
              <w:t>Public application</w:t>
            </w:r>
          </w:p>
        </w:tc>
      </w:tr>
      <w:tr>
        <w:trPr>
          <w:cantSplit/>
        </w:trPr>
        <w:tc>
          <w:tcPr>
            <w:tcW w:type="dxa" w:w="2016"/>
          </w:tcPr>
          <w:p>
            <w:pPr>
              <w:spacing w:after="80"/>
            </w:pPr>
            <w:r>
              <w:rPr>
                <w:sz w:val="18"/>
              </w:rPr>
              <w:t>Dev</w:t>
            </w:r>
          </w:p>
        </w:tc>
        <w:tc>
          <w:tcPr>
            <w:tcW w:type="dxa" w:w="2016"/>
          </w:tcPr>
          <w:p>
            <w:pPr>
              <w:spacing w:after="80"/>
            </w:pPr>
            <w:r>
              <w:rPr>
                <w:sz w:val="18"/>
              </w:rPr>
            </w:r>
            <w:r>
              <w:rPr>
                <w:rFonts w:ascii="Consolas" w:hAnsi="Consolas"/>
                <w:sz w:val="18"/>
              </w:rPr>
              <w:t>amigo21-pay-dev-22737</w:t>
            </w:r>
            <w:r>
              <w:rPr>
                <w:sz w:val="18"/>
              </w:rPr>
            </w:r>
          </w:p>
        </w:tc>
        <w:tc>
          <w:tcPr>
            <w:tcW w:type="dxa" w:w="2016"/>
          </w:tcPr>
          <w:p>
            <w:pPr>
              <w:spacing w:after="80"/>
            </w:pPr>
            <w:r>
              <w:rPr>
                <w:sz w:val="18"/>
              </w:rPr>
            </w:r>
            <w:r>
              <w:rPr>
                <w:rFonts w:ascii="Consolas" w:hAnsi="Consolas"/>
                <w:sz w:val="18"/>
              </w:rPr>
              <w:t>RUNNABLE</w:t>
            </w:r>
            <w:r>
              <w:rPr>
                <w:sz w:val="18"/>
              </w:rPr>
              <w:t xml:space="preserve">; private </w:t>
            </w:r>
            <w:r>
              <w:rPr>
                <w:rFonts w:ascii="Consolas" w:hAnsi="Consolas"/>
                <w:sz w:val="18"/>
              </w:rPr>
              <w:t>sandbox_dev</w:t>
            </w:r>
            <w:r>
              <w:rPr>
                <w:sz w:val="18"/>
              </w:rPr>
              <w:t xml:space="preserve"> migration passed</w:t>
            </w:r>
          </w:p>
        </w:tc>
        <w:tc>
          <w:tcPr>
            <w:tcW w:type="dxa" w:w="2016"/>
          </w:tcPr>
          <w:p>
            <w:pPr>
              <w:spacing w:after="80"/>
            </w:pPr>
            <w:r>
              <w:rPr>
                <w:sz w:val="18"/>
              </w:rPr>
            </w:r>
            <w:r>
              <w:rPr>
                <w:rFonts w:ascii="Consolas" w:hAnsi="Consolas"/>
                <w:sz w:val="18"/>
              </w:rPr>
              <w:t>sha256:b3d466…a733</w:t>
            </w:r>
            <w:r>
              <w:rPr>
                <w:sz w:val="18"/>
              </w:rPr>
              <w:t xml:space="preserve"> present</w:t>
            </w:r>
          </w:p>
        </w:tc>
        <w:tc>
          <w:tcPr>
            <w:tcW w:type="dxa" w:w="2016"/>
          </w:tcPr>
          <w:p>
            <w:pPr>
              <w:spacing w:after="80"/>
            </w:pPr>
            <w:r>
              <w:rPr>
                <w:sz w:val="18"/>
              </w:rPr>
              <w:t>Not deployed</w:t>
            </w:r>
          </w:p>
        </w:tc>
      </w:tr>
      <w:tr>
        <w:trPr>
          <w:cantSplit/>
        </w:trPr>
        <w:tc>
          <w:tcPr>
            <w:tcW w:type="dxa" w:w="2016"/>
          </w:tcPr>
          <w:p>
            <w:pPr>
              <w:spacing w:after="80"/>
            </w:pPr>
            <w:r>
              <w:rPr>
                <w:sz w:val="18"/>
              </w:rPr>
              <w:t>QA</w:t>
            </w:r>
          </w:p>
        </w:tc>
        <w:tc>
          <w:tcPr>
            <w:tcW w:type="dxa" w:w="2016"/>
          </w:tcPr>
          <w:p>
            <w:pPr>
              <w:spacing w:after="80"/>
            </w:pPr>
            <w:r>
              <w:rPr>
                <w:sz w:val="18"/>
              </w:rPr>
            </w:r>
            <w:r>
              <w:rPr>
                <w:rFonts w:ascii="Consolas" w:hAnsi="Consolas"/>
                <w:sz w:val="18"/>
              </w:rPr>
              <w:t>amigo21-pay-qa-22737</w:t>
            </w:r>
            <w:r>
              <w:rPr>
                <w:sz w:val="18"/>
              </w:rPr>
            </w:r>
          </w:p>
        </w:tc>
        <w:tc>
          <w:tcPr>
            <w:tcW w:type="dxa" w:w="2016"/>
          </w:tcPr>
          <w:p>
            <w:pPr>
              <w:spacing w:after="80"/>
            </w:pPr>
            <w:r>
              <w:rPr>
                <w:sz w:val="18"/>
              </w:rPr>
            </w:r>
            <w:r>
              <w:rPr>
                <w:rFonts w:ascii="Consolas" w:hAnsi="Consolas"/>
                <w:sz w:val="18"/>
              </w:rPr>
              <w:t>RUNNABLE</w:t>
            </w:r>
            <w:r>
              <w:rPr>
                <w:sz w:val="18"/>
              </w:rPr>
              <w:t xml:space="preserve">; private </w:t>
            </w:r>
            <w:r>
              <w:rPr>
                <w:rFonts w:ascii="Consolas" w:hAnsi="Consolas"/>
                <w:sz w:val="18"/>
              </w:rPr>
              <w:t>sandbox_qa</w:t>
            </w:r>
            <w:r>
              <w:rPr>
                <w:sz w:val="18"/>
              </w:rPr>
              <w:t xml:space="preserve"> migration passed</w:t>
            </w:r>
          </w:p>
        </w:tc>
        <w:tc>
          <w:tcPr>
            <w:tcW w:type="dxa" w:w="2016"/>
          </w:tcPr>
          <w:p>
            <w:pPr>
              <w:spacing w:after="80"/>
            </w:pPr>
            <w:r>
              <w:rPr>
                <w:sz w:val="18"/>
              </w:rPr>
              <w:t>Same digest verified</w:t>
            </w:r>
          </w:p>
        </w:tc>
        <w:tc>
          <w:tcPr>
            <w:tcW w:type="dxa" w:w="2016"/>
          </w:tcPr>
          <w:p>
            <w:pPr>
              <w:spacing w:after="80"/>
            </w:pPr>
            <w:r>
              <w:rPr>
                <w:sz w:val="18"/>
              </w:rPr>
              <w:t>Not deployed</w:t>
            </w:r>
          </w:p>
        </w:tc>
      </w:tr>
      <w:tr>
        <w:trPr>
          <w:cantSplit/>
        </w:trPr>
        <w:tc>
          <w:tcPr>
            <w:tcW w:type="dxa" w:w="2016"/>
          </w:tcPr>
          <w:p>
            <w:pPr>
              <w:spacing w:after="80"/>
            </w:pPr>
            <w:r>
              <w:rPr>
                <w:sz w:val="18"/>
              </w:rPr>
              <w:t>Staging</w:t>
            </w:r>
          </w:p>
        </w:tc>
        <w:tc>
          <w:tcPr>
            <w:tcW w:type="dxa" w:w="2016"/>
          </w:tcPr>
          <w:p>
            <w:pPr>
              <w:spacing w:after="80"/>
            </w:pPr>
            <w:r>
              <w:rPr>
                <w:sz w:val="18"/>
              </w:rPr>
            </w:r>
            <w:r>
              <w:rPr>
                <w:rFonts w:ascii="Consolas" w:hAnsi="Consolas"/>
                <w:sz w:val="18"/>
              </w:rPr>
              <w:t>amigo21-pay-staging-22737</w:t>
            </w:r>
            <w:r>
              <w:rPr>
                <w:sz w:val="18"/>
              </w:rPr>
            </w:r>
          </w:p>
        </w:tc>
        <w:tc>
          <w:tcPr>
            <w:tcW w:type="dxa" w:w="2016"/>
          </w:tcPr>
          <w:p>
            <w:pPr>
              <w:spacing w:after="80"/>
            </w:pPr>
            <w:r>
              <w:rPr>
                <w:sz w:val="18"/>
              </w:rPr>
            </w:r>
            <w:r>
              <w:rPr>
                <w:rFonts w:ascii="Consolas" w:hAnsi="Consolas"/>
                <w:sz w:val="18"/>
              </w:rPr>
              <w:t>RUNNABLE</w:t>
            </w:r>
            <w:r>
              <w:rPr>
                <w:sz w:val="18"/>
              </w:rPr>
              <w:t xml:space="preserve">; private </w:t>
            </w:r>
            <w:r>
              <w:rPr>
                <w:rFonts w:ascii="Consolas" w:hAnsi="Consolas"/>
                <w:sz w:val="18"/>
              </w:rPr>
              <w:t>sandbox_staging</w:t>
            </w:r>
            <w:r>
              <w:rPr>
                <w:sz w:val="18"/>
              </w:rPr>
              <w:t xml:space="preserve"> migration passed</w:t>
            </w:r>
          </w:p>
        </w:tc>
        <w:tc>
          <w:tcPr>
            <w:tcW w:type="dxa" w:w="2016"/>
          </w:tcPr>
          <w:p>
            <w:pPr>
              <w:spacing w:after="80"/>
            </w:pPr>
            <w:r>
              <w:rPr>
                <w:sz w:val="18"/>
              </w:rPr>
              <w:t>Same digest verified</w:t>
            </w:r>
          </w:p>
        </w:tc>
        <w:tc>
          <w:tcPr>
            <w:tcW w:type="dxa" w:w="2016"/>
          </w:tcPr>
          <w:p>
            <w:pPr>
              <w:spacing w:after="80"/>
            </w:pPr>
            <w:r>
              <w:rPr>
                <w:sz w:val="18"/>
              </w:rPr>
              <w:t>Not deployed</w:t>
            </w:r>
          </w:p>
        </w:tc>
      </w:tr>
    </w:tbl>
    <w:p>
      <w:pPr>
        <w:spacing w:after="40"/>
      </w:pPr>
    </w:p>
    <w:p>
      <w:r>
        <w:t>Each environment has a private, versioned state bucket with uniform bucket-level access and public-access prevention. Final state shows zero custom-domain registrations and zero public Cloud Run services in the new projects. The premature inactive dev registration was removed. The current public sandbox routes were rechecked after recovery and remained on the predecessor project.</w:t>
      </w:r>
    </w:p>
    <w:p>
      <w:r>
        <w:t>The isolated staging Secret Manager now contains the verified staging-only Braintree sandbox credential; its read-only gateway ping passed. Dev and QA gateway credentials are placeholders. OFAC and workspace-agent delivery credentials remain empty in every environment, so screening-dependent processing must fail closed and payment methods remain disabled. No buyer approval, transaction, refund, ACH settlement, webhook replay, reconciliation run or wallet/device acceptance was performed.</w:t>
      </w:r>
    </w:p>
    <w:p>
      <w:r>
        <w:t xml:space="preserve">The remaining release gates are new-project Firebase browser authentication, live cross-project denial tests, backup restoration, record transfer and reconciliation, provider-backed payment acceptance, screening and advisory-agent delivery, Webflow access and preview routing, production contact persistence, and the four-hostname marketing cutover. The timestamped machine-readable inventory is </w:t>
      </w:r>
      <w:r>
        <w:rPr>
          <w:rFonts w:ascii="Consolas" w:hAnsi="Consolas"/>
          <w:sz w:val="18"/>
        </w:rPr>
        <w:t>evidence/foundation-status.json</w:t>
      </w:r>
      <w:r>
        <w:t>.</w:t>
      </w:r>
    </w:p>
    <w:sectPr w:rsidR="00FC693F" w:rsidRPr="0006063C" w:rsidSect="00034616">
      <w:footerReference w:type="default" r:id="rId15"/>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Amigo 21 English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lp.webflow.com/hc/en-us/articles/33961339571475-Set-a-default-domain" TargetMode="External"/><Relationship Id="rId10" Type="http://schemas.openxmlformats.org/officeDocument/2006/relationships/hyperlink" Target="https://help.webflow.com/hc/en-us/articles/51059955082387-Updated-pricing-and-simplified-plans-for-May-2026" TargetMode="External"/><Relationship Id="rId11" Type="http://schemas.openxmlformats.org/officeDocument/2006/relationships/hyperlink" Target="https://cloud.google.com/sql/pricing?authuser=1" TargetMode="External"/><Relationship Id="rId12" Type="http://schemas.openxmlformats.org/officeDocument/2006/relationships/hyperlink" Target="https://cloud.google.com/sql" TargetMode="External"/><Relationship Id="rId13" Type="http://schemas.openxmlformats.org/officeDocument/2006/relationships/hyperlink" Target="https://developer.paypal.com/braintree/docs/reference/general/testing/node/" TargetMode="External"/><Relationship Id="rId14" Type="http://schemas.openxmlformats.org/officeDocument/2006/relationships/hyperlink" Target="https://developer.paypal.com/braintree/docs/guides/ach/testing-go-live/"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Amigo 21 English Project Dossier</dc:title>
  <dc:subject>Architecture, history, environment migration and operational handoff</dc:subject>
  <dc:creator>Amigo 21 English</dc:creator>
  <cp:keywords/>
  <dc:description>generated by python-docx</dc:description>
  <cp:lastModifiedBy/>
  <cp:revision>1</cp:revision>
  <dcterms:created xsi:type="dcterms:W3CDTF">2013-12-23T23:15:00Z</dcterms:created>
  <dcterms:modified xsi:type="dcterms:W3CDTF">2013-12-23T23:15:00Z</dcterms:modified>
  <cp:category/>
</cp:coreProperties>
</file>