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sz w:val="40"/>
        </w:rPr>
        <w:t>SDC310L Course Project</w:t>
      </w:r>
    </w:p>
    <w:p>
      <w:pPr>
        <w:spacing w:after="280"/>
        <w:jc w:val="center"/>
      </w:pPr>
      <w:r>
        <w:rPr>
          <w:b/>
          <w:i w:val="0"/>
          <w:sz w:val="28"/>
        </w:rPr>
        <w:t>Retrospective — Summit Outfitters Online Store</w:t>
      </w:r>
    </w:p>
    <w:tbl>
      <w:tblPr>
        <w:tblStyle w:val="TableGrid"/>
        <w:tblW w:type="auto" w:w="0"/>
        <w:jc w:val="center"/>
        <w:tblLook w:firstColumn="1" w:firstRow="1" w:lastColumn="0" w:lastRow="0" w:noHBand="0" w:noVBand="1" w:val="04A0"/>
      </w:tblPr>
      <w:tblGrid>
        <w:gridCol w:w="4320"/>
        <w:gridCol w:w="4320"/>
      </w:tblGrid>
      <w:tr>
        <w:tc>
          <w:tcPr>
            <w:tcW w:type="dxa" w:w="2448"/>
          </w:tcPr>
          <w:p>
            <w:pPr>
              <w:spacing w:after="40"/>
            </w:pPr>
            <w:r/>
            <w:r>
              <w:rPr>
                <w:b/>
                <w:sz w:val="20"/>
              </w:rPr>
              <w:t>Student</w:t>
            </w:r>
          </w:p>
        </w:tc>
        <w:tc>
          <w:tcPr>
            <w:tcW w:type="dxa" w:w="6912"/>
          </w:tcPr>
          <w:p>
            <w:pPr>
              <w:spacing w:after="40"/>
            </w:pPr>
            <w:r/>
            <w:r>
              <w:rPr>
                <w:b/>
                <w:sz w:val="20"/>
              </w:rPr>
              <w:t>James Strohm (jamstr441)</w:t>
            </w:r>
          </w:p>
        </w:tc>
      </w:tr>
      <w:tr>
        <w:tc>
          <w:tcPr>
            <w:tcW w:type="dxa" w:w="2448"/>
          </w:tcPr>
          <w:p>
            <w:pPr>
              <w:spacing w:after="40"/>
            </w:pPr>
            <w:r/>
            <w:r>
              <w:rPr>
                <w:sz w:val="20"/>
              </w:rPr>
              <w:t>Course</w:t>
            </w:r>
          </w:p>
        </w:tc>
        <w:tc>
          <w:tcPr>
            <w:tcW w:type="dxa" w:w="6912"/>
          </w:tcPr>
          <w:p>
            <w:pPr>
              <w:spacing w:after="40"/>
            </w:pPr>
            <w:r/>
            <w:r>
              <w:rPr>
                <w:sz w:val="20"/>
              </w:rPr>
              <w:t>SDC310L — Software Development Capstone Lab</w:t>
            </w:r>
          </w:p>
        </w:tc>
      </w:tr>
      <w:tr>
        <w:tc>
          <w:tcPr>
            <w:tcW w:type="dxa" w:w="2448"/>
          </w:tcPr>
          <w:p>
            <w:pPr>
              <w:spacing w:after="40"/>
            </w:pPr>
            <w:r/>
            <w:r>
              <w:rPr>
                <w:sz w:val="20"/>
              </w:rPr>
              <w:t>Project</w:t>
            </w:r>
          </w:p>
        </w:tc>
        <w:tc>
          <w:tcPr>
            <w:tcW w:type="dxa" w:w="6912"/>
          </w:tcPr>
          <w:p>
            <w:pPr>
              <w:spacing w:after="40"/>
            </w:pPr>
            <w:r/>
            <w:r>
              <w:rPr>
                <w:sz w:val="20"/>
              </w:rPr>
              <w:t>Summit Outfitters — PHP online store with catalog and cart</w:t>
            </w:r>
          </w:p>
        </w:tc>
      </w:tr>
      <w:tr>
        <w:tc>
          <w:tcPr>
            <w:tcW w:type="dxa" w:w="2448"/>
          </w:tcPr>
          <w:p>
            <w:pPr>
              <w:spacing w:after="40"/>
            </w:pPr>
            <w:r/>
            <w:r>
              <w:rPr>
                <w:sz w:val="20"/>
              </w:rPr>
              <w:t>Term</w:t>
            </w:r>
          </w:p>
        </w:tc>
        <w:tc>
          <w:tcPr>
            <w:tcW w:type="dxa" w:w="6912"/>
          </w:tcPr>
          <w:p>
            <w:pPr>
              <w:spacing w:after="40"/>
            </w:pPr>
            <w:r/>
            <w:r>
              <w:rPr>
                <w:sz w:val="20"/>
              </w:rPr>
              <w:t>08/03/2026 – 09/06/2026</w:t>
            </w:r>
          </w:p>
        </w:tc>
      </w:tr>
      <w:tr>
        <w:tc>
          <w:tcPr>
            <w:tcW w:type="dxa" w:w="2448"/>
          </w:tcPr>
          <w:p>
            <w:pPr>
              <w:spacing w:after="40"/>
            </w:pPr>
            <w:r/>
            <w:r>
              <w:rPr>
                <w:sz w:val="20"/>
              </w:rPr>
              <w:t>Repository</w:t>
            </w:r>
          </w:p>
        </w:tc>
        <w:tc>
          <w:tcPr>
            <w:tcW w:type="dxa" w:w="6912"/>
          </w:tcPr>
          <w:p>
            <w:pPr>
              <w:spacing w:after="40"/>
            </w:pPr>
            <w:r/>
            <w:r>
              <w:rPr>
                <w:sz w:val="20"/>
              </w:rPr>
              <w:t>https://github.com/jamesstrohm55/SDC310L</w:t>
            </w:r>
          </w:p>
        </w:tc>
      </w:tr>
      <w:tr>
        <w:tc>
          <w:tcPr>
            <w:tcW w:type="dxa" w:w="2448"/>
          </w:tcPr>
          <w:p>
            <w:pPr>
              <w:spacing w:after="40"/>
            </w:pPr>
            <w:r/>
            <w:r>
              <w:rPr>
                <w:sz w:val="20"/>
              </w:rPr>
              <w:t>Submission tag</w:t>
            </w:r>
          </w:p>
        </w:tc>
        <w:tc>
          <w:tcPr>
            <w:tcW w:type="dxa" w:w="6912"/>
          </w:tcPr>
          <w:p>
            <w:pPr>
              <w:spacing w:after="40"/>
            </w:pPr>
            <w:r/>
            <w:r>
              <w:rPr>
                <w:sz w:val="20"/>
              </w:rPr>
              <w:t>Phase4 (the same commit is also tagged Phase5)</w:t>
            </w:r>
          </w:p>
        </w:tc>
      </w:tr>
    </w:tbl>
    <w:p>
      <w:pPr>
        <w:spacing w:after="40"/>
      </w:pPr>
    </w:p>
    <w:p>
      <w:pPr>
        <w:pStyle w:val="Heading1"/>
      </w:pPr>
      <w:r>
        <w:t>The Numbers</w:t>
      </w:r>
    </w:p>
    <w:p>
      <w:r>
        <w:rPr>
          <w:b w:val="0"/>
          <w:i w:val="0"/>
        </w:rPr>
        <w:t>Most of the answers below rest on the same underlying figures, so they are given once here. They are counted from the project plan and the git history rather than recalled.</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2736"/>
          </w:tcPr>
          <w:p>
            <w:pPr>
              <w:spacing w:after="40"/>
            </w:pPr>
            <w:r/>
            <w:r>
              <w:rPr>
                <w:b/>
                <w:sz w:val="20"/>
              </w:rPr>
              <w:t>Week</w:t>
            </w:r>
          </w:p>
        </w:tc>
        <w:tc>
          <w:tcPr>
            <w:tcW w:type="dxa" w:w="1224"/>
          </w:tcPr>
          <w:p>
            <w:pPr>
              <w:spacing w:after="40"/>
            </w:pPr>
            <w:r/>
            <w:r>
              <w:rPr>
                <w:b/>
                <w:sz w:val="20"/>
              </w:rPr>
              <w:t>Planned in Wk 1</w:t>
            </w:r>
          </w:p>
        </w:tc>
        <w:tc>
          <w:tcPr>
            <w:tcW w:type="dxa" w:w="1080"/>
          </w:tcPr>
          <w:p>
            <w:pPr>
              <w:spacing w:after="40"/>
            </w:pPr>
            <w:r/>
            <w:r>
              <w:rPr>
                <w:b/>
                <w:sz w:val="20"/>
              </w:rPr>
              <w:t>Carried in</w:t>
            </w:r>
          </w:p>
        </w:tc>
        <w:tc>
          <w:tcPr>
            <w:tcW w:type="dxa" w:w="1368"/>
          </w:tcPr>
          <w:p>
            <w:pPr>
              <w:spacing w:after="40"/>
            </w:pPr>
            <w:r/>
            <w:r>
              <w:rPr>
                <w:b/>
                <w:sz w:val="20"/>
              </w:rPr>
              <w:t>Found in the week</w:t>
            </w:r>
          </w:p>
        </w:tc>
        <w:tc>
          <w:tcPr>
            <w:tcW w:type="dxa" w:w="1080"/>
          </w:tcPr>
          <w:p>
            <w:pPr>
              <w:spacing w:after="40"/>
            </w:pPr>
            <w:r/>
            <w:r>
              <w:rPr>
                <w:b/>
                <w:sz w:val="20"/>
              </w:rPr>
              <w:t>Delivered</w:t>
            </w:r>
          </w:p>
        </w:tc>
        <w:tc>
          <w:tcPr>
            <w:tcW w:type="dxa" w:w="1512"/>
          </w:tcPr>
          <w:p>
            <w:pPr>
              <w:spacing w:after="40"/>
            </w:pPr>
            <w:r/>
            <w:r>
              <w:rPr>
                <w:b/>
                <w:sz w:val="20"/>
              </w:rPr>
              <w:t>Planned dates</w:t>
            </w:r>
          </w:p>
        </w:tc>
        <w:tc>
          <w:tcPr>
            <w:tcW w:type="dxa" w:w="1080"/>
          </w:tcPr>
          <w:p>
            <w:pPr>
              <w:spacing w:after="40"/>
            </w:pPr>
            <w:r/>
            <w:r>
              <w:rPr>
                <w:b/>
                <w:sz w:val="20"/>
              </w:rPr>
              <w:t>Finished</w:t>
            </w:r>
          </w:p>
        </w:tc>
      </w:tr>
      <w:tr>
        <w:tc>
          <w:tcPr>
            <w:tcW w:type="dxa" w:w="2736"/>
          </w:tcPr>
          <w:p>
            <w:pPr>
              <w:spacing w:after="40"/>
            </w:pPr>
            <w:r/>
            <w:r>
              <w:rPr>
                <w:sz w:val="20"/>
              </w:rPr>
              <w:t>2 — Database and framework</w:t>
            </w:r>
          </w:p>
        </w:tc>
        <w:tc>
          <w:tcPr>
            <w:tcW w:type="dxa" w:w="1224"/>
          </w:tcPr>
          <w:p>
            <w:pPr>
              <w:spacing w:after="40"/>
            </w:pPr>
            <w:r/>
            <w:r>
              <w:rPr>
                <w:sz w:val="20"/>
              </w:rPr>
              <w:t>7</w:t>
            </w:r>
          </w:p>
        </w:tc>
        <w:tc>
          <w:tcPr>
            <w:tcW w:type="dxa" w:w="1080"/>
          </w:tcPr>
          <w:p>
            <w:pPr>
              <w:spacing w:after="40"/>
            </w:pPr>
            <w:r/>
            <w:r>
              <w:rPr>
                <w:sz w:val="20"/>
              </w:rPr>
              <w:t>0</w:t>
            </w:r>
          </w:p>
        </w:tc>
        <w:tc>
          <w:tcPr>
            <w:tcW w:type="dxa" w:w="1368"/>
          </w:tcPr>
          <w:p>
            <w:pPr>
              <w:spacing w:after="40"/>
            </w:pPr>
            <w:r/>
            <w:r>
              <w:rPr>
                <w:sz w:val="20"/>
              </w:rPr>
              <w:t>3</w:t>
            </w:r>
          </w:p>
        </w:tc>
        <w:tc>
          <w:tcPr>
            <w:tcW w:type="dxa" w:w="1080"/>
          </w:tcPr>
          <w:p>
            <w:pPr>
              <w:spacing w:after="40"/>
            </w:pPr>
            <w:r/>
            <w:r>
              <w:rPr>
                <w:sz w:val="20"/>
              </w:rPr>
              <w:t>10</w:t>
            </w:r>
          </w:p>
        </w:tc>
        <w:tc>
          <w:tcPr>
            <w:tcW w:type="dxa" w:w="1512"/>
          </w:tcPr>
          <w:p>
            <w:pPr>
              <w:spacing w:after="40"/>
            </w:pPr>
            <w:r/>
            <w:r>
              <w:rPr>
                <w:sz w:val="20"/>
              </w:rPr>
              <w:t>08/11 – 08/16</w:t>
            </w:r>
          </w:p>
        </w:tc>
        <w:tc>
          <w:tcPr>
            <w:tcW w:type="dxa" w:w="1080"/>
          </w:tcPr>
          <w:p>
            <w:pPr>
              <w:spacing w:after="40"/>
            </w:pPr>
            <w:r/>
            <w:r>
              <w:rPr>
                <w:sz w:val="20"/>
              </w:rPr>
              <w:t>08/09</w:t>
            </w:r>
          </w:p>
        </w:tc>
      </w:tr>
      <w:tr>
        <w:tc>
          <w:tcPr>
            <w:tcW w:type="dxa" w:w="2736"/>
          </w:tcPr>
          <w:p>
            <w:pPr>
              <w:spacing w:after="40"/>
            </w:pPr>
            <w:r/>
            <w:r>
              <w:rPr>
                <w:sz w:val="20"/>
              </w:rPr>
              <w:t>3 — Database access</w:t>
            </w:r>
          </w:p>
        </w:tc>
        <w:tc>
          <w:tcPr>
            <w:tcW w:type="dxa" w:w="1224"/>
          </w:tcPr>
          <w:p>
            <w:pPr>
              <w:spacing w:after="40"/>
            </w:pPr>
            <w:r/>
            <w:r>
              <w:rPr>
                <w:sz w:val="20"/>
              </w:rPr>
              <w:t>7</w:t>
            </w:r>
          </w:p>
        </w:tc>
        <w:tc>
          <w:tcPr>
            <w:tcW w:type="dxa" w:w="1080"/>
          </w:tcPr>
          <w:p>
            <w:pPr>
              <w:spacing w:after="40"/>
            </w:pPr>
            <w:r/>
            <w:r>
              <w:rPr>
                <w:sz w:val="20"/>
              </w:rPr>
              <w:t>3</w:t>
            </w:r>
          </w:p>
        </w:tc>
        <w:tc>
          <w:tcPr>
            <w:tcW w:type="dxa" w:w="1368"/>
          </w:tcPr>
          <w:p>
            <w:pPr>
              <w:spacing w:after="40"/>
            </w:pPr>
            <w:r/>
            <w:r>
              <w:rPr>
                <w:sz w:val="20"/>
              </w:rPr>
              <w:t>4</w:t>
            </w:r>
          </w:p>
        </w:tc>
        <w:tc>
          <w:tcPr>
            <w:tcW w:type="dxa" w:w="1080"/>
          </w:tcPr>
          <w:p>
            <w:pPr>
              <w:spacing w:after="40"/>
            </w:pPr>
            <w:r/>
            <w:r>
              <w:rPr>
                <w:sz w:val="20"/>
              </w:rPr>
              <w:t>14</w:t>
            </w:r>
          </w:p>
        </w:tc>
        <w:tc>
          <w:tcPr>
            <w:tcW w:type="dxa" w:w="1512"/>
          </w:tcPr>
          <w:p>
            <w:pPr>
              <w:spacing w:after="40"/>
            </w:pPr>
            <w:r/>
            <w:r>
              <w:rPr>
                <w:sz w:val="20"/>
              </w:rPr>
              <w:t>08/18 – 08/23</w:t>
            </w:r>
          </w:p>
        </w:tc>
        <w:tc>
          <w:tcPr>
            <w:tcW w:type="dxa" w:w="1080"/>
          </w:tcPr>
          <w:p>
            <w:pPr>
              <w:spacing w:after="40"/>
            </w:pPr>
            <w:r/>
            <w:r>
              <w:rPr>
                <w:sz w:val="20"/>
              </w:rPr>
              <w:t>08/16</w:t>
            </w:r>
          </w:p>
        </w:tc>
      </w:tr>
      <w:tr>
        <w:tc>
          <w:tcPr>
            <w:tcW w:type="dxa" w:w="2736"/>
          </w:tcPr>
          <w:p>
            <w:pPr>
              <w:spacing w:after="40"/>
            </w:pPr>
            <w:r/>
            <w:r>
              <w:rPr>
                <w:sz w:val="20"/>
              </w:rPr>
              <w:t>4 — MVC re-architecture</w:t>
            </w:r>
          </w:p>
        </w:tc>
        <w:tc>
          <w:tcPr>
            <w:tcW w:type="dxa" w:w="1224"/>
          </w:tcPr>
          <w:p>
            <w:pPr>
              <w:spacing w:after="40"/>
            </w:pPr>
            <w:r/>
            <w:r>
              <w:rPr>
                <w:sz w:val="20"/>
              </w:rPr>
              <w:t>7</w:t>
            </w:r>
          </w:p>
        </w:tc>
        <w:tc>
          <w:tcPr>
            <w:tcW w:type="dxa" w:w="1080"/>
          </w:tcPr>
          <w:p>
            <w:pPr>
              <w:spacing w:after="40"/>
            </w:pPr>
            <w:r/>
            <w:r>
              <w:rPr>
                <w:sz w:val="20"/>
              </w:rPr>
              <w:t>3</w:t>
            </w:r>
          </w:p>
        </w:tc>
        <w:tc>
          <w:tcPr>
            <w:tcW w:type="dxa" w:w="1368"/>
          </w:tcPr>
          <w:p>
            <w:pPr>
              <w:spacing w:after="40"/>
            </w:pPr>
            <w:r/>
            <w:r>
              <w:rPr>
                <w:sz w:val="20"/>
              </w:rPr>
              <w:t>6</w:t>
            </w:r>
          </w:p>
        </w:tc>
        <w:tc>
          <w:tcPr>
            <w:tcW w:type="dxa" w:w="1080"/>
          </w:tcPr>
          <w:p>
            <w:pPr>
              <w:spacing w:after="40"/>
            </w:pPr>
            <w:r/>
            <w:r>
              <w:rPr>
                <w:sz w:val="20"/>
              </w:rPr>
              <w:t>16</w:t>
            </w:r>
          </w:p>
        </w:tc>
        <w:tc>
          <w:tcPr>
            <w:tcW w:type="dxa" w:w="1512"/>
          </w:tcPr>
          <w:p>
            <w:pPr>
              <w:spacing w:after="40"/>
            </w:pPr>
            <w:r/>
            <w:r>
              <w:rPr>
                <w:sz w:val="20"/>
              </w:rPr>
              <w:t>08/25 – 08/30</w:t>
            </w:r>
          </w:p>
        </w:tc>
        <w:tc>
          <w:tcPr>
            <w:tcW w:type="dxa" w:w="1080"/>
          </w:tcPr>
          <w:p>
            <w:pPr>
              <w:spacing w:after="40"/>
            </w:pPr>
            <w:r/>
            <w:r>
              <w:rPr>
                <w:sz w:val="20"/>
              </w:rPr>
              <w:t>08/22</w:t>
            </w:r>
          </w:p>
        </w:tc>
      </w:tr>
      <w:tr>
        <w:tc>
          <w:tcPr>
            <w:tcW w:type="dxa" w:w="2736"/>
          </w:tcPr>
          <w:p>
            <w:pPr>
              <w:spacing w:after="40"/>
            </w:pPr>
            <w:r/>
            <w:r>
              <w:rPr>
                <w:sz w:val="20"/>
              </w:rPr>
              <w:t>5 — Finalize and test</w:t>
            </w:r>
          </w:p>
        </w:tc>
        <w:tc>
          <w:tcPr>
            <w:tcW w:type="dxa" w:w="1224"/>
          </w:tcPr>
          <w:p>
            <w:pPr>
              <w:spacing w:after="40"/>
            </w:pPr>
            <w:r/>
            <w:r>
              <w:rPr>
                <w:sz w:val="20"/>
              </w:rPr>
              <w:t>6</w:t>
            </w:r>
          </w:p>
        </w:tc>
        <w:tc>
          <w:tcPr>
            <w:tcW w:type="dxa" w:w="1080"/>
          </w:tcPr>
          <w:p>
            <w:pPr>
              <w:spacing w:after="40"/>
            </w:pPr>
            <w:r/>
            <w:r>
              <w:rPr>
                <w:sz w:val="20"/>
              </w:rPr>
              <w:t>2</w:t>
            </w:r>
          </w:p>
        </w:tc>
        <w:tc>
          <w:tcPr>
            <w:tcW w:type="dxa" w:w="1368"/>
          </w:tcPr>
          <w:p>
            <w:pPr>
              <w:spacing w:after="40"/>
            </w:pPr>
            <w:r/>
            <w:r>
              <w:rPr>
                <w:sz w:val="20"/>
              </w:rPr>
              <w:t>8</w:t>
            </w:r>
          </w:p>
        </w:tc>
        <w:tc>
          <w:tcPr>
            <w:tcW w:type="dxa" w:w="1080"/>
          </w:tcPr>
          <w:p>
            <w:pPr>
              <w:spacing w:after="40"/>
            </w:pPr>
            <w:r/>
            <w:r>
              <w:rPr>
                <w:sz w:val="20"/>
              </w:rPr>
              <w:t>16</w:t>
            </w:r>
          </w:p>
        </w:tc>
        <w:tc>
          <w:tcPr>
            <w:tcW w:type="dxa" w:w="1512"/>
          </w:tcPr>
          <w:p>
            <w:pPr>
              <w:spacing w:after="40"/>
            </w:pPr>
            <w:r/>
            <w:r>
              <w:rPr>
                <w:sz w:val="20"/>
              </w:rPr>
              <w:t>09/01 – 09/06</w:t>
            </w:r>
          </w:p>
        </w:tc>
        <w:tc>
          <w:tcPr>
            <w:tcW w:type="dxa" w:w="1080"/>
          </w:tcPr>
          <w:p>
            <w:pPr>
              <w:spacing w:after="40"/>
            </w:pPr>
            <w:r/>
            <w:r>
              <w:rPr>
                <w:sz w:val="20"/>
              </w:rPr>
              <w:t>08/27</w:t>
            </w:r>
          </w:p>
        </w:tc>
      </w:tr>
      <w:tr>
        <w:tc>
          <w:tcPr>
            <w:tcW w:type="dxa" w:w="2736"/>
          </w:tcPr>
          <w:p>
            <w:pPr>
              <w:spacing w:after="40"/>
            </w:pPr>
            <w:r/>
            <w:r>
              <w:rPr>
                <w:b/>
                <w:sz w:val="20"/>
              </w:rPr>
              <w:t>Total</w:t>
            </w:r>
          </w:p>
        </w:tc>
        <w:tc>
          <w:tcPr>
            <w:tcW w:type="dxa" w:w="1224"/>
          </w:tcPr>
          <w:p>
            <w:pPr>
              <w:spacing w:after="40"/>
            </w:pPr>
            <w:r/>
            <w:r>
              <w:rPr>
                <w:b/>
                <w:sz w:val="20"/>
              </w:rPr>
              <w:t>27</w:t>
            </w:r>
          </w:p>
        </w:tc>
        <w:tc>
          <w:tcPr>
            <w:tcW w:type="dxa" w:w="1080"/>
          </w:tcPr>
          <w:p>
            <w:pPr>
              <w:spacing w:after="40"/>
            </w:pPr>
            <w:r/>
            <w:r>
              <w:rPr>
                <w:b/>
                <w:sz w:val="20"/>
              </w:rPr>
              <w:t>8</w:t>
            </w:r>
          </w:p>
        </w:tc>
        <w:tc>
          <w:tcPr>
            <w:tcW w:type="dxa" w:w="1368"/>
          </w:tcPr>
          <w:p>
            <w:pPr>
              <w:spacing w:after="40"/>
            </w:pPr>
            <w:r/>
            <w:r>
              <w:rPr>
                <w:b/>
                <w:sz w:val="20"/>
              </w:rPr>
              <w:t>21</w:t>
            </w:r>
          </w:p>
        </w:tc>
        <w:tc>
          <w:tcPr>
            <w:tcW w:type="dxa" w:w="1080"/>
          </w:tcPr>
          <w:p>
            <w:pPr>
              <w:spacing w:after="40"/>
            </w:pPr>
            <w:r/>
            <w:r>
              <w:rPr>
                <w:b/>
                <w:sz w:val="20"/>
              </w:rPr>
              <w:t>56</w:t>
            </w:r>
          </w:p>
        </w:tc>
        <w:tc>
          <w:tcPr>
            <w:tcW w:type="dxa" w:w="1512"/>
          </w:tcPr>
          <w:p>
            <w:pPr>
              <w:spacing w:after="40"/>
            </w:pPr>
            <w:r/>
            <w:r>
              <w:rPr>
                <w:b/>
                <w:sz w:val="20"/>
              </w:rPr>
              <w:t>—</w:t>
            </w:r>
          </w:p>
        </w:tc>
        <w:tc>
          <w:tcPr>
            <w:tcW w:type="dxa" w:w="1080"/>
          </w:tcPr>
          <w:p>
            <w:pPr>
              <w:spacing w:after="40"/>
            </w:pPr>
            <w:r/>
            <w:r>
              <w:rPr>
                <w:b/>
                <w:sz w:val="20"/>
              </w:rPr>
              <w:t>—</w:t>
            </w:r>
          </w:p>
        </w:tc>
      </w:tr>
    </w:tbl>
    <w:p>
      <w:pPr>
        <w:spacing w:after="40"/>
      </w:pPr>
    </w:p>
    <w:p>
      <w:r>
        <w:rPr>
          <w:b w:val="0"/>
          <w:i/>
        </w:rPr>
        <w:t>"Carried in" is work added to a week's breakdown at the previous week's submission, as the plan template requires. "Found in the week" is work that nobody had written down anywhere until it was discovered during execution.</w:t>
      </w:r>
    </w:p>
    <w:p>
      <w:r>
        <w:rPr>
          <w:b w:val="0"/>
          <w:i w:val="0"/>
        </w:rPr>
        <w:t>Two other figures matter. The automated test suite went from nothing in Week 2, to 71 assertions in Week 3, to 234 in Week 4, to 266 assertions plus 70 end-to-end HTTP checks in Week 5 — 336 automated checks in total. And across the project, 25 defects were found and fixed: ten from a review of the Week 2 code, six from a review of the Week 4 code — five fixed that week and the sixth, the missing CSRF protection, in Week 5 — and nine more during Week 5 testing and review.</w:t>
      </w:r>
    </w:p>
    <w:p>
      <w:pPr>
        <w:pStyle w:val="Heading1"/>
      </w:pPr>
      <w:r>
        <w:t>1. What went well during your project?</w:t>
      </w:r>
    </w:p>
    <w:p>
      <w:pPr>
        <w:pStyle w:val="ListBullet"/>
        <w:spacing w:after="80"/>
      </w:pPr>
      <w:r>
        <w:rPr>
          <w:b/>
        </w:rPr>
        <w:t xml:space="preserve">Nothing was ever left broken overnight. </w:t>
      </w:r>
      <w:r>
        <w:t>The application worked at the end of every single week. That was a deliberate choice rather than luck. The Week 4 MVC re-architecture was sequenced so the first eight tasks only added files alongside the working Week 3 code, and a single ninth commit swapped the entry point and deleted the old scripts. The store served and the suite passed at every commit up to the swap, so any breakage would have pointed at exactly one change.</w:t>
      </w:r>
    </w:p>
    <w:p>
      <w:pPr>
        <w:pStyle w:val="ListBullet"/>
        <w:spacing w:after="80"/>
      </w:pPr>
      <w:r>
        <w:rPr>
          <w:b/>
        </w:rPr>
        <w:t xml:space="preserve">The arithmetic never drifted. </w:t>
      </w:r>
      <w:r>
        <w:t>The order figures for a fixed basket — $508.98 in items, $25.45 tax, $50.90 shipping, $585.33 total — are byte-identical in the Week 3, Week 4, and Week 5 builds. Two significant restructurings happened between the first and the last, and neither changed a number a customer would see. That is the single clearest evidence that the refactoring was actually behavior-preserving rather than merely believed to be.</w:t>
      </w:r>
    </w:p>
    <w:p>
      <w:pPr>
        <w:pStyle w:val="ListBullet"/>
        <w:spacing w:after="80"/>
      </w:pPr>
      <w:r>
        <w:rPr>
          <w:b/>
        </w:rPr>
        <w:t xml:space="preserve">No planned scope was lost. </w:t>
      </w:r>
      <w:r>
        <w:t>Every one of the 27 tasks in the original Week 1 plan was completed. None was dropped, none was quietly re-scoped smaller, and none slipped past the week it was scheduled in. Every week also finished ahead of its planned dates — between two and ten days early.</w:t>
      </w:r>
    </w:p>
    <w:p>
      <w:pPr>
        <w:pStyle w:val="ListBullet"/>
        <w:spacing w:after="80"/>
      </w:pPr>
      <w:r>
        <w:rPr>
          <w:b/>
        </w:rPr>
        <w:t xml:space="preserve">The layer boundaries survived contact with new features. </w:t>
      </w:r>
      <w:r>
        <w:t>The rules established in Week 4 held through Week 5 without erosion, and that was checked rather than assumed: $_SESSION appears only in the session model, no SQL appears outside the product model, no view reads a superglobal, no model emits markup, and index.php is still the only PHP file reachable as a page.</w:t>
      </w:r>
    </w:p>
    <w:p>
      <w:pPr>
        <w:pStyle w:val="ListBullet"/>
        <w:spacing w:after="80"/>
      </w:pPr>
      <w:r>
        <w:rPr>
          <w:b/>
        </w:rPr>
        <w:t xml:space="preserve">Looking for problems worked. </w:t>
      </w:r>
      <w:r>
        <w:t>Reviews and tests found 25 defects across the project, including several that would have been visible to a user: a cart that clipped its own Remove buttons, a nonexistent product id that could be added silently, and an infinite redirect loop on HEAD requests. Finding them was uncomfortable and was the point.</w:t>
      </w:r>
    </w:p>
    <w:p>
      <w:pPr>
        <w:pStyle w:val="Heading1"/>
      </w:pPr>
      <w:r>
        <w:t>2. What went poorly during your project?</w:t>
      </w:r>
    </w:p>
    <w:p>
      <w:pPr>
        <w:pStyle w:val="ListBullet"/>
        <w:spacing w:after="80"/>
      </w:pPr>
      <w:r>
        <w:rPr>
          <w:b/>
        </w:rPr>
        <w:t xml:space="preserve">I wrote verification that could not fail. </w:t>
      </w:r>
      <w:r>
        <w:t>This is the worst theme of the project because it recurred three separate times, in three different forms, and each time the check looked exactly like success. The test runner exited 0 while skipping half its files, because exit() given a string exits with status 0. A source-code sweep silently matched nothing, because the shell expanded a grep argument before grep saw it. Two end-to-end assertions could not have failed whatever the application did — one used a multi-line grep needle, which is alternation rather than a literal, and one compared hardcoded numbers to each other. Worse, my first attempt to fix the third of these reproduced the exact bug it was written to prevent: exit inside a command substitution only leaves the subshell, so the script sailed past a dead database and still reported 69 checks passed.</w:t>
      </w:r>
    </w:p>
    <w:p>
      <w:pPr>
        <w:pStyle w:val="ListBullet"/>
        <w:spacing w:after="80"/>
      </w:pPr>
      <w:r>
        <w:rPr>
          <w:b/>
        </w:rPr>
        <w:t xml:space="preserve">I picked the wrong number representation and paid for it twice. </w:t>
      </w:r>
      <w:r>
        <w:t>Weeks 2 and 3 handled currency as floating-point values. A review pointed out that the printed line items would not reliably add up to the printed total, and converting the whole application to whole integer cents took a substantial part of Week 3 and touched the model, the views, and every test. Choosing integers on day one would have cost nothing.</w:t>
      </w:r>
    </w:p>
    <w:p>
      <w:pPr>
        <w:pStyle w:val="ListBullet"/>
        <w:spacing w:after="80"/>
      </w:pPr>
      <w:r>
        <w:rPr>
          <w:b/>
        </w:rPr>
        <w:t xml:space="preserve">The CSRF work slipped twice. </w:t>
      </w:r>
      <w:r>
        <w:t>It was identified as a hardening candidate in Week 3, deferred with a defensible reason. It was deferred again in Week 4 with another defensible reason. It was only done in Week 5 because it had been written into that week's breakdown rather than left as a remark in a barriers section. The reasoning was sound both times, which is precisely why it would have supported a third deferral.</w:t>
      </w:r>
    </w:p>
    <w:p>
      <w:pPr>
        <w:pStyle w:val="ListBullet"/>
        <w:spacing w:after="80"/>
      </w:pPr>
      <w:r>
        <w:rPr>
          <w:b/>
        </w:rPr>
        <w:t xml:space="preserve">The same tooling failure defeated me three times. </w:t>
      </w:r>
      <w:r>
        <w:t>Headless Chrome hung when capturing screenshots in Week 2, again in Week 4, and again in Week 5. Each time I worked around it and moved on without understanding it. Only in Week 5 did I diagnose it properly — Chrome renders the page and writes the PNG correctly, then fails to exit — and wrap the capture in a background-and-kill loop. Three weeks of rediscovery for a problem that took twenty minutes to characterise.</w:t>
      </w:r>
    </w:p>
    <w:p>
      <w:pPr>
        <w:pStyle w:val="ListBullet"/>
        <w:spacing w:after="80"/>
      </w:pPr>
      <w:r>
        <w:rPr>
          <w:b/>
        </w:rPr>
        <w:t xml:space="preserve">The early commit history is nearly useless. </w:t>
      </w:r>
      <w:r>
        <w:t>Weeks 2 and 3 were each delivered as a single squashed commit. Weeks 4 and 5 used fifteen and ten focused commits respectively, with a message explaining why each change was necessary. The later history is genuinely reviewable and the earlier history is not, and I only know that because I had to go back and read it.</w:t>
      </w:r>
    </w:p>
    <w:p>
      <w:pPr>
        <w:pStyle w:val="ListBullet"/>
        <w:spacing w:after="80"/>
      </w:pPr>
      <w:r>
        <w:rPr>
          <w:b/>
        </w:rPr>
        <w:t xml:space="preserve">I front-loaded avoidable interface defects. </w:t>
      </w:r>
      <w:r>
        <w:t>The first review of the Week 2 interface found ten defects — tables that overflowed narrow screens with no scroll container, disabled buttons faded below readable contrast, six identical buttons with no accessible names, headers that lost their alignment to a specificity conflict. None was hard to avoid. All of them existed because I wrote the markup once and did not look at it critically before calling it done.</w:t>
      </w:r>
    </w:p>
    <w:p>
      <w:pPr>
        <w:pStyle w:val="Heading1"/>
      </w:pPr>
      <w:r>
        <w:t>3. Was your project a helpful plan?</w:t>
      </w:r>
    </w:p>
    <w:p>
      <w:r>
        <w:rPr>
          <w:b w:val="0"/>
          <w:i w:val="0"/>
        </w:rPr>
        <w:t>Yes — but it was helpful in a narrower way than I expected, and it is worth being precise about which part carried the value.</w:t>
      </w:r>
    </w:p>
    <w:p>
      <w:r>
        <w:rPr>
          <w:b w:val="0"/>
          <w:i w:val="0"/>
        </w:rPr>
        <w:t>The plan was an excellent scope contract and a poor effort estimate. It was accurate about what to build: all 27 planned tasks were completed, none was dropped, and not one turned out to be the wrong thing to build. Because the weekly decomposition mirrored the course structure, the plan never had to be restructured mid-project either. What it said almost nothing useful about was what any of that work would cost — 52% of everything eventually delivered does not appear in it.</w:t>
      </w:r>
    </w:p>
    <w:p>
      <w:r>
        <w:rPr>
          <w:b w:val="0"/>
          <w:i w:val="0"/>
        </w:rPr>
        <w:t>The most valuable single feature turned out to be the "Additional Work" column, which I had initially read as bookkeeping. It is the only reason the CSRF work was ever done: writing a deferred item into the following week's breakdown gave it a place to exist between the week it was identified and the week it was completed. Items that stayed in prose — in a barriers paragraph or a note to myself — did not reliably resurface. Items that got a table row did.</w:t>
      </w:r>
    </w:p>
    <w:p>
      <w:r>
        <w:rPr>
          <w:b w:val="0"/>
          <w:i w:val="0"/>
        </w:rPr>
        <w:t>The plan was also useful in a way that has nothing to do with scheduling: having written down what a week was for made it obvious when I was about to do something else. In Week 2 the assignment restated the full project requirements including a working cart, while my plan scheduled cart behavior for Week 3. Because the boundary was written down, that was a decision I noticed and recorded rather than a drift I would not have seen.</w:t>
      </w:r>
    </w:p>
    <w:p>
      <w:pPr>
        <w:pStyle w:val="Heading1"/>
      </w:pPr>
      <w:r>
        <w:t>4. How much could you stick to your project plan versus making adjustments?</w:t>
      </w:r>
    </w:p>
    <w:p>
      <w:r>
        <w:rPr>
          <w:b w:val="0"/>
          <w:i w:val="0"/>
        </w:rPr>
        <w:t>The honest answer splits cleanly in two, and the two halves point in opposite directions.</w:t>
      </w:r>
    </w:p>
    <w:tbl>
      <w:tblPr>
        <w:tblStyle w:val="TableGrid"/>
        <w:tblW w:type="auto" w:w="0"/>
        <w:jc w:val="center"/>
        <w:tblLook w:firstColumn="1" w:firstRow="1" w:lastColumn="0" w:lastRow="0" w:noHBand="0" w:noVBand="1" w:val="04A0"/>
      </w:tblPr>
      <w:tblGrid>
        <w:gridCol w:w="2880"/>
        <w:gridCol w:w="2880"/>
        <w:gridCol w:w="2880"/>
      </w:tblGrid>
      <w:tr>
        <w:tc>
          <w:tcPr>
            <w:tcW w:type="dxa" w:w="1872"/>
          </w:tcPr>
          <w:p>
            <w:pPr>
              <w:spacing w:after="40"/>
            </w:pPr>
            <w:r/>
            <w:r>
              <w:rPr>
                <w:b/>
                <w:sz w:val="20"/>
              </w:rPr>
              <w:t>Dimension</w:t>
            </w:r>
          </w:p>
        </w:tc>
        <w:tc>
          <w:tcPr>
            <w:tcW w:type="dxa" w:w="1584"/>
          </w:tcPr>
          <w:p>
            <w:pPr>
              <w:spacing w:after="40"/>
            </w:pPr>
            <w:r/>
            <w:r>
              <w:rPr>
                <w:b/>
                <w:sz w:val="20"/>
              </w:rPr>
              <w:t>Adherence</w:t>
            </w:r>
          </w:p>
        </w:tc>
        <w:tc>
          <w:tcPr>
            <w:tcW w:type="dxa" w:w="5904"/>
          </w:tcPr>
          <w:p>
            <w:pPr>
              <w:spacing w:after="40"/>
            </w:pPr>
            <w:r/>
            <w:r>
              <w:rPr>
                <w:b/>
                <w:sz w:val="20"/>
              </w:rPr>
              <w:t>Evidence</w:t>
            </w:r>
          </w:p>
        </w:tc>
      </w:tr>
      <w:tr>
        <w:tc>
          <w:tcPr>
            <w:tcW w:type="dxa" w:w="1872"/>
          </w:tcPr>
          <w:p>
            <w:pPr>
              <w:spacing w:after="40"/>
            </w:pPr>
            <w:r/>
            <w:r>
              <w:rPr>
                <w:sz w:val="20"/>
              </w:rPr>
              <w:t>Planned scope</w:t>
            </w:r>
          </w:p>
        </w:tc>
        <w:tc>
          <w:tcPr>
            <w:tcW w:type="dxa" w:w="1584"/>
          </w:tcPr>
          <w:p>
            <w:pPr>
              <w:spacing w:after="40"/>
            </w:pPr>
            <w:r/>
            <w:r>
              <w:rPr>
                <w:sz w:val="20"/>
              </w:rPr>
              <w:t>Complete</w:t>
            </w:r>
          </w:p>
        </w:tc>
        <w:tc>
          <w:tcPr>
            <w:tcW w:type="dxa" w:w="5904"/>
          </w:tcPr>
          <w:p>
            <w:pPr>
              <w:spacing w:after="40"/>
            </w:pPr>
            <w:r/>
            <w:r>
              <w:rPr>
                <w:sz w:val="20"/>
              </w:rPr>
              <w:t>All 27 planned tasks delivered. Nothing dropped, nothing deferred out of the project, nothing re-scoped smaller.</w:t>
            </w:r>
          </w:p>
        </w:tc>
      </w:tr>
      <w:tr>
        <w:tc>
          <w:tcPr>
            <w:tcW w:type="dxa" w:w="1872"/>
          </w:tcPr>
          <w:p>
            <w:pPr>
              <w:spacing w:after="40"/>
            </w:pPr>
            <w:r/>
            <w:r>
              <w:rPr>
                <w:sz w:val="20"/>
              </w:rPr>
              <w:t>Sequence</w:t>
            </w:r>
          </w:p>
        </w:tc>
        <w:tc>
          <w:tcPr>
            <w:tcW w:type="dxa" w:w="1584"/>
          </w:tcPr>
          <w:p>
            <w:pPr>
              <w:spacing w:after="40"/>
            </w:pPr>
            <w:r/>
            <w:r>
              <w:rPr>
                <w:sz w:val="20"/>
              </w:rPr>
              <w:t>Complete</w:t>
            </w:r>
          </w:p>
        </w:tc>
        <w:tc>
          <w:tcPr>
            <w:tcW w:type="dxa" w:w="5904"/>
          </w:tcPr>
          <w:p>
            <w:pPr>
              <w:spacing w:after="40"/>
            </w:pPr>
            <w:r/>
            <w:r>
              <w:rPr>
                <w:sz w:val="20"/>
              </w:rPr>
              <w:t>Every task was done in the week it was scheduled for. The weekly structure was never rearranged.</w:t>
            </w:r>
          </w:p>
        </w:tc>
      </w:tr>
      <w:tr>
        <w:tc>
          <w:tcPr>
            <w:tcW w:type="dxa" w:w="1872"/>
          </w:tcPr>
          <w:p>
            <w:pPr>
              <w:spacing w:after="40"/>
            </w:pPr>
            <w:r/>
            <w:r>
              <w:rPr>
                <w:sz w:val="20"/>
              </w:rPr>
              <w:t>Schedule</w:t>
            </w:r>
          </w:p>
        </w:tc>
        <w:tc>
          <w:tcPr>
            <w:tcW w:type="dxa" w:w="1584"/>
          </w:tcPr>
          <w:p>
            <w:pPr>
              <w:spacing w:after="40"/>
            </w:pPr>
            <w:r/>
            <w:r>
              <w:rPr>
                <w:sz w:val="20"/>
              </w:rPr>
              <w:t>Ahead throughout</w:t>
            </w:r>
          </w:p>
        </w:tc>
        <w:tc>
          <w:tcPr>
            <w:tcW w:type="dxa" w:w="5904"/>
          </w:tcPr>
          <w:p>
            <w:pPr>
              <w:spacing w:after="40"/>
            </w:pPr>
            <w:r/>
            <w:r>
              <w:rPr>
                <w:sz w:val="20"/>
              </w:rPr>
              <w:t>Every week finished 2–10 days before its planned dates. That reflects padded estimates rather than speed.</w:t>
            </w:r>
          </w:p>
        </w:tc>
      </w:tr>
      <w:tr>
        <w:tc>
          <w:tcPr>
            <w:tcW w:type="dxa" w:w="1872"/>
          </w:tcPr>
          <w:p>
            <w:pPr>
              <w:spacing w:after="40"/>
            </w:pPr>
            <w:r/>
            <w:r>
              <w:rPr>
                <w:sz w:val="20"/>
              </w:rPr>
              <w:t>Effort and content</w:t>
            </w:r>
          </w:p>
        </w:tc>
        <w:tc>
          <w:tcPr>
            <w:tcW w:type="dxa" w:w="1584"/>
          </w:tcPr>
          <w:p>
            <w:pPr>
              <w:spacing w:after="40"/>
            </w:pPr>
            <w:r/>
            <w:r>
              <w:rPr>
                <w:sz w:val="20"/>
              </w:rPr>
              <w:t>About half</w:t>
            </w:r>
          </w:p>
        </w:tc>
        <w:tc>
          <w:tcPr>
            <w:tcW w:type="dxa" w:w="5904"/>
          </w:tcPr>
          <w:p>
            <w:pPr>
              <w:spacing w:after="40"/>
            </w:pPr>
            <w:r/>
            <w:r>
              <w:rPr>
                <w:sz w:val="20"/>
              </w:rPr>
              <w:t>27 of 56 delivered items were in the Week 1 plan. The other 29 were not.</w:t>
            </w:r>
          </w:p>
        </w:tc>
      </w:tr>
    </w:tbl>
    <w:p>
      <w:pPr>
        <w:spacing w:after="40"/>
      </w:pPr>
    </w:p>
    <w:p>
      <w:r>
        <w:rPr>
          <w:b w:val="0"/>
          <w:i w:val="0"/>
        </w:rPr>
        <w:t>So I stuck to the plan completely as a statement of intent and only about half as a description of the work. Adjustments were almost never subtractions — I did not cut a planned feature all term. They were additions: defects to fix, infrastructure the plan had assumed into existence, and consequences of earlier decisions.</w:t>
      </w:r>
    </w:p>
    <w:p>
      <w:r>
        <w:rPr>
          <w:b w:val="0"/>
          <w:i w:val="0"/>
        </w:rPr>
        <w:t>There was exactly one deliberate re-scope, and it went upward. Week 5's "UI Polish" was planned as a light styling pass. It became a full rework of the catalog from a table to a card grid, because a table was the wrong element for a set of products being browsed and on a narrow screen it could only be made to fit by hiding every product description. Enlarging a task in the final week is a risk; it was worth taking because the behavior underneath was covered by 336 automated checks that would catch a regression.</w:t>
      </w:r>
    </w:p>
    <w:p>
      <w:pPr>
        <w:pStyle w:val="Heading1"/>
      </w:pPr>
      <w:r>
        <w:t>5. How much additional work did you find during the project execution?</w:t>
      </w:r>
    </w:p>
    <w:p>
      <w:r>
        <w:rPr>
          <w:b w:val="0"/>
          <w:i w:val="0"/>
        </w:rPr>
        <w:t>A great deal — more than half the project. Of 56 delivered work items, 27 came from the Week 1 plan and 29 did not. Of those 29, eight were identified a week ahead and written into the next week's breakdown; the remaining 21 were discovered during the week they were done.</w:t>
      </w:r>
    </w:p>
    <w:p>
      <w:r>
        <w:rPr>
          <w:b w:val="0"/>
          <w:i w:val="0"/>
        </w:rPr>
        <w:t>The trend is the part I did not expect. Unplanned discoveries per week went 3, 4, 6, 8 — they rose steadily rather than settling down as the project became more familiar:</w:t>
      </w:r>
    </w:p>
    <w:tbl>
      <w:tblPr>
        <w:tblStyle w:val="TableGrid"/>
        <w:tblW w:type="auto" w:w="0"/>
        <w:jc w:val="center"/>
        <w:tblLook w:firstColumn="1" w:firstRow="1" w:lastColumn="0" w:lastRow="0" w:noHBand="0" w:noVBand="1" w:val="04A0"/>
      </w:tblPr>
      <w:tblGrid>
        <w:gridCol w:w="2880"/>
        <w:gridCol w:w="2880"/>
        <w:gridCol w:w="2880"/>
      </w:tblGrid>
      <w:tr>
        <w:tc>
          <w:tcPr>
            <w:tcW w:type="dxa" w:w="1152"/>
          </w:tcPr>
          <w:p>
            <w:pPr>
              <w:spacing w:after="40"/>
            </w:pPr>
            <w:r/>
            <w:r>
              <w:rPr>
                <w:b/>
                <w:sz w:val="20"/>
              </w:rPr>
              <w:t>Week</w:t>
            </w:r>
          </w:p>
        </w:tc>
        <w:tc>
          <w:tcPr>
            <w:tcW w:type="dxa" w:w="2880"/>
          </w:tcPr>
          <w:p>
            <w:pPr>
              <w:spacing w:after="40"/>
            </w:pPr>
            <w:r/>
            <w:r>
              <w:rPr>
                <w:b/>
                <w:sz w:val="20"/>
              </w:rPr>
              <w:t>Found during execution</w:t>
            </w:r>
          </w:p>
        </w:tc>
        <w:tc>
          <w:tcPr>
            <w:tcW w:type="dxa" w:w="3744"/>
          </w:tcPr>
          <w:p>
            <w:pPr>
              <w:spacing w:after="40"/>
            </w:pPr>
            <w:r/>
            <w:r>
              <w:rPr>
                <w:b/>
                <w:sz w:val="20"/>
              </w:rPr>
              <w:t>Share of that week's delivered work</w:t>
            </w:r>
          </w:p>
        </w:tc>
      </w:tr>
      <w:tr>
        <w:tc>
          <w:tcPr>
            <w:tcW w:type="dxa" w:w="1152"/>
          </w:tcPr>
          <w:p>
            <w:pPr>
              <w:spacing w:after="40"/>
            </w:pPr>
            <w:r/>
            <w:r>
              <w:rPr>
                <w:sz w:val="20"/>
              </w:rPr>
              <w:t>2</w:t>
            </w:r>
          </w:p>
        </w:tc>
        <w:tc>
          <w:tcPr>
            <w:tcW w:type="dxa" w:w="2880"/>
          </w:tcPr>
          <w:p>
            <w:pPr>
              <w:spacing w:after="40"/>
            </w:pPr>
            <w:r/>
            <w:r>
              <w:rPr>
                <w:sz w:val="20"/>
              </w:rPr>
              <w:t>3</w:t>
            </w:r>
          </w:p>
        </w:tc>
        <w:tc>
          <w:tcPr>
            <w:tcW w:type="dxa" w:w="3744"/>
          </w:tcPr>
          <w:p>
            <w:pPr>
              <w:spacing w:after="40"/>
            </w:pPr>
            <w:r/>
            <w:r>
              <w:rPr>
                <w:sz w:val="20"/>
              </w:rPr>
              <w:t>30%</w:t>
            </w:r>
          </w:p>
        </w:tc>
      </w:tr>
      <w:tr>
        <w:tc>
          <w:tcPr>
            <w:tcW w:type="dxa" w:w="1152"/>
          </w:tcPr>
          <w:p>
            <w:pPr>
              <w:spacing w:after="40"/>
            </w:pPr>
            <w:r/>
            <w:r>
              <w:rPr>
                <w:sz w:val="20"/>
              </w:rPr>
              <w:t>3</w:t>
            </w:r>
          </w:p>
        </w:tc>
        <w:tc>
          <w:tcPr>
            <w:tcW w:type="dxa" w:w="2880"/>
          </w:tcPr>
          <w:p>
            <w:pPr>
              <w:spacing w:after="40"/>
            </w:pPr>
            <w:r/>
            <w:r>
              <w:rPr>
                <w:sz w:val="20"/>
              </w:rPr>
              <w:t>4</w:t>
            </w:r>
          </w:p>
        </w:tc>
        <w:tc>
          <w:tcPr>
            <w:tcW w:type="dxa" w:w="3744"/>
          </w:tcPr>
          <w:p>
            <w:pPr>
              <w:spacing w:after="40"/>
            </w:pPr>
            <w:r/>
            <w:r>
              <w:rPr>
                <w:sz w:val="20"/>
              </w:rPr>
              <w:t>29%</w:t>
            </w:r>
          </w:p>
        </w:tc>
      </w:tr>
      <w:tr>
        <w:tc>
          <w:tcPr>
            <w:tcW w:type="dxa" w:w="1152"/>
          </w:tcPr>
          <w:p>
            <w:pPr>
              <w:spacing w:after="40"/>
            </w:pPr>
            <w:r/>
            <w:r>
              <w:rPr>
                <w:sz w:val="20"/>
              </w:rPr>
              <w:t>4</w:t>
            </w:r>
          </w:p>
        </w:tc>
        <w:tc>
          <w:tcPr>
            <w:tcW w:type="dxa" w:w="2880"/>
          </w:tcPr>
          <w:p>
            <w:pPr>
              <w:spacing w:after="40"/>
            </w:pPr>
            <w:r/>
            <w:r>
              <w:rPr>
                <w:sz w:val="20"/>
              </w:rPr>
              <w:t>6</w:t>
            </w:r>
          </w:p>
        </w:tc>
        <w:tc>
          <w:tcPr>
            <w:tcW w:type="dxa" w:w="3744"/>
          </w:tcPr>
          <w:p>
            <w:pPr>
              <w:spacing w:after="40"/>
            </w:pPr>
            <w:r/>
            <w:r>
              <w:rPr>
                <w:sz w:val="20"/>
              </w:rPr>
              <w:t>38%</w:t>
            </w:r>
          </w:p>
        </w:tc>
      </w:tr>
      <w:tr>
        <w:tc>
          <w:tcPr>
            <w:tcW w:type="dxa" w:w="1152"/>
          </w:tcPr>
          <w:p>
            <w:pPr>
              <w:spacing w:after="40"/>
            </w:pPr>
            <w:r/>
            <w:r>
              <w:rPr>
                <w:sz w:val="20"/>
              </w:rPr>
              <w:t>5</w:t>
            </w:r>
          </w:p>
        </w:tc>
        <w:tc>
          <w:tcPr>
            <w:tcW w:type="dxa" w:w="2880"/>
          </w:tcPr>
          <w:p>
            <w:pPr>
              <w:spacing w:after="40"/>
            </w:pPr>
            <w:r/>
            <w:r>
              <w:rPr>
                <w:sz w:val="20"/>
              </w:rPr>
              <w:t>8</w:t>
            </w:r>
          </w:p>
        </w:tc>
        <w:tc>
          <w:tcPr>
            <w:tcW w:type="dxa" w:w="3744"/>
          </w:tcPr>
          <w:p>
            <w:pPr>
              <w:spacing w:after="40"/>
            </w:pPr>
            <w:r/>
            <w:r>
              <w:rPr>
                <w:sz w:val="20"/>
              </w:rPr>
              <w:t>50%</w:t>
            </w:r>
          </w:p>
        </w:tc>
      </w:tr>
    </w:tbl>
    <w:p>
      <w:pPr>
        <w:spacing w:after="40"/>
      </w:pPr>
    </w:p>
    <w:p>
      <w:r>
        <w:rPr>
          <w:b w:val="0"/>
          <w:i w:val="0"/>
        </w:rPr>
        <w:t>The explanation is straightforward once stated: each week's plan was written in Week 1, before the code it describes existed. Week 5 could not have planned to fix a cart layout that clips its own buttons, because the two-column cart layout it clips in was invented in Week 5. The later a week sits in the project, the more of its real work is a consequence of decisions made after the plan was written.</w:t>
      </w:r>
    </w:p>
    <w:p>
      <w:r>
        <w:rPr>
          <w:b w:val="0"/>
          <w:i w:val="0"/>
        </w:rPr>
        <w:t>The additional work fell into four recognisable groups:</w:t>
      </w:r>
    </w:p>
    <w:p>
      <w:pPr>
        <w:pStyle w:val="ListBullet"/>
        <w:spacing w:after="80"/>
      </w:pPr>
      <w:r>
        <w:rPr>
          <w:b/>
        </w:rPr>
        <w:t xml:space="preserve">Fixing defects found by review or testing. </w:t>
      </w:r>
      <w:r>
        <w:t>The largest group. Ten from the Week 2 review, six from the Week 4 review, and nine during Week 5 testing and review.</w:t>
      </w:r>
    </w:p>
    <w:p>
      <w:pPr>
        <w:pStyle w:val="ListBullet"/>
        <w:spacing w:after="80"/>
      </w:pPr>
      <w:r>
        <w:rPr>
          <w:b/>
        </w:rPr>
        <w:t xml:space="preserve">Infrastructure the plan took for granted. </w:t>
      </w:r>
      <w:r>
        <w:t>The test suite, the branch-and-pull-request workflow, and the written design specifications were all things the plan assumed rather than scheduled. Each was worth its cost several times over.</w:t>
      </w:r>
    </w:p>
    <w:p>
      <w:pPr>
        <w:pStyle w:val="ListBullet"/>
        <w:spacing w:after="80"/>
      </w:pPr>
      <w:r>
        <w:rPr>
          <w:b/>
        </w:rPr>
        <w:t xml:space="preserve">Environment and tooling. </w:t>
      </w:r>
      <w:r>
        <w:t>Relocating the working copy into the XAMPP web root after discovering macOS permissions made a symlink impossible, and three rounds of fighting headless Chrome.</w:t>
      </w:r>
    </w:p>
    <w:p>
      <w:pPr>
        <w:pStyle w:val="ListBullet"/>
        <w:spacing w:after="80"/>
      </w:pPr>
      <w:r>
        <w:rPr>
          <w:b/>
        </w:rPr>
        <w:t xml:space="preserve">Consequences of earlier decisions. </w:t>
      </w:r>
      <w:r>
        <w:t>Converting money to integer cents, splitting the quantity buttons into separate forms once the front controller made the action part of the URL, auditing every document-relative path after routing changed, and adding a Money model the plan never mentioned.</w:t>
      </w:r>
    </w:p>
    <w:p>
      <w:pPr>
        <w:pStyle w:val="Heading1"/>
      </w:pPr>
      <w:r>
        <w:t>6. What would you do differently if you were starting over from the beginning?</w:t>
      </w:r>
    </w:p>
    <w:p>
      <w:pPr>
        <w:pStyle w:val="ListBullet"/>
        <w:spacing w:after="80"/>
      </w:pPr>
      <w:r>
        <w:rPr>
          <w:b/>
        </w:rPr>
        <w:t xml:space="preserve">Choose the money representation before writing any of it. </w:t>
      </w:r>
      <w:r>
        <w:t>This is the change I would make first and it is nearly free. Every hour spent converting Weeks 2 and 3 to integer cents in Week 3 bought exactly what choosing integers on day one would have given away. Representation decisions are cheap to make correctly at the start and expensive to change afterwards, so they deserve far more thought than they feel like they need on day one.</w:t>
      </w:r>
    </w:p>
    <w:p>
      <w:pPr>
        <w:pStyle w:val="ListBullet"/>
        <w:spacing w:after="80"/>
      </w:pPr>
      <w:r>
        <w:rPr>
          <w:b/>
        </w:rPr>
        <w:t xml:space="preserve">Write the test suite in Week 2, not Week 3. </w:t>
      </w:r>
      <w:r>
        <w:t>The suite arrived in Week 3, which meant the Week 2 code had no regression net when Week 3 rewrote it and I could not distinguish a refactoring mistake from a pre-existing bug. Once the suite existed it made every subsequent week faster and more confident. Starting it a week earlier costs one afternoon.</w:t>
      </w:r>
    </w:p>
    <w:p>
      <w:pPr>
        <w:pStyle w:val="ListBullet"/>
        <w:spacing w:after="80"/>
      </w:pPr>
      <w:r>
        <w:rPr>
          <w:b/>
        </w:rPr>
        <w:t xml:space="preserve">Prove every check can fail, at the moment it is written. </w:t>
      </w:r>
      <w:r>
        <w:t>Never break a check and watch it go red, and you do not have a check — you have a line of code that prints "ok". I found three of these and one of my own fixes was a fourth. From now on: write the assertion, deliberately break the behavior it watches, confirm the failure, then restore. Every check I repaired in Week 5 has such a negative control recorded against it, and every check I write from here will.</w:t>
      </w:r>
    </w:p>
    <w:p>
      <w:pPr>
        <w:pStyle w:val="ListBullet"/>
        <w:spacing w:after="80"/>
      </w:pPr>
      <w:r>
        <w:rPr>
          <w:b/>
        </w:rPr>
        <w:t xml:space="preserve">Put a security item on the schedule in the week it is identified. </w:t>
      </w:r>
      <w:r>
        <w:t>The CSRF item was deferred twice on reasoning that was sound each time. The defect is not in the reasoning, it is in allowing a security item to exist as a note rather than as a scheduled row. If it is worth writing down, it is worth giving a date.</w:t>
      </w:r>
    </w:p>
    <w:p>
      <w:pPr>
        <w:pStyle w:val="ListBullet"/>
        <w:spacing w:after="80"/>
      </w:pPr>
      <w:r>
        <w:rPr>
          <w:b/>
        </w:rPr>
        <w:t xml:space="preserve">Budget for unplanned work rather than pretending it will not appear. </w:t>
      </w:r>
      <w:r>
        <w:t>If unplanned work is reliably a third to a half of what gets delivered — and here it was 52% — then a plan with no allowance for it is not a plan, it is a wish. I would leave explicit room in each week rather than discovering the overflow and absorbing it silently.</w:t>
      </w:r>
    </w:p>
    <w:p>
      <w:pPr>
        <w:pStyle w:val="ListBullet"/>
        <w:spacing w:after="80"/>
      </w:pPr>
      <w:r>
        <w:rPr>
          <w:b/>
        </w:rPr>
        <w:t xml:space="preserve">Look at the rendered page every week, not only when something feels wrong. </w:t>
      </w:r>
      <w:r>
        <w:t>The cart clipped its Remove buttons while every automated check passed, because the markup and the HTTP response were both correct. Automated tests and looking at the rendered page catch genuinely different failures, and neither substitutes for the other. Looking should be a standing step, not something I do when already suspicious.</w:t>
      </w:r>
    </w:p>
    <w:p>
      <w:pPr>
        <w:pStyle w:val="ListBullet"/>
        <w:spacing w:after="80"/>
      </w:pPr>
      <w:r>
        <w:rPr>
          <w:b/>
        </w:rPr>
        <w:t xml:space="preserve">Commit in small pieces from the first week. </w:t>
      </w:r>
      <w:r>
        <w:t>Weeks 2 and 3 are each one squashed commit and are effectively unreviewable. The habit I adopted in Week 4 — one commit per coherent change, with a message explaining why it was necessary — cost almost nothing and repeatedly showed me a change was unnecessary while I was writing its justification.</w:t>
      </w:r>
    </w:p>
    <w:p>
      <w:pPr>
        <w:pStyle w:val="ListBullet"/>
        <w:spacing w:after="80"/>
      </w:pPr>
      <w:r>
        <w:rPr>
          <w:b/>
        </w:rPr>
        <w:t xml:space="preserve">Solve a tooling problem once, then script it. </w:t>
      </w:r>
      <w:r>
        <w:t>Three weeks of rediscovering the same headless Chrome failure was pure waste. The first time an environment problem costs more than a few minutes, it is worth characterising properly and writing the working invocation into a script.</w:t>
      </w:r>
    </w:p>
    <w:p>
      <w:pPr>
        <w:pStyle w:val="Heading1"/>
      </w:pPr>
      <w:r>
        <w:t>Closing</w:t>
      </w:r>
    </w:p>
    <w:p>
      <w:r>
        <w:rPr>
          <w:b w:val="0"/>
          <w:i w:val="0"/>
        </w:rPr>
        <w:t>The finished application does what the Course Project Overview asked for, and it does it on an architecture that is genuinely layered rather than nominally so. All 336 automated checks pass, both suites exit 0, and the result was verified from a fresh clone of the submitted tag rather than from my working copy.</w:t>
      </w:r>
    </w:p>
    <w:p>
      <w:r>
        <w:rPr>
          <w:b w:val="0"/>
          <w:i w:val="0"/>
        </w:rPr>
        <w:t>The most useful thing I take away is not about PHP. It is that the difference between a passing check and a check that cannot fail is invisible from the outside, and no amount of reading or re-running distinguishes them. Only deliberately breaking the thing does. I learned that three times in one week, each time in a place I would not have thought to look, and it is the habit most likely to survive this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4436"/>
      <w:sz w:val="3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443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