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480" w:lineRule="auto"/>
        <w:ind w:firstLine="720"/>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Mechanistic Mediation of the Descent into Diapause: The relationship between of stored resources on diapause timing.</w:t>
      </w:r>
    </w:p>
    <w:p w:rsidR="00000000" w:rsidDel="00000000" w:rsidP="00000000" w:rsidRDefault="00000000" w:rsidRPr="00000000">
      <w:pPr>
        <w:pBdr/>
        <w:spacing w:line="480" w:lineRule="auto"/>
        <w:ind w:firstLine="72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spacing w:line="480" w:lineRule="auto"/>
        <w:ind w:firstLine="72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spacing w:line="480" w:lineRule="auto"/>
        <w:ind w:firstLine="72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spacing w:line="480" w:lineRule="auto"/>
        <w:ind w:firstLine="72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spacing w:line="480" w:lineRule="auto"/>
        <w:ind w:firstLine="72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spacing w:line="480" w:lineRule="auto"/>
        <w:ind w:firstLine="720"/>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James T. Brown</w:t>
      </w:r>
    </w:p>
    <w:p w:rsidR="00000000" w:rsidDel="00000000" w:rsidP="00000000" w:rsidRDefault="00000000" w:rsidRPr="00000000">
      <w:pPr>
        <w:pBdr/>
        <w:spacing w:line="480" w:lineRule="auto"/>
        <w:ind w:firstLine="720"/>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MS Thesis Proposal</w:t>
      </w:r>
    </w:p>
    <w:p w:rsidR="00000000" w:rsidDel="00000000" w:rsidP="00000000" w:rsidRDefault="00000000" w:rsidRPr="00000000">
      <w:pPr>
        <w:pBdr/>
        <w:spacing w:line="480" w:lineRule="auto"/>
        <w:ind w:firstLine="720"/>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Advisor: Dr. Dan Hahn</w:t>
      </w:r>
    </w:p>
    <w:p w:rsidR="00000000" w:rsidDel="00000000" w:rsidP="00000000" w:rsidRDefault="00000000" w:rsidRPr="00000000">
      <w:pPr>
        <w:pBdr/>
        <w:spacing w:line="480" w:lineRule="auto"/>
        <w:ind w:firstLine="720"/>
        <w:contextualSpacing w:val="0"/>
        <w:jc w:val="center"/>
        <w:rPr>
          <w:rFonts w:ascii="Calibri" w:cs="Calibri" w:eastAsia="Calibri" w:hAnsi="Calibri"/>
        </w:rPr>
      </w:pPr>
      <w:r w:rsidDel="00000000" w:rsidR="00000000" w:rsidRPr="00000000">
        <w:rPr>
          <w:rFonts w:ascii="Calibri" w:cs="Calibri" w:eastAsia="Calibri" w:hAnsi="Calibri"/>
          <w:b w:val="1"/>
          <w:sz w:val="32"/>
          <w:szCs w:val="32"/>
          <w:rtl w:val="0"/>
        </w:rPr>
        <w:t xml:space="preserve">Committee Member: Dr. John Beck</w:t>
      </w:r>
      <w:r w:rsidDel="00000000" w:rsidR="00000000" w:rsidRPr="00000000">
        <w:rPr>
          <w:rtl w:val="0"/>
        </w:rPr>
      </w:r>
    </w:p>
    <w:p w:rsidR="00000000" w:rsidDel="00000000" w:rsidP="00000000" w:rsidRDefault="00000000" w:rsidRPr="00000000">
      <w:pPr>
        <w:pBdr/>
        <w:spacing w:line="480" w:lineRule="auto"/>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48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48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Climate Change and Insect Life Histories</w:t>
      </w:r>
    </w:p>
    <w:p w:rsidR="00000000" w:rsidDel="00000000" w:rsidP="00000000" w:rsidRDefault="00000000" w:rsidRPr="00000000">
      <w:pPr>
        <w:pBdr/>
        <w:spacing w:line="48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Of the 137-year history of recorded global surface temperatures, 2016 was the warmest year on record (NOAA National Centers for Environmental Information 2017). This global increase in temperature is causing seasons to become less predictable. For centuries, insect have exploited seasonally predictive environmental cues to make life history decisions. Using these seasonal cues, insects have synchronized their life history such that they are able to take advantage of seasonally available resources and avoid seasons when t</w:t>
      </w:r>
      <w:r w:rsidDel="00000000" w:rsidR="00000000" w:rsidRPr="00000000">
        <w:rPr>
          <w:rtl w:val="0"/>
        </w:rPr>
        <w:t xml:space="preserve">hose</w:t>
      </w:r>
      <w:r w:rsidDel="00000000" w:rsidR="00000000" w:rsidRPr="00000000">
        <w:rPr>
          <w:rFonts w:ascii="Calibri" w:cs="Calibri" w:eastAsia="Calibri" w:hAnsi="Calibri"/>
          <w:rtl w:val="0"/>
        </w:rPr>
        <w:t xml:space="preserve"> resources are unavailable.</w:t>
      </w:r>
      <w:r w:rsidDel="00000000" w:rsidR="00000000" w:rsidRPr="00000000">
        <w:rPr>
          <w:rtl w:val="0"/>
        </w:rPr>
        <w:t xml:space="preserve"> Populations are expected to rise from the 321.2 million to 398.3 million people here in the United States (Population Reference Bureau 2015). Farmers depend on the predictive nature of these seasonal cues to determine when to plant, chemically treat, and harvest their field crops to meet the food demand of the nation. As seasons become less predictable, insect populations will generally respond physiologically by shifting their spatial distribution, or by adapting to the local changes in their environment through heritable phenotypic (and behavioral) plasticity (Davis and Shaw 2001, Helmuth et al. 2005).  Understanding the effect of climate change on insect life histories </w:t>
      </w:r>
      <w:r w:rsidDel="00000000" w:rsidR="00000000" w:rsidRPr="00000000">
        <w:rPr>
          <w:rFonts w:ascii="Calibri" w:cs="Calibri" w:eastAsia="Calibri" w:hAnsi="Calibri"/>
          <w:rtl w:val="0"/>
        </w:rPr>
        <w:t xml:space="preserve">has direct implications for insect pest management and food security. </w:t>
      </w:r>
      <w:r w:rsidDel="00000000" w:rsidR="00000000" w:rsidRPr="00000000">
        <w:rPr>
          <w:rtl w:val="0"/>
        </w:rPr>
        <w:t xml:space="preserve">The consequence of these interactions, between climate change and the physiological response of insects, presents an interesting opportunity for scientific investigation, the results of which is of great importance as our nation and the world becomes more populated.</w:t>
      </w:r>
      <w:r w:rsidDel="00000000" w:rsidR="00000000" w:rsidRPr="00000000">
        <w:rPr>
          <w:rtl w:val="0"/>
        </w:rPr>
      </w:r>
    </w:p>
    <w:p w:rsidR="00000000" w:rsidDel="00000000" w:rsidP="00000000" w:rsidRDefault="00000000" w:rsidRPr="00000000">
      <w:pPr>
        <w:pBdr/>
        <w:spacing w:line="48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Fonts w:ascii="Calibri" w:cs="Calibri" w:eastAsia="Calibri" w:hAnsi="Calibri"/>
          <w:b w:val="1"/>
          <w:rtl w:val="0"/>
        </w:rPr>
        <w:t xml:space="preserve">Effects of Climate Changes: </w:t>
      </w:r>
      <w:r w:rsidDel="00000000" w:rsidR="00000000" w:rsidRPr="00000000">
        <w:rPr>
          <w:rFonts w:ascii="Calibri" w:cs="Calibri" w:eastAsia="Calibri" w:hAnsi="Calibri"/>
          <w:rtl w:val="0"/>
        </w:rPr>
        <w:t xml:space="preserve">The National Oceanic and Atmospheric Administration estimates the global surface temperatures in 2016 </w:t>
      </w:r>
      <w:r w:rsidDel="00000000" w:rsidR="00000000" w:rsidRPr="00000000">
        <w:rPr>
          <w:rtl w:val="0"/>
        </w:rPr>
        <w:t xml:space="preserve">were</w:t>
      </w:r>
      <w:r w:rsidDel="00000000" w:rsidR="00000000" w:rsidRPr="00000000">
        <w:rPr>
          <w:rFonts w:ascii="Calibri" w:cs="Calibri" w:eastAsia="Calibri" w:hAnsi="Calibri"/>
          <w:rtl w:val="0"/>
        </w:rPr>
        <w:t xml:space="preserve"> 0.87°C above the 20</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century average surface temperature (NOAA National Centers for Environmental Information 2017).</w:t>
      </w:r>
      <w:r w:rsidDel="00000000" w:rsidR="00000000" w:rsidRPr="00000000">
        <w:rPr>
          <w:rtl w:val="0"/>
        </w:rPr>
        <w:t xml:space="preserve"> Global temperature projections estimate global temperatures to increase by 1.1°C to 5.4°C by 2100 (Herring 2012). Here in the United States, average temperature projections for 2017 are expected to exceed historical averages (Climate Prediction Center Internet Team 2017). For insects whose voltinism (number of generations per year) is limited by low temperatures, they should generally respond to these increased temperatures with increased voltinism (Bebber 2015). Average global temperatures are useful predictors and provide a first approximation of the response of insects to increasing temperatures. However, the variance introduced by oceans, atmosphere, and landforms further influence how insects respond to changes in climates (Bebber 2015). Selection in a warming environment favors those insects able to respond to climate.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Shifting range boundaries to track favorable temperatures or adjusting to local temperatures physiologically by phenotypic plasticity are strategies employed by both migratory and non-migratory insect species. (Somero 2010). In Europe, of 35 species of non-migratory butterflies, 63% are observed to have shifted their range northward and 3% shifted their range south (Parmesan 1999).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color w:val="ff0000"/>
        </w:rPr>
      </w:pPr>
      <w:r w:rsidDel="00000000" w:rsidR="00000000" w:rsidRPr="00000000">
        <w:rPr>
          <w:color w:val="ff0000"/>
          <w:rtl w:val="0"/>
        </w:rPr>
        <w:t xml:space="preserve"> This tends to be  Insects could respond to the general warming of global temperatures, insects whose life histories are limited by lower temperatures could see an overall poleward shift in range distribution. This is has been observed in 35 species of European butterflies and  increase in voltinism (the number of generations per year) (Bebber 2015). However, these generalisms do not account  cause a net increase in range distribution and annual generation output ().  will can have devastating effects on agricultural output  produce different responses in  effects on different species depending on how  While some species will be unable to adapt to the changes in climate, These higher temperatures can have a range of effects on the population dynamics of species and these effects are dependent upon the sensitivity of a species to these factors. </w:t>
      </w:r>
    </w:p>
    <w:p w:rsidR="00000000" w:rsidDel="00000000" w:rsidP="00000000" w:rsidRDefault="00000000" w:rsidRPr="00000000">
      <w:pPr>
        <w:pBdr/>
        <w:spacing w:line="480" w:lineRule="auto"/>
        <w:contextualSpacing w:val="0"/>
        <w:rPr>
          <w:color w:val="ff0000"/>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The climate is changing dramatically and has been doing so over the past four decades (Mac et al. 1998). Historically, climate and seasonal temperature variations have been more predictable and organisms gradually flowed into different habitats and occupied new niches over time. In the context of a less predictable climate, organisms are thrown into different ecological spaces where the pressure to survive under novel conditions results in ecological upheaval. The ecological consequences of these dramatic climate fluctuations, must be investigated to fully understanding the degree to which these climate fluctuations will affect ecological stability and global food security.</w:t>
      </w:r>
    </w:p>
    <w:p w:rsidR="00000000" w:rsidDel="00000000" w:rsidP="00000000" w:rsidRDefault="00000000" w:rsidRPr="00000000">
      <w:pPr>
        <w:pBdr/>
        <w:spacing w:line="48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Corn here in the United States is an important economic agricultural commodity. Agriculture output adds $136.7 billion dollars to the nations economy, accounting for 1% of the United States GDP in 2015 (Glaser 2016). For many farmers and consumers, </w:t>
      </w:r>
    </w:p>
    <w:p w:rsidR="00000000" w:rsidDel="00000000" w:rsidP="00000000" w:rsidRDefault="00000000" w:rsidRPr="00000000">
      <w:pPr>
        <w:pBdr/>
        <w:spacing w:line="48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w:t>
        <w:tab/>
        <w:t xml:space="preserve">Expected effects of climate change on food security: </w:t>
      </w:r>
      <w:r w:rsidDel="00000000" w:rsidR="00000000" w:rsidRPr="00000000">
        <w:rPr>
          <w:rFonts w:ascii="Calibri" w:cs="Calibri" w:eastAsia="Calibri" w:hAnsi="Calibri"/>
          <w:color w:val="ff0000"/>
          <w:highlight w:val="yellow"/>
          <w:rtl w:val="0"/>
        </w:rPr>
        <w:t xml:space="preserve">DOI: 10.1038/ncomms6989</w:t>
      </w:r>
      <w:r w:rsidDel="00000000" w:rsidR="00000000" w:rsidRPr="00000000">
        <w:rPr>
          <w:rFonts w:ascii="Calibri" w:cs="Calibri" w:eastAsia="Calibri" w:hAnsi="Calibri"/>
          <w:color w:val="ff0000"/>
          <w:rtl w:val="0"/>
        </w:rPr>
        <w:t xml:space="preserve">] </w:t>
      </w:r>
    </w:p>
    <w:p w:rsidR="00000000" w:rsidDel="00000000" w:rsidP="00000000" w:rsidRDefault="00000000" w:rsidRPr="00000000">
      <w:pPr>
        <w:keepNext w:val="0"/>
        <w:keepLines w:val="0"/>
        <w:widowControl w:val="0"/>
        <w:numPr>
          <w:ilvl w:val="0"/>
          <w:numId w:val="5"/>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Parameter of food security</w:t>
      </w:r>
    </w:p>
    <w:p w:rsidR="00000000" w:rsidDel="00000000" w:rsidP="00000000" w:rsidRDefault="00000000" w:rsidRPr="00000000">
      <w:pPr>
        <w:keepNext w:val="0"/>
        <w:keepLines w:val="0"/>
        <w:widowControl w:val="0"/>
        <w:numPr>
          <w:ilvl w:val="0"/>
          <w:numId w:val="5"/>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Food security projections in the context of climate change</w:t>
      </w:r>
    </w:p>
    <w:p w:rsidR="00000000" w:rsidDel="00000000" w:rsidP="00000000" w:rsidRDefault="00000000" w:rsidRPr="00000000">
      <w:pPr>
        <w:keepNext w:val="0"/>
        <w:keepLines w:val="0"/>
        <w:widowControl w:val="0"/>
        <w:numPr>
          <w:ilvl w:val="0"/>
          <w:numId w:val="5"/>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pest pressure, degree days, crop yield as points </w:t>
      </w:r>
    </w:p>
    <w:p w:rsidR="00000000" w:rsidDel="00000000" w:rsidP="00000000" w:rsidRDefault="00000000" w:rsidRPr="00000000">
      <w:pPr>
        <w:pBdr/>
        <w:spacing w:line="48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w:t>
        <w:tab/>
        <w:t xml:space="preserve">Expected effects of climate change on ecological diversity: </w:t>
      </w:r>
      <w:r w:rsidDel="00000000" w:rsidR="00000000" w:rsidRPr="00000000">
        <w:rPr>
          <w:rFonts w:ascii="Calibri" w:cs="Calibri" w:eastAsia="Calibri" w:hAnsi="Calibri"/>
          <w:color w:val="ff0000"/>
          <w:highlight w:val="yellow"/>
          <w:rtl w:val="0"/>
        </w:rPr>
        <w:t xml:space="preserve">DOI: 10.1046/j.1365-2486.2002.00451.x</w:t>
      </w:r>
      <w:r w:rsidDel="00000000" w:rsidR="00000000" w:rsidRPr="00000000">
        <w:rPr>
          <w:rFonts w:ascii="Calibri" w:cs="Calibri" w:eastAsia="Calibri" w:hAnsi="Calibri"/>
          <w:color w:val="ff0000"/>
          <w:rtl w:val="0"/>
        </w:rPr>
        <w:t xml:space="preserve">] </w:t>
      </w:r>
    </w:p>
    <w:p w:rsidR="00000000" w:rsidDel="00000000" w:rsidP="00000000" w:rsidRDefault="00000000" w:rsidRPr="00000000">
      <w:pPr>
        <w:keepNext w:val="0"/>
        <w:keepLines w:val="0"/>
        <w:widowControl w:val="0"/>
        <w:numPr>
          <w:ilvl w:val="0"/>
          <w:numId w:val="6"/>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Parameter of diversity</w:t>
      </w:r>
    </w:p>
    <w:p w:rsidR="00000000" w:rsidDel="00000000" w:rsidP="00000000" w:rsidRDefault="00000000" w:rsidRPr="00000000">
      <w:pPr>
        <w:keepNext w:val="0"/>
        <w:keepLines w:val="0"/>
        <w:widowControl w:val="0"/>
        <w:numPr>
          <w:ilvl w:val="0"/>
          <w:numId w:val="6"/>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Diversity as a function of reliability of seasons</w:t>
      </w:r>
    </w:p>
    <w:p w:rsidR="00000000" w:rsidDel="00000000" w:rsidP="00000000" w:rsidRDefault="00000000" w:rsidRPr="00000000">
      <w:pPr>
        <w:keepNext w:val="0"/>
        <w:keepLines w:val="0"/>
        <w:widowControl w:val="0"/>
        <w:numPr>
          <w:ilvl w:val="0"/>
          <w:numId w:val="6"/>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Population, location, and gradient of diversirty and specialists</w:t>
      </w:r>
    </w:p>
    <w:p w:rsidR="00000000" w:rsidDel="00000000" w:rsidP="00000000" w:rsidRDefault="00000000" w:rsidRPr="00000000">
      <w:pPr>
        <w:pBdr/>
        <w:spacing w:line="480" w:lineRule="auto"/>
        <w:contextualSpacing w:val="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Ecological Result of Climate Change</w:t>
      </w:r>
    </w:p>
    <w:p w:rsidR="00000000" w:rsidDel="00000000" w:rsidP="00000000" w:rsidRDefault="00000000" w:rsidRPr="00000000">
      <w:pPr>
        <w:pBdr/>
        <w:spacing w:line="48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w:t>
        <w:tab/>
        <w:t xml:space="preserve">How organisms/insects adapt to climate change: </w:t>
      </w:r>
      <w:r w:rsidDel="00000000" w:rsidR="00000000" w:rsidRPr="00000000">
        <w:rPr>
          <w:rFonts w:ascii="Calibri" w:cs="Calibri" w:eastAsia="Calibri" w:hAnsi="Calibri"/>
          <w:color w:val="ff0000"/>
          <w:highlight w:val="yellow"/>
          <w:rtl w:val="0"/>
        </w:rPr>
        <w:t xml:space="preserve">doi: 10.1073/pnas.241391498</w:t>
      </w:r>
      <w:r w:rsidDel="00000000" w:rsidR="00000000" w:rsidRPr="00000000">
        <w:rPr>
          <w:rFonts w:ascii="Calibri" w:cs="Calibri" w:eastAsia="Calibri" w:hAnsi="Calibri"/>
          <w:color w:val="ff0000"/>
          <w:rtl w:val="0"/>
        </w:rPr>
        <w:t xml:space="preserve">]</w:t>
      </w:r>
    </w:p>
    <w:p w:rsidR="00000000" w:rsidDel="00000000" w:rsidP="00000000" w:rsidRDefault="00000000" w:rsidRPr="00000000">
      <w:pPr>
        <w:keepNext w:val="0"/>
        <w:keepLines w:val="0"/>
        <w:widowControl w:val="0"/>
        <w:numPr>
          <w:ilvl w:val="0"/>
          <w:numId w:val="7"/>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Removal of resources/hosts</w:t>
      </w:r>
    </w:p>
    <w:p w:rsidR="00000000" w:rsidDel="00000000" w:rsidP="00000000" w:rsidRDefault="00000000" w:rsidRPr="00000000">
      <w:pPr>
        <w:keepNext w:val="0"/>
        <w:keepLines w:val="0"/>
        <w:widowControl w:val="0"/>
        <w:numPr>
          <w:ilvl w:val="1"/>
          <w:numId w:val="7"/>
        </w:numPr>
        <w:pBdr/>
        <w:spacing w:after="0" w:before="0" w:line="480" w:lineRule="auto"/>
        <w:ind w:left="144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Seasonally or permenantly</w:t>
      </w:r>
    </w:p>
    <w:p w:rsidR="00000000" w:rsidDel="00000000" w:rsidP="00000000" w:rsidRDefault="00000000" w:rsidRPr="00000000">
      <w:pPr>
        <w:keepNext w:val="0"/>
        <w:keepLines w:val="0"/>
        <w:widowControl w:val="0"/>
        <w:numPr>
          <w:ilvl w:val="0"/>
          <w:numId w:val="7"/>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migration </w:t>
      </w:r>
    </w:p>
    <w:p w:rsidR="00000000" w:rsidDel="00000000" w:rsidP="00000000" w:rsidRDefault="00000000" w:rsidRPr="00000000">
      <w:pPr>
        <w:keepNext w:val="0"/>
        <w:keepLines w:val="0"/>
        <w:widowControl w:val="0"/>
        <w:numPr>
          <w:ilvl w:val="0"/>
          <w:numId w:val="7"/>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“host switching?” </w:t>
      </w:r>
    </w:p>
    <w:p w:rsidR="00000000" w:rsidDel="00000000" w:rsidP="00000000" w:rsidRDefault="00000000" w:rsidRPr="00000000">
      <w:pPr>
        <w:keepNext w:val="0"/>
        <w:keepLines w:val="0"/>
        <w:widowControl w:val="0"/>
        <w:numPr>
          <w:ilvl w:val="0"/>
          <w:numId w:val="7"/>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plasticity</w:t>
      </w:r>
    </w:p>
    <w:p w:rsidR="00000000" w:rsidDel="00000000" w:rsidP="00000000" w:rsidRDefault="00000000" w:rsidRPr="00000000">
      <w:pPr>
        <w:pBdr/>
        <w:spacing w:line="480" w:lineRule="auto"/>
        <w:contextualSpacing w:val="0"/>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Insect Diversity: </w:t>
      </w:r>
      <w:r w:rsidDel="00000000" w:rsidR="00000000" w:rsidRPr="00000000">
        <w:rPr>
          <w:rFonts w:ascii="Calibri" w:cs="Calibri" w:eastAsia="Calibri" w:hAnsi="Calibri"/>
          <w:color w:val="ff0000"/>
          <w:rtl w:val="0"/>
        </w:rPr>
        <w:t xml:space="preserve">This effect is becoming more noticeable in regions where temperatures are less variable but extreme. For instance, in Antarctica (Find the Denlinger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rsidR="00000000" w:rsidDel="00000000" w:rsidP="00000000" w:rsidRDefault="00000000" w:rsidRPr="00000000">
      <w:pPr>
        <w:pBdr/>
        <w:spacing w:line="480" w:lineRule="auto"/>
        <w:ind w:firstLine="360"/>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rsidR="00000000" w:rsidDel="00000000" w:rsidP="00000000" w:rsidRDefault="00000000" w:rsidRPr="00000000">
      <w:pPr>
        <w:pBdr/>
        <w:spacing w:line="480" w:lineRule="auto"/>
        <w:ind w:firstLine="360"/>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rsidR="00000000" w:rsidDel="00000000" w:rsidP="00000000" w:rsidRDefault="00000000" w:rsidRPr="00000000">
      <w:pPr>
        <w:pBdr/>
        <w:spacing w:line="48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r w:rsidDel="00000000" w:rsidR="00000000" w:rsidRPr="00000000">
        <w:rPr>
          <w:rFonts w:ascii="Calibri" w:cs="Calibri" w:eastAsia="Calibri" w:hAnsi="Calibri"/>
          <w:b w:val="1"/>
          <w:color w:val="ff0000"/>
          <w:rtl w:val="0"/>
        </w:rPr>
        <w:t xml:space="preserve">Animals and Climate: </w:t>
      </w:r>
      <w:r w:rsidDel="00000000" w:rsidR="00000000" w:rsidRPr="00000000">
        <w:rPr>
          <w:rFonts w:ascii="Calibri" w:cs="Calibri" w:eastAsia="Calibri" w:hAnsi="Calibri"/>
          <w:color w:val="ff0000"/>
          <w:rtl w:val="0"/>
        </w:rPr>
        <w:t xml:space="preserve">Prior to the industrial revolution of the 19</w:t>
      </w:r>
      <w:r w:rsidDel="00000000" w:rsidR="00000000" w:rsidRPr="00000000">
        <w:rPr>
          <w:rFonts w:ascii="Calibri" w:cs="Calibri" w:eastAsia="Calibri" w:hAnsi="Calibri"/>
          <w:color w:val="ff0000"/>
          <w:vertAlign w:val="superscript"/>
          <w:rtl w:val="0"/>
        </w:rPr>
        <w:t xml:space="preserve">th</w:t>
      </w:r>
      <w:r w:rsidDel="00000000" w:rsidR="00000000" w:rsidRPr="00000000">
        <w:rPr>
          <w:rFonts w:ascii="Calibri" w:cs="Calibri" w:eastAsia="Calibri" w:hAnsi="Calibri"/>
          <w:color w:val="ff0000"/>
          <w:rtl w:val="0"/>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Southern ocean, the ultra low temperatures freeze the sea water into a semi solid matrix. The sea ice matrix is crossed by a network of extremely brine filled passages, and within those passages microorganisms thrive (Thomas and Dikemann 2002). These tiny plants and animals have evolved to tolerate the habitat extremes of the free water of the Southern ocean and the semi-solid salty sea ice matrix. In fact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rsidR="00000000" w:rsidDel="00000000" w:rsidP="00000000" w:rsidRDefault="00000000" w:rsidRPr="00000000">
      <w:pPr>
        <w:pBdr/>
        <w:spacing w:line="48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ab/>
        <w:t xml:space="preserve">In these extreme environments there is a tendancy towards obligate synchrony with the environment.</w:t>
      </w:r>
    </w:p>
    <w:p w:rsidR="00000000" w:rsidDel="00000000" w:rsidP="00000000" w:rsidRDefault="00000000" w:rsidRPr="00000000">
      <w:pPr>
        <w:pBdr/>
        <w:spacing w:line="48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ab/>
        <w:t xml:space="preserve">Temperate climates too have organisms with life histories that are “seasonal obligatory”</w:t>
      </w:r>
    </w:p>
    <w:p w:rsidR="00000000" w:rsidDel="00000000" w:rsidP="00000000" w:rsidRDefault="00000000" w:rsidRPr="00000000">
      <w:pPr>
        <w:pBdr/>
        <w:spacing w:line="48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ab/>
        <w:t xml:space="preserve">Temperate climates also have organisms with life histories that are “seasonally facultative”. Making predictions about these types of environments is important because it could mean [plant growing seasons, pest growing seasons] In more temperate environments….. [diversity, insect ranges, agriculture] </w:t>
      </w:r>
    </w:p>
    <w:p w:rsidR="00000000" w:rsidDel="00000000" w:rsidP="00000000" w:rsidRDefault="00000000" w:rsidRPr="00000000">
      <w:pPr>
        <w:pBdr/>
        <w:spacing w:line="480" w:lineRule="auto"/>
        <w:contextualSpacing w:val="0"/>
        <w:rPr>
          <w:rFonts w:ascii="Calibri" w:cs="Calibri" w:eastAsia="Calibri" w:hAnsi="Calibri"/>
          <w:color w:val="ff0000"/>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rsidR="00000000" w:rsidDel="00000000" w:rsidP="00000000" w:rsidRDefault="00000000" w:rsidRPr="00000000">
      <w:pPr>
        <w:pBdr/>
        <w:spacing w:line="480" w:lineRule="auto"/>
        <w:contextualSpacing w:val="0"/>
        <w:rPr>
          <w:rFonts w:ascii="Calibri" w:cs="Calibri" w:eastAsia="Calibri" w:hAnsi="Calibri"/>
          <w:color w:val="ff000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Adaptative Plasticity </w:t>
      </w:r>
      <w:r w:rsidDel="00000000" w:rsidR="00000000" w:rsidRPr="00000000">
        <w:rPr>
          <w:rFonts w:ascii="Calibri" w:cs="Calibri" w:eastAsia="Calibri" w:hAnsi="Calibri"/>
          <w:color w:val="ff0000"/>
          <w:rtl w:val="0"/>
        </w:rPr>
        <w:t xml:space="preserve">[</w:t>
        <w:tab/>
        <w:t xml:space="preserve">How plasticity can mitigate effects of climate change: </w:t>
      </w:r>
      <w:r w:rsidDel="00000000" w:rsidR="00000000" w:rsidRPr="00000000">
        <w:rPr>
          <w:rFonts w:ascii="Calibri" w:cs="Calibri" w:eastAsia="Calibri" w:hAnsi="Calibri"/>
          <w:color w:val="ff0000"/>
          <w:highlight w:val="yellow"/>
          <w:rtl w:val="0"/>
        </w:rPr>
        <w:t xml:space="preserve">doi: 10.1111/brv.12105</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color w:val="ff0000"/>
          <w:highlight w:val="yellow"/>
          <w:rtl w:val="0"/>
        </w:rPr>
        <w:t xml:space="preserve">doi:10.1093/icb/icr049</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color w:val="ff0000"/>
          <w:highlight w:val="yellow"/>
          <w:rtl w:val="0"/>
        </w:rPr>
        <w:t xml:space="preserve">INSECT SEASONAL CYCLES:  195 GENETICS AND EVOLUTION</w:t>
      </w:r>
      <w:r w:rsidDel="00000000" w:rsidR="00000000" w:rsidRPr="00000000">
        <w:rPr>
          <w:rFonts w:ascii="Calibri" w:cs="Calibri" w:eastAsia="Calibri" w:hAnsi="Calibri"/>
          <w:color w:val="ff0000"/>
          <w:rtl w:val="0"/>
        </w:rPr>
        <w:t xml:space="preserve">]</w:t>
      </w:r>
    </w:p>
    <w:p w:rsidR="00000000" w:rsidDel="00000000" w:rsidP="00000000" w:rsidRDefault="00000000" w:rsidRPr="00000000">
      <w:pPr>
        <w:keepNext w:val="0"/>
        <w:keepLines w:val="0"/>
        <w:widowControl w:val="0"/>
        <w:numPr>
          <w:ilvl w:val="0"/>
          <w:numId w:val="8"/>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Parameters of plasticity: types and functions</w:t>
      </w:r>
    </w:p>
    <w:p w:rsidR="00000000" w:rsidDel="00000000" w:rsidP="00000000" w:rsidRDefault="00000000" w:rsidRPr="00000000">
      <w:pPr>
        <w:keepNext w:val="0"/>
        <w:keepLines w:val="0"/>
        <w:widowControl w:val="0"/>
        <w:numPr>
          <w:ilvl w:val="0"/>
          <w:numId w:val="8"/>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Buffer to Fluctuations and depleted resources</w:t>
      </w:r>
    </w:p>
    <w:p w:rsidR="00000000" w:rsidDel="00000000" w:rsidP="00000000" w:rsidRDefault="00000000" w:rsidRPr="00000000">
      <w:pPr>
        <w:keepNext w:val="0"/>
        <w:keepLines w:val="0"/>
        <w:widowControl w:val="0"/>
        <w:numPr>
          <w:ilvl w:val="1"/>
          <w:numId w:val="8"/>
        </w:numPr>
        <w:pBdr/>
        <w:spacing w:after="0" w:before="0" w:line="480" w:lineRule="auto"/>
        <w:ind w:left="144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Diapause as an example</w:t>
        <w:tab/>
      </w:r>
    </w:p>
    <w:p w:rsidR="00000000" w:rsidDel="00000000" w:rsidP="00000000" w:rsidRDefault="00000000" w:rsidRPr="00000000">
      <w:pPr>
        <w:keepNext w:val="0"/>
        <w:keepLines w:val="0"/>
        <w:widowControl w:val="0"/>
        <w:numPr>
          <w:ilvl w:val="0"/>
          <w:numId w:val="8"/>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ECB as an example</w:t>
      </w:r>
    </w:p>
    <w:p w:rsidR="00000000" w:rsidDel="00000000" w:rsidP="00000000" w:rsidRDefault="00000000" w:rsidRPr="00000000">
      <w:pPr>
        <w:pBdr/>
        <w:spacing w:line="480" w:lineRule="auto"/>
        <w:contextualSpacing w:val="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ECB as a model </w:t>
      </w:r>
      <w:r w:rsidDel="00000000" w:rsidR="00000000" w:rsidRPr="00000000">
        <w:rPr>
          <w:rFonts w:ascii="Calibri" w:cs="Calibri" w:eastAsia="Calibri" w:hAnsi="Calibri"/>
          <w:color w:val="ff0000"/>
          <w:rtl w:val="0"/>
        </w:rPr>
        <w:t xml:space="preserve">[</w:t>
        <w:tab/>
        <w:t xml:space="preserve">Importance of ECB to food security and ecological diversity]</w:t>
      </w: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Agricultural importance [</w:t>
      </w:r>
      <w:r w:rsidDel="00000000" w:rsidR="00000000" w:rsidRPr="00000000">
        <w:rPr>
          <w:rFonts w:ascii="Calibri" w:cs="Calibri" w:eastAsia="Calibri" w:hAnsi="Calibri"/>
          <w:b w:val="0"/>
          <w:i w:val="0"/>
          <w:smallCaps w:val="0"/>
          <w:strike w:val="0"/>
          <w:color w:val="ff0000"/>
          <w:sz w:val="24"/>
          <w:szCs w:val="24"/>
          <w:highlight w:val="yellow"/>
          <w:u w:val="none"/>
          <w:vertAlign w:val="baseline"/>
          <w:rtl w:val="0"/>
        </w:rPr>
        <w:t xml:space="preserve">Host-plant diversity of the European corn borer Ostrinia nubilalis: what value for sustainable transgenic insecticidal Bt maize?</w:t>
      </w: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w:t>
      </w:r>
    </w:p>
    <w:p w:rsidR="00000000" w:rsidDel="00000000" w:rsidP="00000000" w:rsidRDefault="00000000" w:rsidRPr="00000000">
      <w:pPr>
        <w:keepNext w:val="0"/>
        <w:keepLines w:val="0"/>
        <w:widowControl w:val="0"/>
        <w:numPr>
          <w:ilvl w:val="1"/>
          <w:numId w:val="9"/>
        </w:numPr>
        <w:pBdr/>
        <w:spacing w:after="0" w:before="0" w:line="480" w:lineRule="auto"/>
        <w:ind w:left="144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Cost to protect</w:t>
      </w:r>
    </w:p>
    <w:p w:rsidR="00000000" w:rsidDel="00000000" w:rsidP="00000000" w:rsidRDefault="00000000" w:rsidRPr="00000000">
      <w:pPr>
        <w:keepNext w:val="0"/>
        <w:keepLines w:val="0"/>
        <w:widowControl w:val="0"/>
        <w:numPr>
          <w:ilvl w:val="1"/>
          <w:numId w:val="9"/>
        </w:numPr>
        <w:pBdr/>
        <w:spacing w:after="0" w:before="0" w:line="480" w:lineRule="auto"/>
        <w:ind w:left="144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Ability to destroy</w:t>
      </w:r>
    </w:p>
    <w:p w:rsidR="00000000" w:rsidDel="00000000" w:rsidP="00000000" w:rsidRDefault="00000000" w:rsidRPr="00000000">
      <w:pPr>
        <w:keepNext w:val="0"/>
        <w:keepLines w:val="0"/>
        <w:widowControl w:val="0"/>
        <w:numPr>
          <w:ilvl w:val="1"/>
          <w:numId w:val="9"/>
        </w:numPr>
        <w:pBdr/>
        <w:spacing w:after="0" w:before="0" w:line="480" w:lineRule="auto"/>
        <w:ind w:left="144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Current range and projections</w:t>
      </w:r>
    </w:p>
    <w:p w:rsidR="00000000" w:rsidDel="00000000" w:rsidP="00000000" w:rsidRDefault="00000000" w:rsidRPr="00000000">
      <w:pPr>
        <w:keepNext w:val="0"/>
        <w:keepLines w:val="0"/>
        <w:widowControl w:val="0"/>
        <w:numPr>
          <w:ilvl w:val="0"/>
          <w:numId w:val="9"/>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Latitudinal distribution [</w:t>
      </w:r>
      <w:r w:rsidDel="00000000" w:rsidR="00000000" w:rsidRPr="00000000">
        <w:rPr>
          <w:rFonts w:ascii="Calibri" w:cs="Calibri" w:eastAsia="Calibri" w:hAnsi="Calibri"/>
          <w:b w:val="0"/>
          <w:i w:val="0"/>
          <w:smallCaps w:val="0"/>
          <w:strike w:val="0"/>
          <w:color w:val="ff0000"/>
          <w:sz w:val="24"/>
          <w:szCs w:val="24"/>
          <w:highlight w:val="yellow"/>
          <w:u w:val="none"/>
          <w:vertAlign w:val="baseline"/>
          <w:rtl w:val="0"/>
        </w:rPr>
        <w:t xml:space="preserve">DOI: 10.1111/j.1365-2486.2010.02308.x</w:t>
      </w: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w:t>
      </w:r>
    </w:p>
    <w:p w:rsidR="00000000" w:rsidDel="00000000" w:rsidP="00000000" w:rsidRDefault="00000000" w:rsidRPr="00000000">
      <w:pPr>
        <w:keepNext w:val="0"/>
        <w:keepLines w:val="0"/>
        <w:widowControl w:val="0"/>
        <w:numPr>
          <w:ilvl w:val="1"/>
          <w:numId w:val="9"/>
        </w:numPr>
        <w:pBdr/>
        <w:spacing w:after="0" w:before="0" w:line="480" w:lineRule="auto"/>
        <w:ind w:left="144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Climate seems to have distributed these species. This is a chance to make interesting science</w:t>
      </w:r>
    </w:p>
    <w:p w:rsidR="00000000" w:rsidDel="00000000" w:rsidP="00000000" w:rsidRDefault="00000000" w:rsidRPr="00000000">
      <w:pPr>
        <w:keepNext w:val="0"/>
        <w:keepLines w:val="0"/>
        <w:widowControl w:val="0"/>
        <w:numPr>
          <w:ilvl w:val="1"/>
          <w:numId w:val="9"/>
        </w:numPr>
        <w:pBdr/>
        <w:spacing w:after="0" w:before="0" w:line="480" w:lineRule="auto"/>
        <w:ind w:left="144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Clines are distributed latitudinally and are separated genetically</w:t>
      </w:r>
    </w:p>
    <w:p w:rsidR="00000000" w:rsidDel="00000000" w:rsidP="00000000" w:rsidRDefault="00000000" w:rsidRPr="00000000">
      <w:pPr>
        <w:keepNext w:val="0"/>
        <w:keepLines w:val="0"/>
        <w:widowControl w:val="0"/>
        <w:numPr>
          <w:ilvl w:val="0"/>
          <w:numId w:val="9"/>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Predictive power of model</w:t>
      </w:r>
    </w:p>
    <w:p w:rsidR="00000000" w:rsidDel="00000000" w:rsidP="00000000" w:rsidRDefault="00000000" w:rsidRPr="00000000">
      <w:pPr>
        <w:keepNext w:val="0"/>
        <w:keepLines w:val="0"/>
        <w:widowControl w:val="0"/>
        <w:numPr>
          <w:ilvl w:val="1"/>
          <w:numId w:val="9"/>
        </w:numPr>
        <w:pBdr/>
        <w:spacing w:after="0" w:before="0" w:line="480" w:lineRule="auto"/>
        <w:ind w:left="144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Diapause phenotype and genetic differences</w:t>
      </w:r>
    </w:p>
    <w:p w:rsidR="00000000" w:rsidDel="00000000" w:rsidP="00000000" w:rsidRDefault="00000000" w:rsidRPr="00000000">
      <w:pPr>
        <w:keepNext w:val="0"/>
        <w:keepLines w:val="0"/>
        <w:widowControl w:val="0"/>
        <w:numPr>
          <w:ilvl w:val="0"/>
          <w:numId w:val="9"/>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Notes:</w:t>
      </w: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PPT CPP Paper</w:t>
      </w:r>
    </w:p>
    <w:p w:rsidR="00000000" w:rsidDel="00000000" w:rsidP="00000000" w:rsidRDefault="00000000" w:rsidRPr="00000000">
      <w:pPr>
        <w:keepNext w:val="0"/>
        <w:keepLines w:val="0"/>
        <w:widowControl w:val="0"/>
        <w:numPr>
          <w:ilvl w:val="0"/>
          <w:numId w:val="9"/>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Fig 2a: temperatuiures are preduictably fluctuating. Given the CPP of 10C the certain points of the year the and organisms have optimized their physiol to match that predictability. Once their critical photo period is reached they begin preparations for diapauses. Under a changing climate scheme, there is a disconnect between CPP and temperatures. Organisms that are physiologically preparing for higher temps, conduct their preparations  for those higher temperatures. To what degree those preparations will effect their performance during diapauses needs to be investigated to fully predict how climate chage can affect insect life history, survival and the resulting pest pressure changes.</w:t>
      </w:r>
    </w:p>
    <w:p w:rsidR="00000000" w:rsidDel="00000000" w:rsidP="00000000" w:rsidRDefault="00000000" w:rsidRPr="00000000">
      <w:pPr>
        <w:keepNext w:val="0"/>
        <w:keepLines w:val="0"/>
        <w:widowControl w:val="0"/>
        <w:numPr>
          <w:ilvl w:val="0"/>
          <w:numId w:val="9"/>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Does the fuel at the outset of diapause maybe determine how an insect performs during diapause?</w:t>
      </w:r>
    </w:p>
    <w:p w:rsidR="00000000" w:rsidDel="00000000" w:rsidP="00000000" w:rsidRDefault="00000000" w:rsidRPr="00000000">
      <w:pPr>
        <w:keepNext w:val="0"/>
        <w:keepLines w:val="0"/>
        <w:widowControl w:val="0"/>
        <w:numPr>
          <w:ilvl w:val="0"/>
          <w:numId w:val="9"/>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Organisms constantly are monitoring their internal environments and using that information to make physiological decisions about how to either store or utilize resources.</w:t>
      </w:r>
    </w:p>
    <w:p w:rsidR="00000000" w:rsidDel="00000000" w:rsidP="00000000" w:rsidRDefault="00000000" w:rsidRPr="00000000">
      <w:pPr>
        <w:keepNext w:val="0"/>
        <w:keepLines w:val="0"/>
        <w:widowControl w:val="0"/>
        <w:numPr>
          <w:ilvl w:val="0"/>
          <w:numId w:val="9"/>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Genotype variation based on season length and how this may change in light of climate change. Discuss why this is important</w:t>
      </w:r>
    </w:p>
    <w:p w:rsidR="00000000" w:rsidDel="00000000" w:rsidP="00000000" w:rsidRDefault="00000000" w:rsidRPr="00000000">
      <w:pPr>
        <w:keepNext w:val="0"/>
        <w:keepLines w:val="0"/>
        <w:widowControl w:val="0"/>
        <w:numPr>
          <w:ilvl w:val="0"/>
          <w:numId w:val="9"/>
        </w:numPr>
        <w:pBdr/>
        <w:spacing w:after="0" w:before="0" w:line="480" w:lineRule="auto"/>
        <w:ind w:left="720" w:right="0" w:hanging="360"/>
        <w:contextualSpacing w:val="1"/>
        <w:jc w:val="left"/>
        <w:rPr>
          <w:b w:val="0"/>
          <w:i w:val="0"/>
          <w:smallCaps w:val="0"/>
          <w:strike w:val="0"/>
          <w:color w:val="ff0000"/>
          <w:sz w:val="24"/>
          <w:szCs w:val="24"/>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Consider your project in the context of applied pest management. Your audience is the Ent department, Hahn and the USDA. More applied and more modeling</w:t>
      </w:r>
    </w:p>
    <w:p w:rsidR="00000000" w:rsidDel="00000000" w:rsidP="00000000" w:rsidRDefault="00000000" w:rsidRPr="00000000">
      <w:pPr>
        <w:numPr>
          <w:ilvl w:val="0"/>
          <w:numId w:val="9"/>
        </w:numPr>
        <w:pBdr/>
        <w:spacing w:line="480" w:lineRule="auto"/>
        <w:ind w:left="720" w:hanging="360"/>
        <w:contextualSpacing w:val="1"/>
        <w:rPr>
          <w:color w:val="ff0000"/>
        </w:rPr>
      </w:pPr>
      <w:r w:rsidDel="00000000" w:rsidR="00000000" w:rsidRPr="00000000">
        <w:rPr>
          <w:color w:val="ff0000"/>
          <w:rtl w:val="0"/>
        </w:rPr>
        <w:t xml:space="preserve">For centuries, plants and animals have experienced the global climate in annual cycles. Organisms have evolved in the context of these annual cycles for millennia and as annual temperature fluctuations fall out of synchrony with daylight hours, understanding the consequences of this variability is urgent. What’s more is these organisms have come to depend upon these annual patterns, some more than others. Understanding the extent to which those relationships will be affected by this record setting unpredictability is a challenge that is sure to have broad effects on how we manage agricultural pests and our food security as a nation.</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b w:val="1"/>
          <w:rtl w:val="0"/>
        </w:rPr>
        <w:t xml:space="preserve">Diapause and Climate</w:t>
      </w:r>
      <w:r w:rsidDel="00000000" w:rsidR="00000000" w:rsidRPr="00000000">
        <w:rPr>
          <w:rtl w:val="0"/>
        </w:rPr>
        <w:t xml:space="preserve"> </w:t>
      </w:r>
    </w:p>
    <w:p w:rsidR="00000000" w:rsidDel="00000000" w:rsidP="00000000" w:rsidRDefault="00000000" w:rsidRPr="00000000">
      <w:pPr>
        <w:pBdr/>
        <w:spacing w:line="480" w:lineRule="auto"/>
        <w:contextualSpacing w:val="0"/>
        <w:rPr/>
      </w:pPr>
      <w:r w:rsidDel="00000000" w:rsidR="00000000" w:rsidRPr="00000000">
        <w:rPr>
          <w:rtl w:val="0"/>
        </w:rP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rsidR="00000000" w:rsidDel="00000000" w:rsidP="00000000" w:rsidRDefault="00000000" w:rsidRPr="00000000">
      <w:pPr>
        <w:pBdr/>
        <w:spacing w:line="480" w:lineRule="auto"/>
        <w:ind w:firstLine="720"/>
        <w:contextualSpacing w:val="0"/>
        <w:rPr>
          <w:b w:val="1"/>
        </w:rPr>
      </w:pPr>
      <w:r w:rsidDel="00000000" w:rsidR="00000000" w:rsidRPr="00000000">
        <w:rPr>
          <w:rtl w:val="0"/>
        </w:rPr>
        <w:t xml:space="preserve">Changes in food, water, oxygen, and temperature can all have direct effects on the immediate developmental state of an organism. Quiescent dormancy is an organisms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drosophilla). Diapause is a state of dormancy that is initiated in advance of shifting environmental conditions. This type of dormancy is generally precipitates from environmental cues such as light or temperature. Diapausing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sidDel="00000000" w:rsidR="00000000" w:rsidRPr="00000000">
        <w:rPr>
          <w:highlight w:val="yellow"/>
          <w:rtl w:val="0"/>
        </w:rPr>
        <w:t xml:space="preserve">unfinished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spacing w:line="480" w:lineRule="auto"/>
        <w:contextualSpacing w:val="0"/>
        <w:rPr>
          <w:b w:val="1"/>
          <w:color w:val="ff0000"/>
        </w:rPr>
      </w:pPr>
      <w:r w:rsidDel="00000000" w:rsidR="00000000" w:rsidRPr="00000000">
        <w:rPr>
          <w:rFonts w:ascii="Calibri" w:cs="Calibri" w:eastAsia="Calibri" w:hAnsi="Calibri"/>
          <w:b w:val="1"/>
          <w:color w:val="ff0000"/>
          <w:rtl w:val="0"/>
        </w:rPr>
        <w:t xml:space="preserve">The European corn borer Model</w:t>
      </w:r>
      <w:r w:rsidDel="00000000" w:rsidR="00000000" w:rsidRPr="00000000">
        <w:rPr>
          <w:rtl w:val="0"/>
        </w:rPr>
      </w:r>
    </w:p>
    <w:p w:rsidR="00000000" w:rsidDel="00000000" w:rsidP="00000000" w:rsidRDefault="00000000" w:rsidRPr="00000000">
      <w:pPr>
        <w:pBdr/>
        <w:spacing w:line="480" w:lineRule="auto"/>
        <w:contextualSpacing w:val="0"/>
        <w:rPr>
          <w:rFonts w:ascii="Calibri" w:cs="Calibri" w:eastAsia="Calibri" w:hAnsi="Calibri"/>
          <w:highlight w:val="yellow"/>
        </w:rPr>
      </w:pPr>
      <w:r w:rsidDel="00000000" w:rsidR="00000000" w:rsidRPr="00000000">
        <w:rPr>
          <w:rFonts w:ascii="Calibri" w:cs="Calibri" w:eastAsia="Calibri" w:hAnsi="Calibri"/>
          <w:color w:val="ff0000"/>
          <w:rtl w:val="0"/>
        </w:rPr>
        <w:t xml:space="preserve">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sidDel="00000000" w:rsidR="00000000" w:rsidRPr="00000000">
        <w:rPr>
          <w:rFonts w:ascii="Calibri" w:cs="Calibri" w:eastAsia="Calibri" w:hAnsi="Calibri"/>
          <w:i w:val="1"/>
          <w:color w:val="ff0000"/>
          <w:rtl w:val="0"/>
        </w:rPr>
        <w:t xml:space="preserve">Bacillus thurengensis </w:t>
      </w:r>
      <w:r w:rsidDel="00000000" w:rsidR="00000000" w:rsidRPr="00000000">
        <w:rPr>
          <w:rFonts w:ascii="Calibri" w:cs="Calibri" w:eastAsia="Calibri" w:hAnsi="Calibri"/>
          <w:color w:val="ff0000"/>
          <w:rtl w:val="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w:t>
      </w:r>
      <w:r w:rsidDel="00000000" w:rsidR="00000000" w:rsidRPr="00000000">
        <w:rPr>
          <w:color w:val="ff0000"/>
          <w:rtl w:val="0"/>
        </w:rPr>
        <w:t xml:space="preserve">“Studies detailing diapause-associated changes in intermediary metabolism and feeding physiology are needed across taxa with different diapause strategies to expand our understanding of the metabolic processes underlying prediapause reserve accumulation. The goal in this area is to under- stand the underlying neurological and endocrine signaling mechanisms that regulate diapause-associated shifts in feeding patterns and intermediary metabolism.”</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highlight w:val="yellow"/>
          <w:rtl w:val="0"/>
        </w:rPr>
        <w:t xml:space="preserve">(unfinished)</w:t>
      </w:r>
      <w:r w:rsidDel="00000000" w:rsidR="00000000" w:rsidRPr="00000000">
        <w:rPr>
          <w:rtl w:val="0"/>
        </w:rPr>
      </w:r>
    </w:p>
    <w:p w:rsidR="00000000" w:rsidDel="00000000" w:rsidP="00000000" w:rsidRDefault="00000000" w:rsidRPr="00000000">
      <w:pPr>
        <w:pBdr/>
        <w:spacing w:line="48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48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OBJECTIVE</w:t>
      </w:r>
    </w:p>
    <w:p w:rsidR="00000000" w:rsidDel="00000000" w:rsidP="00000000" w:rsidRDefault="00000000" w:rsidRPr="00000000">
      <w:pPr>
        <w:pBdr/>
        <w:spacing w:line="480" w:lineRule="auto"/>
        <w:ind w:firstLine="720"/>
        <w:contextualSpacing w:val="0"/>
        <w:rPr>
          <w:rFonts w:ascii="Calibri" w:cs="Calibri" w:eastAsia="Calibri" w:hAnsi="Calibri"/>
          <w:b w:val="1"/>
        </w:rPr>
      </w:pPr>
      <w:r w:rsidDel="00000000" w:rsidR="00000000" w:rsidRPr="00000000">
        <w:rPr>
          <w:rFonts w:ascii="Calibri" w:cs="Calibri" w:eastAsia="Calibri" w:hAnsi="Calibri"/>
          <w:rtl w:val="0"/>
        </w:rPr>
        <w:t xml:space="preserve">While intuitively it may seem that when meeting the additional physiological stress of diapause, organisms should prepare for these stressful times by gathering and or </w:t>
      </w:r>
      <w:r w:rsidDel="00000000" w:rsidR="00000000" w:rsidRPr="00000000">
        <w:rPr>
          <w:rtl w:val="0"/>
        </w:rPr>
        <w:t xml:space="preserve">building</w:t>
      </w:r>
      <w:r w:rsidDel="00000000" w:rsidR="00000000" w:rsidRPr="00000000">
        <w:rPr>
          <w:rFonts w:ascii="Calibri" w:cs="Calibri" w:eastAsia="Calibri" w:hAnsi="Calibri"/>
          <w:rtl w:val="0"/>
        </w:rPr>
        <w:t xml:space="preserve"> more energy. However, other strategies have been documented (Hahn and Denlinger 2011). The objective of this study will be to quantify and compare the difference in stored energy between two genotypically different strains of </w:t>
      </w:r>
      <w:r w:rsidDel="00000000" w:rsidR="00000000" w:rsidRPr="00000000">
        <w:rPr>
          <w:rFonts w:ascii="Calibri" w:cs="Calibri" w:eastAsia="Calibri" w:hAnsi="Calibri"/>
          <w:i w:val="1"/>
          <w:rtl w:val="0"/>
        </w:rPr>
        <w:t xml:space="preserve">Ostrinia nubilalis, </w:t>
      </w:r>
      <w:r w:rsidDel="00000000" w:rsidR="00000000" w:rsidRPr="00000000">
        <w:rPr>
          <w:rFonts w:ascii="Calibri" w:cs="Calibri" w:eastAsia="Calibri" w:hAnsi="Calibri"/>
          <w:rtl w:val="0"/>
        </w:rPr>
        <w:t xml:space="preserve">the European corn borer. Further, European corn borer (ECB) destined for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(Denlinger 2008). </w:t>
      </w:r>
      <w:r w:rsidDel="00000000" w:rsidR="00000000" w:rsidRPr="00000000">
        <w:rPr>
          <w:rtl w:val="0"/>
        </w:rPr>
      </w:r>
    </w:p>
    <w:p w:rsidR="00000000" w:rsidDel="00000000" w:rsidP="00000000" w:rsidRDefault="00000000" w:rsidRPr="00000000">
      <w:pPr>
        <w:pBdr/>
        <w:spacing w:line="48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rsidR="00000000" w:rsidDel="00000000" w:rsidP="00000000" w:rsidRDefault="00000000" w:rsidRPr="00000000">
      <w:pPr>
        <w:pBdr/>
        <w:spacing w:line="48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hours:dark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rsidR="00000000" w:rsidDel="00000000" w:rsidP="00000000" w:rsidRDefault="00000000" w:rsidRPr="00000000">
      <w:pPr>
        <w:pBdr/>
        <w:spacing w:line="48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rsidR="00000000" w:rsidDel="00000000" w:rsidP="00000000" w:rsidRDefault="00000000" w:rsidRPr="00000000">
      <w:pPr>
        <w:pBdr/>
        <w:spacing w:line="48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Approximately, $10 billion dollars is spent annually on chemical insecticides to control the damaging effects of insect pests (Pimentel 2005).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rsidR="00000000" w:rsidDel="00000000" w:rsidP="00000000" w:rsidRDefault="00000000" w:rsidRPr="00000000">
      <w:pPr>
        <w:pBdr/>
        <w:spacing w:line="48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w:t>
      </w:r>
      <w:r w:rsidDel="00000000" w:rsidR="00000000" w:rsidRPr="00000000">
        <w:rPr>
          <w:rtl w:val="0"/>
        </w:rPr>
        <w:t xml:space="preserve">affecting</w:t>
      </w:r>
      <w:r w:rsidDel="00000000" w:rsidR="00000000" w:rsidRPr="00000000">
        <w:rPr>
          <w:rFonts w:ascii="Calibri" w:cs="Calibri" w:eastAsia="Calibri" w:hAnsi="Calibri"/>
          <w:rtl w:val="0"/>
        </w:rPr>
        <w:t xml:space="preserve"> how it allocates resources could be used as an added layer of pest management. </w:t>
      </w:r>
    </w:p>
    <w:p w:rsidR="00000000" w:rsidDel="00000000" w:rsidP="00000000" w:rsidRDefault="00000000" w:rsidRPr="00000000">
      <w:pPr>
        <w:pBdr/>
        <w:spacing w:line="48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spacing w:line="48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PROPOSED METHODOLOGY</w:t>
      </w:r>
    </w:p>
    <w:p w:rsidR="00000000" w:rsidDel="00000000" w:rsidP="00000000" w:rsidRDefault="00000000" w:rsidRPr="00000000">
      <w:pPr>
        <w:pBdr/>
        <w:spacing w:line="48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Origin and Husbandry of European Corn Corer. </w:t>
      </w:r>
      <w:r w:rsidDel="00000000" w:rsidR="00000000" w:rsidRPr="00000000">
        <w:rPr>
          <w:rFonts w:ascii="Calibri" w:cs="Calibri" w:eastAsia="Calibri" w:hAnsi="Calibri"/>
          <w:rtl w:val="0"/>
        </w:rPr>
        <w:t xml:space="preserve">The univoltine (UZ) and bivoltine (BE) strains of European corn borer (ECB) were generously provided courtesy of Dr. Dopman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instar.</w:t>
      </w:r>
    </w:p>
    <w:p w:rsidR="00000000" w:rsidDel="00000000" w:rsidP="00000000" w:rsidRDefault="00000000" w:rsidRPr="00000000">
      <w:pPr>
        <w:pBdr/>
        <w:spacing w:line="48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spacing w:line="48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Sampling Wandering Larvae. </w:t>
      </w:r>
      <w:r w:rsidDel="00000000" w:rsidR="00000000" w:rsidRPr="00000000">
        <w:rPr>
          <w:rFonts w:ascii="Calibri" w:cs="Calibri" w:eastAsia="Calibri" w:hAnsi="Calibri"/>
          <w:rtl w:val="0"/>
        </w:rPr>
        <w:t xml:space="preserve">Wandering larvae will be sampled using a modified version of the framework put forth in the 1982 study by Gelman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instar larva will be individually placed into an arena with food and allowed to eat ad libitum for 5 consecutive days. Starting on the 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 (Gelman and Hayes 1982).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rsidR="00000000" w:rsidDel="00000000" w:rsidP="00000000" w:rsidRDefault="00000000" w:rsidRPr="00000000">
      <w:pPr>
        <w:pBdr/>
        <w:spacing w:line="48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spacing w:line="48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Protein Extraction and Quantification: </w:t>
      </w:r>
      <w:r w:rsidDel="00000000" w:rsidR="00000000" w:rsidRPr="00000000">
        <w:rPr>
          <w:rFonts w:ascii="Calibri" w:cs="Calibri" w:eastAsia="Calibri" w:hAnsi="Calibri"/>
          <w:rtl w:val="0"/>
        </w:rPr>
        <w:t xml:space="preserve">The hemolymph from each sample larvae will be extracted and the concentration of the total protein content in the extracted hemolymph will be measured. Extracting the lymph fluid will be done through a small incision along the cuticle of the prologs (Gelman and Woods 1983). Approximately 12 µL lymph fluid will be gathered into a pipet tip and stored into a microcentrifuge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Coomassie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rsidR="00000000" w:rsidDel="00000000" w:rsidP="00000000" w:rsidRDefault="00000000" w:rsidRPr="00000000">
      <w:pPr>
        <w:pBdr/>
        <w:spacing w:line="48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48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Protein Separation and Identification: </w:t>
      </w:r>
      <w:r w:rsidDel="00000000" w:rsidR="00000000" w:rsidRPr="00000000">
        <w:rPr>
          <w:rFonts w:ascii="Calibri" w:cs="Calibri" w:eastAsia="Calibri" w:hAnsi="Calibri"/>
          <w:rtl w:val="0"/>
        </w:rP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Coomassie Stain, photographed, and the relative protein densities will be compared against a protein standard. The character of these protein will be determined using 2D-electrophoresis. </w:t>
      </w:r>
    </w:p>
    <w:p w:rsidR="00000000" w:rsidDel="00000000" w:rsidP="00000000" w:rsidRDefault="00000000" w:rsidRPr="00000000">
      <w:pPr>
        <w:pBdr/>
        <w:spacing w:line="48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separated proteins will then be identified using the facilities</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pBdr/>
        <w:spacing w:line="48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spacing w:line="48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Triglyceride Extraction and Esterification: </w:t>
      </w:r>
      <w:r w:rsidDel="00000000" w:rsidR="00000000" w:rsidRPr="00000000">
        <w:rPr>
          <w:rFonts w:ascii="Calibri" w:cs="Calibri" w:eastAsia="Calibri" w:hAnsi="Calibri"/>
          <w:rtl w:val="0"/>
        </w:rP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sidDel="00000000" w:rsidR="00000000" w:rsidRPr="00000000">
        <w:rPr>
          <w:rFonts w:ascii="Calibri" w:cs="Calibri" w:eastAsia="Calibri" w:hAnsi="Calibri"/>
          <w:color w:val="000000"/>
          <w:highlight w:val="yellow"/>
          <w:rtl w:val="0"/>
        </w:rPr>
        <w:t xml:space="preserve">(_)</w:t>
      </w:r>
      <w:r w:rsidDel="00000000" w:rsidR="00000000" w:rsidRPr="00000000">
        <w:rPr>
          <w:rFonts w:ascii="Calibri" w:cs="Calibri" w:eastAsia="Calibri" w:hAnsi="Calibri"/>
          <w:rtl w:val="0"/>
        </w:rP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Folch and Sloane Stanley method (Folch and Stanley 1957).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hydroxytoluene)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(Florisil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Florisil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rsidR="00000000" w:rsidDel="00000000" w:rsidP="00000000" w:rsidRDefault="00000000" w:rsidRPr="00000000">
      <w:pPr>
        <w:pBdr/>
        <w:spacing w:line="48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Ichikara, bumble bee paper, unpublished work J. Beck lab). The neutral lipid extract will be heated in a solution of 10M methanolic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rsidR="00000000" w:rsidDel="00000000" w:rsidP="00000000" w:rsidRDefault="00000000" w:rsidRPr="00000000">
      <w:pPr>
        <w:pBdr/>
        <w:spacing w:line="48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spacing w:line="48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Triglyceride Identification and Quantification:</w:t>
      </w:r>
      <w:r w:rsidDel="00000000" w:rsidR="00000000" w:rsidRPr="00000000">
        <w:rPr>
          <w:rFonts w:ascii="Calibri" w:cs="Calibri" w:eastAsia="Calibri" w:hAnsi="Calibri"/>
          <w:rtl w:val="0"/>
        </w:rP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rsidR="00000000" w:rsidDel="00000000" w:rsidP="00000000" w:rsidRDefault="00000000" w:rsidRPr="00000000">
      <w:pPr>
        <w:pBdr/>
        <w:spacing w:line="48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spacing w:line="480" w:lineRule="auto"/>
        <w:contextualSpacing w:val="0"/>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Data Analysis: </w:t>
      </w:r>
      <w:r w:rsidDel="00000000" w:rsidR="00000000" w:rsidRPr="00000000">
        <w:rPr>
          <w:rFonts w:ascii="Calibri" w:cs="Calibri" w:eastAsia="Calibri" w:hAnsi="Calibri"/>
          <w:color w:val="ff0000"/>
          <w:rtl w:val="0"/>
        </w:rPr>
        <w:t xml:space="preserve">Data will be analyzed in batches and the resulting data will be analyzed using multivariate analysis. This will allow for many variables to be compared and reduced simultaneously. </w:t>
      </w:r>
    </w:p>
    <w:p w:rsidR="00000000" w:rsidDel="00000000" w:rsidP="00000000" w:rsidRDefault="00000000" w:rsidRPr="00000000">
      <w:pPr>
        <w:pBdr/>
        <w:contextualSpacing w:val="0"/>
        <w:rPr>
          <w:color w:val="ff0000"/>
        </w:rPr>
      </w:pPr>
      <w:r w:rsidDel="00000000" w:rsidR="00000000" w:rsidRPr="00000000">
        <w:rPr>
          <w:color w:val="ff0000"/>
          <w:rtl w:val="0"/>
        </w:rPr>
        <w:t xml:space="preserve">Sample size will be determined using the power analysis formula. (http://www.statmethods.net/stats/power.html) NOVA</w:t>
      </w:r>
    </w:p>
    <w:p w:rsidR="00000000" w:rsidDel="00000000" w:rsidP="00000000" w:rsidRDefault="00000000" w:rsidRPr="00000000">
      <w:pPr>
        <w:pBdr/>
        <w:contextualSpacing w:val="0"/>
        <w:rPr>
          <w:color w:val="ff0000"/>
        </w:rPr>
      </w:pPr>
      <w:r w:rsidDel="00000000" w:rsidR="00000000" w:rsidRPr="00000000">
        <w:rPr>
          <w:color w:val="ff0000"/>
          <w:rtl w:val="0"/>
        </w:rPr>
        <w:t xml:space="preserve">For a one-way analysis of variance use</w:t>
      </w:r>
    </w:p>
    <w:p w:rsidR="00000000" w:rsidDel="00000000" w:rsidP="00000000" w:rsidRDefault="00000000" w:rsidRPr="00000000">
      <w:pPr>
        <w:pBdr/>
        <w:contextualSpacing w:val="0"/>
        <w:rPr>
          <w:color w:val="ff0000"/>
        </w:rPr>
      </w:pPr>
      <w:r w:rsidDel="00000000" w:rsidR="00000000" w:rsidRPr="00000000">
        <w:rPr>
          <w:b w:val="0"/>
          <w:color w:val="ff0000"/>
          <w:rtl w:val="0"/>
        </w:rPr>
        <w:t xml:space="preserve">pwr.anova.test(k = , n = , f = , sig.level = , power = )</w:t>
      </w: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color w:val="ff0000"/>
          <w:rtl w:val="0"/>
        </w:rPr>
        <w:t xml:space="preserve">where k is the number of groups and n is the common sample size in each group.</w:t>
      </w:r>
    </w:p>
    <w:p w:rsidR="00000000" w:rsidDel="00000000" w:rsidP="00000000" w:rsidRDefault="00000000" w:rsidRPr="00000000">
      <w:pPr>
        <w:pBdr/>
        <w:contextualSpacing w:val="0"/>
        <w:rPr>
          <w:color w:val="ff0000"/>
        </w:rPr>
      </w:pPr>
      <w:r w:rsidDel="00000000" w:rsidR="00000000" w:rsidRPr="00000000">
        <w:rPr>
          <w:color w:val="ff0000"/>
          <w:rtl w:val="0"/>
        </w:rPr>
        <w:t xml:space="preserve">For a one-way ANOVA effect size is measured by f where</w:t>
      </w:r>
    </w:p>
    <w:p w:rsidR="00000000" w:rsidDel="00000000" w:rsidP="00000000" w:rsidRDefault="00000000" w:rsidRPr="00000000">
      <w:pPr>
        <w:pBdr/>
        <w:contextualSpacing w:val="0"/>
        <w:rPr>
          <w:rFonts w:ascii="Calibri" w:cs="Calibri" w:eastAsia="Calibri" w:hAnsi="Calibri"/>
          <w:color w:val="ff0000"/>
          <w:sz w:val="20"/>
          <w:szCs w:val="20"/>
        </w:rPr>
      </w:pPr>
      <w:r w:rsidDel="00000000" w:rsidR="00000000" w:rsidRPr="00000000">
        <w:drawing>
          <wp:inline distB="0" distT="0" distL="0" distR="0">
            <wp:extent cx="4530090" cy="1187450"/>
            <wp:effectExtent b="0" l="0" r="0" t="0"/>
            <wp:docPr descr="ohen f" id="1" name="image2.png"/>
            <a:graphic>
              <a:graphicData uri="http://schemas.openxmlformats.org/drawingml/2006/picture">
                <pic:pic>
                  <pic:nvPicPr>
                    <pic:cNvPr descr="ohen f" id="0" name="image2.png"/>
                    <pic:cNvPicPr preferRelativeResize="0"/>
                  </pic:nvPicPr>
                  <pic:blipFill>
                    <a:blip r:embed="rId5"/>
                    <a:srcRect b="0" l="0" r="0" t="0"/>
                    <a:stretch>
                      <a:fillRect/>
                    </a:stretch>
                  </pic:blipFill>
                  <pic:spPr>
                    <a:xfrm>
                      <a:off x="0" y="0"/>
                      <a:ext cx="4530090" cy="1187450"/>
                    </a:xfrm>
                    <a:prstGeom prst="rect"/>
                    <a:ln/>
                  </pic:spPr>
                </pic:pic>
              </a:graphicData>
            </a:graphic>
          </wp:inline>
        </w:drawing>
      </w:r>
      <w:r w:rsidDel="00000000" w:rsidR="00000000" w:rsidRPr="00000000">
        <w:rPr>
          <w:color w:val="ff0000"/>
          <w:rtl w:val="0"/>
        </w:rPr>
        <w:br w:type="textWrapping"/>
        <w:t xml:space="preserve">Cohen suggests that f values of 0.1, 0.25, and 0.4 represent small, medium, and large effect sizes respectively.</w:t>
      </w:r>
      <w:r w:rsidDel="00000000" w:rsidR="00000000" w:rsidRPr="00000000">
        <w:rPr>
          <w:rtl w:val="0"/>
        </w:rPr>
      </w:r>
    </w:p>
    <w:p w:rsidR="00000000" w:rsidDel="00000000" w:rsidP="00000000" w:rsidRDefault="00000000" w:rsidRPr="00000000">
      <w:pPr>
        <w:pBdr/>
        <w:spacing w:line="48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REFERENCES:</w:t>
      </w:r>
    </w:p>
    <w:p w:rsidR="00000000" w:rsidDel="00000000" w:rsidP="00000000" w:rsidRDefault="00000000" w:rsidRPr="00000000">
      <w:pPr>
        <w:pBd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Introduction:</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NOAA National Centers for Environmental Information,. 2017. State of the Climate, Global Analysis for Annual 2016.</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Mac, M. J., P. A. Opler, C. E. Puckett Haecker, and P. D. Doran. 1998. Status and trends of the nation’s biological resources. Vol. 1. U.S. Department of the Interior, U.S. Geological Survey, Reston, Va. 1-436 pp.</w:t>
      </w:r>
    </w:p>
    <w:p w:rsidR="00000000" w:rsidDel="00000000" w:rsidP="00000000" w:rsidRDefault="00000000" w:rsidRPr="00000000">
      <w:pPr>
        <w:numPr>
          <w:ilvl w:val="0"/>
          <w:numId w:val="4"/>
        </w:numPr>
        <w:pBdr/>
        <w:ind w:left="720" w:hanging="360"/>
        <w:contextualSpacing w:val="1"/>
      </w:pPr>
      <w:r w:rsidDel="00000000" w:rsidR="00000000" w:rsidRPr="00000000">
        <w:rPr>
          <w:vertAlign w:val="baseline"/>
          <w:rtl w:val="0"/>
        </w:rPr>
        <w:t xml:space="preserve">Schneider, S., and T. Root. 2002. Wildlife responses to climate change, 1st ed. Island Press, Washington.</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Davis, M., and R. Shaw. 2001. Range Shifts and Adaptive Responses to Quaternary Climate Change. Science. 292: 673-679.</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Helmuth, B., J. Kingsolver, and E. Carrington. 2005. Biophysics, Physiological Ecology, and Climate Change: Does Mechanism Matter?. Annual Review of Physiology. 67: 177-201.</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Population Reference Bureau. 2015. 2015 World Population Data Sheet. PRB, Washington D.C.</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Kerr, J., A. Pindar, P. Galpern, L. Packer, S. Potts, S. Roberts, P. Rasmont, O. Schweiger, S. Colla, L. Richardson, D. Wagner, L. Gall, D. Sikes, and A. Pantoja. 2015. Climate change impacts on bumblebees converge across continents. Science. 349: 177-180.</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Climate Prediction Center Internet Team. 2017. Climate Prediction Center - Seasonal Outlook. Cpc.noaa.gov. (</w:t>
      </w:r>
      <w:hyperlink r:id="rId6">
        <w:r w:rsidDel="00000000" w:rsidR="00000000" w:rsidRPr="00000000">
          <w:rPr>
            <w:color w:val="1155cc"/>
            <w:u w:val="single"/>
            <w:rtl w:val="0"/>
          </w:rPr>
          <w:t xml:space="preserve">http://www.cpc.noaa.gov/products/predictions/long_range/seasonal.php?lead=6</w:t>
        </w:r>
      </w:hyperlink>
      <w:r w:rsidDel="00000000" w:rsidR="00000000" w:rsidRPr="00000000">
        <w:rPr>
          <w:rtl w:val="0"/>
        </w:rPr>
        <w:t xml:space="preserve">).</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Herring, D. 2012. Climate Change: Global Temperature Projections | NOAA Climate.gov. Climate.gov. (</w:t>
      </w:r>
      <w:hyperlink r:id="rId7">
        <w:r w:rsidDel="00000000" w:rsidR="00000000" w:rsidRPr="00000000">
          <w:rPr>
            <w:color w:val="1155cc"/>
            <w:u w:val="single"/>
            <w:rtl w:val="0"/>
          </w:rPr>
          <w:t xml:space="preserve">https://www.climate.gov/news-features/understanding-climate/climate-change-global-temperature-projections</w:t>
        </w:r>
      </w:hyperlink>
      <w:r w:rsidDel="00000000" w:rsidR="00000000" w:rsidRPr="00000000">
        <w:rPr>
          <w:rtl w:val="0"/>
        </w:rPr>
        <w:t xml:space="preserve">).</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Parmesan, C., N. Ryrholm, C. Stefanescu, J. Hill, C. Thomas, H. Descimon#, B. Huntley, L. Kaila, J. Kullberg, T. Tammaru, W. Tennent, J. Thomas, and M. Warren. 1999. . Nature. 399: 579-583.</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Bebber, D. 2015. Range-Expanding Pests and Pathogens in a Warming World. Annual Review of Phytopathology. 53: 335-356.</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Somero, G. 2010. The physiology of climate change: how potentials for acclimatization and genetic adaptation will determine 'winners' and 'losers'. Journal of Experimental Biology. 213: 912-920.</w:t>
      </w:r>
    </w:p>
    <w:p w:rsidR="00000000" w:rsidDel="00000000" w:rsidP="00000000" w:rsidRDefault="00000000" w:rsidRPr="00000000">
      <w:pPr>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Objective</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Pimentel, D. 2005. ‘Environmental and Economic Costs of the Application of Pesticides Primarily in the United States’. Environment, Development and Sustainability. 7: 229-252.</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Hyde, J., M. Martin, P. Preckel, and C. Edwards. 1999. The Economics of Bt Corn: Valuing Protection from the European Corn Borer. Applied Economic Perspectives and Policy. 21: 442-454.</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Wechsler, S. J. 2017.United States Department of Agriculture Economic Research Service,. Recent Trends in GE Adoption. </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Glaser, L., 2016. United States Department of Agriculture Economic Research Service,. What is agriculture’s share of the overall U.S. economy.</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DENLINGER, D. 2008. Why study diapause?. Entomological Research. 38: 1-9.</w:t>
      </w:r>
    </w:p>
    <w:p w:rsidR="00000000" w:rsidDel="00000000" w:rsidP="00000000" w:rsidRDefault="00000000" w:rsidRPr="00000000">
      <w:pPr>
        <w:pBd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Husbandry and sampling</w:t>
      </w:r>
    </w:p>
    <w:p w:rsidR="00000000" w:rsidDel="00000000" w:rsidP="00000000" w:rsidRDefault="00000000" w:rsidRPr="00000000">
      <w:pPr>
        <w:keepNext w:val="0"/>
        <w:keepLines w:val="0"/>
        <w:widowControl w:val="0"/>
        <w:numPr>
          <w:ilvl w:val="0"/>
          <w:numId w:val="2"/>
        </w:numPr>
        <w:pBdr/>
        <w:spacing w:after="18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Gelman, D. and D. Hayes. 1982. Methods and Markers for Synchronizing Maturation of Fifth-Stage Larvae and Pupae of the European Corn Borer, Ostrinia nubilalis (Lepidoptera: Pyralidae). Annals of the Entomological Society of America. 75: 485-493.</w:t>
      </w:r>
    </w:p>
    <w:p w:rsidR="00000000" w:rsidDel="00000000" w:rsidP="00000000" w:rsidRDefault="00000000" w:rsidRPr="00000000">
      <w:pPr>
        <w:pBd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Lymph collection</w:t>
      </w:r>
    </w:p>
    <w:p w:rsidR="00000000" w:rsidDel="00000000" w:rsidP="00000000" w:rsidRDefault="00000000" w:rsidRPr="00000000">
      <w:pPr>
        <w:keepNext w:val="0"/>
        <w:keepLines w:val="0"/>
        <w:widowControl w:val="0"/>
        <w:numPr>
          <w:ilvl w:val="0"/>
          <w:numId w:val="2"/>
        </w:numPr>
        <w:pBdr/>
        <w:spacing w:after="18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Gelman, D. and C. Woods. 1983. Haemolymph ecdysteroid titers of diapause- and nondiapause-bound fifth instars and pupae of the European corn borer, Ostrinia nubilalis (Hübner). Comparative Biochemistry and Physiology Part A: Physiology. 76: 367-375.</w:t>
      </w:r>
    </w:p>
    <w:p w:rsidR="00000000" w:rsidDel="00000000" w:rsidP="00000000" w:rsidRDefault="00000000" w:rsidRPr="00000000">
      <w:pPr>
        <w:pBd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Extraction and Derivatization</w:t>
      </w:r>
    </w:p>
    <w:p w:rsidR="00000000" w:rsidDel="00000000" w:rsidP="00000000" w:rsidRDefault="00000000" w:rsidRPr="00000000">
      <w:pPr>
        <w:keepNext w:val="0"/>
        <w:keepLines w:val="0"/>
        <w:widowControl w:val="0"/>
        <w:numPr>
          <w:ilvl w:val="0"/>
          <w:numId w:val="3"/>
        </w:numPr>
        <w:pBdr/>
        <w:spacing w:after="18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Folch, J., M. Lees, and G. Stanley. 1957. A SIMPLE METHOD FOR THE ISOLATION AND PURIFICATION OF TOTAL LIPIDES FROM ANIMAL TISSUES. Journal of Biological Chemistry. 226: 497-509.</w:t>
      </w:r>
    </w:p>
    <w:sectPr>
      <w:footerReference r:id="rId8"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pBd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www.cpc.noaa.gov/products/predictions/long_range/seasonal.php?lead=6" TargetMode="External"/><Relationship Id="rId7" Type="http://schemas.openxmlformats.org/officeDocument/2006/relationships/hyperlink" Target="https://www.climate.gov/news-features/understanding-climate/climate-change-global-temperature-projections" TargetMode="External"/><Relationship Id="rId8" Type="http://schemas.openxmlformats.org/officeDocument/2006/relationships/footer" Target="footer1.xml"/></Relationships>
</file>