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129A8B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6C5810FA"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1026F4">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n.d.)"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DE7B20">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00114DD2">
        <w:fldChar w:fldCharType="separate"/>
      </w:r>
      <w:r w:rsidR="00114DD2" w:rsidRPr="00114DD2">
        <w:rPr>
          <w:noProof/>
        </w:rPr>
        <w:t>(Pimentel and Burgess 2014)</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13552C">
        <w:t>insect populations</w:t>
      </w:r>
      <w:r w:rsidR="00266BAF">
        <w:t xml:space="preserve"> and food security.</w:t>
      </w:r>
    </w:p>
    <w:p w14:paraId="500F5777" w14:textId="77777777" w:rsidR="00266BAF" w:rsidRDefault="00266BAF" w:rsidP="00266BAF">
      <w:pPr>
        <w:spacing w:line="480" w:lineRule="auto"/>
        <w:rPr>
          <w:b/>
        </w:rPr>
      </w:pPr>
    </w:p>
    <w:p w14:paraId="6F7EF35E" w14:textId="27467B6A" w:rsidR="000D5369" w:rsidRDefault="00AD356D" w:rsidP="00384794">
      <w:pPr>
        <w:spacing w:line="480" w:lineRule="auto"/>
      </w:pPr>
      <w:r>
        <w:rPr>
          <w:b/>
        </w:rPr>
        <w:t xml:space="preserve">Response to Climate Change: </w:t>
      </w:r>
      <w:r>
        <w:t>In response</w:t>
      </w:r>
      <w:r w:rsidR="0013552C">
        <w:t xml:space="preserve"> to climate change, some insects will “lose” </w:t>
      </w:r>
      <w:r w:rsidR="000206DE">
        <w:t>(</w:t>
      </w:r>
      <w:r w:rsidR="00BA2725">
        <w:t>experience</w:t>
      </w:r>
      <w:r>
        <w:t xml:space="preserve"> a decrease in </w:t>
      </w:r>
      <w:r w:rsidR="0014660C">
        <w:t xml:space="preserve">average </w:t>
      </w:r>
      <w:r w:rsidR="000206DE">
        <w:t>fitness)</w:t>
      </w:r>
      <w:r w:rsidR="0013552C">
        <w:t>,</w:t>
      </w:r>
      <w:r w:rsidR="000206DE">
        <w:t xml:space="preserve"> while other insects will </w:t>
      </w:r>
      <w:r w:rsidR="0013552C">
        <w:t>“win”</w:t>
      </w:r>
      <w:r w:rsidR="0001674C">
        <w:t xml:space="preserve"> (experience stable or an increase in average fitness).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at the margins</w:t>
      </w:r>
      <w:r w:rsidR="009553B4">
        <w:t xml:space="preserve"> of their behavioral</w:t>
      </w:r>
      <w:r w:rsidR="00C74A75">
        <w:t xml:space="preserve">, ecological, or physiological </w:t>
      </w:r>
      <w:r w:rsidR="009553B4">
        <w:t xml:space="preserve">capacity. The evolution of the traits that are specific to the biotic and abiotic </w:t>
      </w:r>
      <w:r w:rsidR="009553B4">
        <w:lastRenderedPageBreak/>
        <w:t>factors these marginal insects occurred over thousands of years</w:t>
      </w:r>
      <w:r w:rsidR="007E6FEF">
        <w:t xml:space="preserve"> </w:t>
      </w:r>
      <w:proofErr w:type="gramStart"/>
      <w:r w:rsidR="007E6FEF">
        <w:t xml:space="preserve">and </w:t>
      </w:r>
      <w:r w:rsidR="009553B4">
        <w:t>.</w:t>
      </w:r>
      <w:proofErr w:type="gramEnd"/>
      <w:r w:rsidR="009553B4">
        <w:t xml:space="preserve"> </w:t>
      </w:r>
      <w:r w:rsidR="00052C23">
        <w:t xml:space="preserve">The average fitness of these marginal insects is high under specific biotic and abiotic conditions.  </w:t>
      </w:r>
      <w:r w:rsidR="00C74A75">
        <w:t xml:space="preserve">will not have the biological or environmental capacity to compensate for the steady increase in temperature. </w:t>
      </w:r>
      <w:r w:rsidR="00BA2725">
        <w:t xml:space="preserve">The relative fitness of “losers” under a changing climate compared to a stable climate </w:t>
      </w:r>
      <w:r w:rsidR="0001674C">
        <w:t xml:space="preserve">will </w:t>
      </w:r>
      <w:r w:rsidR="00BA2725">
        <w:t xml:space="preserve">decline, populations will decrease and if temperatures continue to rise, those losers will become extinct </w:t>
      </w:r>
      <w:r w:rsidR="0001674C">
        <w:fldChar w:fldCharType="begin" w:fldLock="1"/>
      </w:r>
      <w:r w:rsidR="00F07FC8">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fldChar w:fldCharType="separate"/>
      </w:r>
      <w:r w:rsidR="0001674C" w:rsidRPr="0001674C">
        <w:rPr>
          <w:noProof/>
        </w:rPr>
        <w:t>(Bradshaw and Holzapfel 2008, Williams et al. 2015)</w:t>
      </w:r>
      <w:r w:rsidR="0001674C">
        <w:fldChar w:fldCharType="end"/>
      </w:r>
      <w:r w:rsidR="00BA2725">
        <w:t>.</w:t>
      </w:r>
      <w:r w:rsidR="00154AF3">
        <w:t xml:space="preserve"> </w:t>
      </w:r>
      <w:r w:rsidR="00BA2725">
        <w:t>Generally,</w:t>
      </w:r>
      <w:r w:rsidR="00384794">
        <w:t xml:space="preserv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BA2725">
        <w:t>in the context of</w:t>
      </w:r>
      <w:r w:rsidR="009F2040">
        <w:t xml:space="preserve"> highly predictable environments and selection pressures, like the ecological pred</w:t>
      </w:r>
      <w:r w:rsidR="00174490">
        <w:t>ictability experienced in the polar regions</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 xml:space="preserve">. </w:t>
      </w:r>
      <w:r w:rsidR="006156FC">
        <w:t xml:space="preserve">The degree to which temperatures are rising </w:t>
      </w:r>
      <w:r w:rsidR="00CD6AEC">
        <w:t>in the Arctic</w:t>
      </w:r>
      <w:r w:rsidR="006156FC">
        <w:t xml:space="preserve"> regions is nearly double that of temperate regions</w:t>
      </w:r>
      <w:r w:rsidR="00CD6AEC" w:rsidRPr="00CD6AEC">
        <w:t xml:space="preserve"> </w:t>
      </w:r>
      <w:r w:rsidR="00CD6AEC">
        <w:t xml:space="preserve">the confluence of increasing temperatures with other abiotic factors are predicted to have a rapid effect on Arctic organisms </w:t>
      </w:r>
      <w:r w:rsidR="00CD6AEC">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CD6AEC" w:rsidRPr="00CD6AEC">
        <w:t xml:space="preserve"> </w:t>
      </w:r>
      <w:r w:rsidR="006A1A47">
        <w:t xml:space="preserve">arthropod life history timing is </w:t>
      </w:r>
      <w:r w:rsidR="00BF57D7">
        <w:t>positively related to the date of snow melt</w:t>
      </w:r>
      <w:r w:rsidR="00CD6AEC">
        <w:t xml:space="preserve"> </w:t>
      </w:r>
      <w:r w:rsidR="00592640">
        <w:t xml:space="preserve">such that in the last 10 years the date of </w:t>
      </w:r>
      <w:r w:rsidR="00E201DF">
        <w:t>snowmelt</w:t>
      </w:r>
      <w:r w:rsidR="00975D13">
        <w:t xml:space="preserve"> has shifted by 14.6 days</w:t>
      </w:r>
      <w:r w:rsidR="00E201DF">
        <w:t xml:space="preserve"> </w:t>
      </w:r>
      <w:r w:rsidR="00975D13">
        <w:t>and emergence dates of 12 taxa of arthropods</w:t>
      </w:r>
      <w:r w:rsidR="00E201DF">
        <w:t xml:space="preserve"> has both shifted</w:t>
      </w:r>
      <w:r w:rsidR="00975D13">
        <w:t xml:space="preserve"> by an average of 14.5 days </w:t>
      </w:r>
      <w:r w:rsidR="00975D13">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975D13">
        <w:fldChar w:fldCharType="separate"/>
      </w:r>
      <w:r w:rsidR="00975D13" w:rsidRPr="00975D13">
        <w:rPr>
          <w:noProof/>
        </w:rPr>
        <w:t>(Høye et al. 2007)</w:t>
      </w:r>
      <w:r w:rsidR="00975D13">
        <w:fldChar w:fldCharType="end"/>
      </w:r>
      <w:r w:rsidR="00975D13">
        <w:t>. The organisms thriving</w:t>
      </w:r>
      <w:r w:rsidR="00CD6AEC">
        <w:t xml:space="preserve"> in these regions have </w:t>
      </w:r>
      <w:r w:rsidR="006133BC">
        <w:t xml:space="preserve">evolved </w:t>
      </w:r>
      <w:r w:rsidR="00CD6AEC">
        <w:t>in the context of</w:t>
      </w:r>
      <w:r w:rsidR="0004287A">
        <w:t xml:space="preserve"> an environment with</w:t>
      </w:r>
      <w:r w:rsidR="00CD6AEC">
        <w:t xml:space="preserve"> relatively </w:t>
      </w:r>
      <w:r w:rsidR="00CD6AEC">
        <w:t>low temperatures</w:t>
      </w:r>
      <w:r w:rsidR="006133BC">
        <w:t xml:space="preserve"> and </w:t>
      </w:r>
      <w:r w:rsidR="0004287A">
        <w:t xml:space="preserve">small </w:t>
      </w:r>
      <w:r w:rsidR="0004287A">
        <w:t>fluctuations in</w:t>
      </w:r>
      <w:r w:rsidR="006133BC">
        <w:t xml:space="preserve"> those</w:t>
      </w:r>
      <w:r w:rsidR="0004287A">
        <w:t xml:space="preserve"> temperatures</w:t>
      </w:r>
      <w:r w:rsidR="00CD6AEC">
        <w:t>. As temperatures warm, these vulnerable organisms</w:t>
      </w:r>
      <w:r w:rsidR="00AB338F">
        <w:t xml:space="preserve"> could be</w:t>
      </w:r>
      <w:r w:rsidR="000D5369">
        <w:t xml:space="preserve"> </w:t>
      </w:r>
      <w:r w:rsidR="00AB338F">
        <w:t xml:space="preserve">unable </w:t>
      </w:r>
      <w:r w:rsidR="000D5369">
        <w:t xml:space="preserve">to compensate for these changes and </w:t>
      </w:r>
      <w:r w:rsidR="00AB338F">
        <w:t xml:space="preserve">could become </w:t>
      </w:r>
      <w:r w:rsidR="000D5369">
        <w:t>extinct</w:t>
      </w:r>
      <w:r w:rsidR="006133BC">
        <w:t xml:space="preserve">. </w:t>
      </w:r>
    </w:p>
    <w:p w14:paraId="05FAD54D" w14:textId="77777777" w:rsidR="00C2122A" w:rsidRDefault="002C07DB" w:rsidP="000D5369">
      <w:pPr>
        <w:spacing w:line="480" w:lineRule="auto"/>
        <w:ind w:firstLine="720"/>
      </w:pPr>
      <w:r>
        <w:t xml:space="preserve">The insects which will enjoy increases in average fitness, will be those able to adjust for changes in temperature phenotypically. Changes in range distribution, phenotype, and eventually genotype of populations </w:t>
      </w:r>
      <w:r w:rsidR="00BA6C16">
        <w:t>are</w:t>
      </w:r>
      <w:r w:rsidR="004F31A5">
        <w:t xml:space="preserve"> some of</w:t>
      </w:r>
      <w:r w:rsidR="00BA6C16">
        <w:t xml:space="preserve"> the processes by which some insects will win</w:t>
      </w:r>
      <w:r w:rsidR="004B68CD">
        <w:t xml:space="preserve"> in </w:t>
      </w:r>
      <w:r w:rsidR="004B68CD">
        <w:lastRenderedPageBreak/>
        <w:t>the context of increasing climate</w:t>
      </w:r>
      <w:r w:rsidR="00BA6C16">
        <w:t xml:space="preserve">. </w:t>
      </w:r>
      <w:r w:rsidR="00F07FC8">
        <w:t>As temperatures warm</w:t>
      </w:r>
      <w:r w:rsidR="00DD0FAB">
        <w:t>,</w:t>
      </w:r>
      <w:r w:rsidR="00F07FC8">
        <w:t xml:space="preserve"> and</w:t>
      </w:r>
      <w:r w:rsidR="001E72D4">
        <w:t xml:space="preserve"> favorabl</w:t>
      </w:r>
      <w:r w:rsidR="00F07FC8">
        <w:t>e habitat for temperate insects shift</w:t>
      </w:r>
      <w:r w:rsidR="00DD0FAB">
        <w:t>s far</w:t>
      </w:r>
      <w:r w:rsidR="00F07FC8">
        <w:t xml:space="preserve">ther north, </w:t>
      </w:r>
      <w:r w:rsidR="001866FB">
        <w:t xml:space="preserve">the spatial distribution of </w:t>
      </w:r>
      <w:r w:rsidR="00F07FC8">
        <w:t xml:space="preserve">some insects will </w:t>
      </w:r>
      <w:r w:rsidR="001866FB">
        <w:t xml:space="preserve">track those increased temperatures and shift poleward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1866FB">
        <w:t>Less favorable temperatures at the southern boundary would increase the extinction to colonization ratio of a population of insects, while increasing the ratio at the northern boundary of its range</w:t>
      </w:r>
      <w:r w:rsidR="001866FB">
        <w:t xml:space="preser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 xml:space="preserve"> In Europe,</w:t>
      </w:r>
      <w:r w:rsidR="00384794">
        <w:t xml:space="preserve"> this has been observed in 35 species of non-migratory butterfly species. Of these </w:t>
      </w:r>
      <w:r w:rsidR="00154AF3">
        <w:t>butterflies, 63% are observed to have shifted their range northward and 3% shifted their range south</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620A09">
        <w:t xml:space="preserve"> also</w:t>
      </w:r>
      <w:r w:rsidR="00216D46">
        <w:t xml:space="preserve"> be a highly disruptive for</w:t>
      </w:r>
      <w:r w:rsidR="003B7B43">
        <w:t>ce</w:t>
      </w:r>
      <w:r w:rsidR="00620A09">
        <w:t>.</w:t>
      </w:r>
      <w:r w:rsidR="00C2122A">
        <w:t xml:space="preserve"> </w:t>
      </w:r>
    </w:p>
    <w:p w14:paraId="7CD154FF" w14:textId="5775B440" w:rsidR="00C2122A" w:rsidRDefault="00C2122A" w:rsidP="000D5369">
      <w:pPr>
        <w:spacing w:line="480" w:lineRule="auto"/>
        <w:ind w:firstLine="720"/>
      </w:pPr>
      <w:r>
        <w:t xml:space="preserve">Those insects that are successful in shifting </w:t>
      </w:r>
      <w:proofErr w:type="gramStart"/>
      <w:r>
        <w:t xml:space="preserve">poleward </w:t>
      </w:r>
      <w:bookmarkStart w:id="0" w:name="_GoBack"/>
      <w:bookmarkEnd w:id="0"/>
      <w:r w:rsidR="00620A09">
        <w:t xml:space="preserve"> Invading</w:t>
      </w:r>
      <w:proofErr w:type="gramEnd"/>
      <w:r w:rsidR="00620A09">
        <w:t xml:space="preserve">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p>
    <w:p w14:paraId="09503171" w14:textId="77777777" w:rsidR="00C2122A" w:rsidRDefault="00C2122A" w:rsidP="000D5369">
      <w:pPr>
        <w:spacing w:line="480" w:lineRule="auto"/>
        <w:ind w:firstLine="720"/>
      </w:pPr>
    </w:p>
    <w:p w14:paraId="64857478" w14:textId="07D59159" w:rsidR="00C2122A" w:rsidRDefault="00C2122A" w:rsidP="000D5369">
      <w:pPr>
        <w:spacing w:line="480" w:lineRule="auto"/>
        <w:ind w:firstLine="720"/>
      </w:pPr>
      <w:r>
        <w:t xml:space="preserve">The challenges faced by invading insects into new ecologies </w:t>
      </w:r>
    </w:p>
    <w:p w14:paraId="4B369DCA" w14:textId="77777777" w:rsidR="00C2122A" w:rsidRDefault="00C2122A" w:rsidP="000D5369">
      <w:pPr>
        <w:spacing w:line="480" w:lineRule="auto"/>
        <w:ind w:firstLine="720"/>
      </w:pPr>
    </w:p>
    <w:p w14:paraId="00478716" w14:textId="05B6A723" w:rsidR="00C235F5" w:rsidRDefault="00E83A78" w:rsidP="000D5369">
      <w:pPr>
        <w:spacing w:line="480" w:lineRule="auto"/>
        <w:ind w:firstLine="720"/>
      </w:pPr>
      <w:r>
        <w:t xml:space="preserve">Alternatively, insect populations could respond to climate change by adapting to the local changes in their environment through </w:t>
      </w:r>
      <w:r w:rsidR="00BA6C16">
        <w:t xml:space="preserve">phenotypic </w:t>
      </w:r>
      <w:r w:rsidR="00FD1A33">
        <w:t>plasticit</w:t>
      </w:r>
      <w:r w:rsidR="0080022F">
        <w:t>y</w:t>
      </w:r>
      <w:r>
        <w:t>.</w:t>
      </w:r>
      <w:r w:rsidR="00BA6C16">
        <w:t xml:space="preserve"> </w:t>
      </w:r>
      <w:r w:rsidR="0080022F">
        <w:t xml:space="preserve">Phenotypic plasticity </w:t>
      </w:r>
      <w:r w:rsidR="00BA6C16">
        <w:t>Organisms that are phenotypically plastic, that is the ratio of average fitness to Phenotypic p</w:t>
      </w:r>
      <w:r w:rsidR="00BA6C16">
        <w:t xml:space="preserve">lasticity increases an organisms ability to compensate for changes in its environment by way of genetic or phenotypic variation </w:t>
      </w:r>
      <w:r w:rsidR="00BA6C16">
        <w:fldChar w:fldCharType="begin" w:fldLock="1"/>
      </w:r>
      <w:r w:rsidR="00BA6C16">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BA6C16">
        <w:fldChar w:fldCharType="separate"/>
      </w:r>
      <w:r w:rsidR="00BA6C16" w:rsidRPr="00E8165C">
        <w:rPr>
          <w:noProof/>
        </w:rPr>
        <w:t>(Visser 2008, Bradshaw and Johnson 2014)</w:t>
      </w:r>
      <w:r w:rsidR="00BA6C16">
        <w:fldChar w:fldCharType="end"/>
      </w:r>
      <w:r w:rsidR="00BA6C16">
        <w:t>.</w:t>
      </w:r>
    </w:p>
    <w:p w14:paraId="7B19978D" w14:textId="52393065" w:rsidR="008924C6" w:rsidRPr="00FA6B30" w:rsidRDefault="00FA6B30" w:rsidP="00AD356D">
      <w:pPr>
        <w:spacing w:line="480" w:lineRule="auto"/>
      </w:pPr>
      <w:r>
        <w:lastRenderedPageBreak/>
        <w:t xml:space="preserve">Organisms that </w:t>
      </w: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0AB0DB72" w:rsidR="00AD356D" w:rsidRDefault="00AD356D" w:rsidP="00AD356D">
      <w:pPr>
        <w:spacing w:line="480" w:lineRule="auto"/>
      </w:pPr>
      <w:r>
        <w:t>shift their distribution of phenotypes. Modeling organismal fitness in the context of a changing climate could be understood usin</w:t>
      </w:r>
      <w:r w:rsidR="00D51C18">
        <w:t>g</w:t>
      </w:r>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 xml:space="preserve">Using these seasonal cues, insects have synchronized their life history such that they are able to take advantage of seasonally available resources and avoid seasons when those resources are </w:t>
      </w:r>
      <w:r w:rsidRPr="00C3271A">
        <w:rPr>
          <w:highlight w:val="yellow"/>
        </w:rPr>
        <w:lastRenderedPageBreak/>
        <w:t>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50DF1D6B"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w:t>
      </w:r>
      <w:r w:rsidR="007A2D48">
        <w:t xml:space="preserve">nd non-migratory insect species </w:t>
      </w:r>
      <w:r w:rsidR="007A2D48">
        <w:fldChar w:fldCharType="begin" w:fldLock="1"/>
      </w:r>
      <w:r w:rsidR="007A2D48">
        <w:instrText>ADDIN CSL_CITATION { "citationItems" : [ { "id" : "ITEM-1", "itemData" : { "DOI" : "10.1242/jeb.037473", "ISBN" : "0022-0949", "ISSN" : "0022-0949", "PMID" : "20190116", "abstract" : "Physiological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"author" : [ { "dropping-particle" : "", "family" : "Somero", "given" : "G. N.", "non-dropping-particle" : "", "parse-names" : false, "suffix" : "" } ], "container-title" : "Journal of Experimental Biology", "id" : "ITEM-1", "issue" : "6", "issued" : { "date-parts" : [ [ "2010" ] ] }, "page" : "912-920", "title" : "The physiology of climate change: how potentials for acclimatization and genetic adaptation will determine 'winners' and 'losers'", "type" : "article-journal", "volume" : "213" }, "uris" : [ "http://www.mendeley.com/documents/?uuid=b7928b30-1928-3afc-bcd8-89aafe1e112e" ] } ], "mendeley" : { "formattedCitation" : "(Somero 2010)", "plainTextFormattedCitation" : "(Somero 2010)", "previouslyFormattedCitation" : "(Somero 2010)" }, "properties" : { "noteIndex" : 0 }, "schema" : "https://github.com/citation-style-language/schema/raw/master/csl-citation.json" }</w:instrText>
      </w:r>
      <w:r w:rsidR="007A2D48">
        <w:fldChar w:fldCharType="separate"/>
      </w:r>
      <w:r w:rsidR="007A2D48" w:rsidRPr="007A2D48">
        <w:rPr>
          <w:noProof/>
        </w:rPr>
        <w:t>(Somero 2010)</w:t>
      </w:r>
      <w:r w:rsidR="007A2D48">
        <w:fldChar w:fldCharType="end"/>
      </w:r>
      <w:r w:rsidR="00EA008E">
        <w:t>.</w:t>
      </w:r>
      <w:r>
        <w:t xml:space="preserve"> However the degree to which these types of adaptations are possible hinges upon the range of phenotypic plasticity. </w:t>
      </w:r>
      <w:r w:rsidR="003B7B43">
        <w:t xml:space="preserve">The ability of an insect to adapt to changing climates is limited by its </w:t>
      </w:r>
      <w:r w:rsidR="003B7B43">
        <w:lastRenderedPageBreak/>
        <w:t xml:space="preserve">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6C8C5F1" w14:textId="33D05390" w:rsidR="001E72D4" w:rsidRDefault="001E72D4">
      <w:pPr>
        <w:spacing w:line="480" w:lineRule="auto"/>
        <w:rPr>
          <w:b/>
        </w:rPr>
      </w:pPr>
      <w:r>
        <w:t xml:space="preserve">Populations are expected to rise from the 321.2 million to 398.3 million people here in the United States </w:t>
      </w:r>
      <w:r w:rsidR="00CA5BAD">
        <w:fldChar w:fldCharType="begin" w:fldLock="1"/>
      </w:r>
      <w:r w:rsidR="00EC435C">
        <w:instrText>ADDIN CSL_CITATION { "citationItems" : [ { "id" : "ITEM-1", "itemData" : { "DOI" : "10.2307/1972177", "ISBN" : "9789211514315", "ISSN" : "00987921",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"2015 World Population Data Sheet", "id" : "ITEM-1", "issued" : { "date-parts" : [ [ "2015" ] ] }, "page" : "23", "title" : "World Population Data Sheet", "type" : "article-journal"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00CA5BAD">
        <w:fldChar w:fldCharType="separate"/>
      </w:r>
      <w:r w:rsidR="00CA5BAD" w:rsidRPr="00CA5BAD">
        <w:rPr>
          <w:noProof/>
        </w:rPr>
        <w:t>(POPULATION REFERENCE BUREAU 2015)</w:t>
      </w:r>
      <w:r w:rsidR="00CA5BAD">
        <w:fldChar w:fldCharType="end"/>
      </w:r>
      <w:r>
        <w:t xml:space="preserve">. Farmers depend on the predictive nature of these seasonal cues to determine when to plant, chemically treat, and harvest their </w:t>
      </w:r>
      <w:r>
        <w:lastRenderedPageBreak/>
        <w:t>field crops to meet the food demand of the nation.</w:t>
      </w: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lastRenderedPageBreak/>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w:t>
      </w:r>
      <w:r>
        <w:lastRenderedPageBreak/>
        <w:t xml:space="preserve">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1EE8593" w14:textId="19920AAB"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w:t>
      </w:r>
      <w:r>
        <w:rPr>
          <w:color w:val="FF0000"/>
        </w:rPr>
        <w:lastRenderedPageBreak/>
        <w:t xml:space="preserve">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Pr>
          <w:color w:val="FF0000"/>
        </w:rPr>
        <w:fldChar w:fldCharType="begin" w:fldLock="1"/>
      </w:r>
      <w:r w:rsidR="001026F4">
        <w:rPr>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 "properties" : { "noteIndex" : 0 }, "schema" : "https://github.com/citation-style-language/schema/raw/master/csl-citation.json" }</w:instrText>
      </w:r>
      <w:r w:rsidR="001026F4">
        <w:rPr>
          <w:color w:val="FF0000"/>
        </w:rPr>
        <w:fldChar w:fldCharType="separate"/>
      </w:r>
      <w:r w:rsidR="001026F4" w:rsidRPr="001026F4">
        <w:rPr>
          <w:noProof/>
          <w:color w:val="FF0000"/>
        </w:rPr>
        <w:t>(Fernandez-Cornejo et al. 2014)</w:t>
      </w:r>
      <w:r w:rsidR="001026F4">
        <w:rPr>
          <w:color w:val="FF0000"/>
        </w:rPr>
        <w:fldChar w:fldCharType="end"/>
      </w:r>
      <w:r w:rsidR="001026F4">
        <w:rPr>
          <w:color w:val="FF0000"/>
        </w:rPr>
        <w:t>.</w:t>
      </w:r>
      <w:r>
        <w:rPr>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5D2F5AB8"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w:t>
      </w:r>
      <w:r>
        <w:lastRenderedPageBreak/>
        <w:t xml:space="preserve">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w:t>
      </w:r>
      <w:r>
        <w:lastRenderedPageBreak/>
        <w:t>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w:t>
      </w:r>
      <w:r>
        <w:lastRenderedPageBreak/>
        <w:t xml:space="preserve">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w:t>
      </w:r>
      <w:r>
        <w:lastRenderedPageBreak/>
        <w:t xml:space="preserve">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w:t>
      </w:r>
      <w:r>
        <w:lastRenderedPageBreak/>
        <w:t xml:space="preserve">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w:t>
      </w:r>
      <w:r>
        <w:lastRenderedPageBreak/>
        <w:t xml:space="preserve">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w:t>
      </w:r>
      <w:r>
        <w:lastRenderedPageBreak/>
        <w:t>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w:t>
      </w:r>
      <w:r>
        <w:lastRenderedPageBreak/>
        <w:t>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w:t>
      </w:r>
      <w:proofErr w:type="spellStart"/>
      <w:r w:rsidRPr="00A71AD2">
        <w:rPr>
          <w:rFonts w:asciiTheme="minorHAnsi" w:hAnsiTheme="minorHAnsi"/>
        </w:rPr>
        <w:t>Opler</w:t>
      </w:r>
      <w:proofErr w:type="spellEnd"/>
      <w:r w:rsidRPr="00A71AD2">
        <w:rPr>
          <w:rFonts w:asciiTheme="minorHAnsi" w:hAnsiTheme="minorHAnsi"/>
        </w:rPr>
        <w:t xml:space="preserve">, C. E. Puckett </w:t>
      </w:r>
      <w:proofErr w:type="spellStart"/>
      <w:r w:rsidRPr="00A71AD2">
        <w:rPr>
          <w:rFonts w:asciiTheme="minorHAnsi" w:hAnsiTheme="minorHAnsi"/>
        </w:rPr>
        <w:t>Haecker</w:t>
      </w:r>
      <w:proofErr w:type="spellEnd"/>
      <w:r w:rsidRPr="00A71AD2">
        <w:rPr>
          <w:rFonts w:asciiTheme="minorHAnsi" w:hAnsiTheme="minorHAnsi"/>
        </w:rPr>
        <w:t>, and P. D. Doran. 1998. Status and trends of the nation’s biological resources. Vol. 1. U.S. Department of the Interior, U.S. 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Davis, M., and R. Shaw. 2001. Range Shifts and Adaptive Responses to Quaternary 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Helmuth, B., J. Kingsolver, and E. Carrington. 2005. Biophysics, Physiological Ecology, and Climate Change: Does Mechanism </w:t>
      </w:r>
      <w:proofErr w:type="gramStart"/>
      <w:r w:rsidRPr="00A71AD2">
        <w:rPr>
          <w:rFonts w:asciiTheme="minorHAnsi" w:hAnsiTheme="minorHAnsi"/>
        </w:rPr>
        <w:t>Matter?.</w:t>
      </w:r>
      <w:proofErr w:type="gramEnd"/>
      <w:r w:rsidRPr="00A71AD2">
        <w:rPr>
          <w:rFonts w:asciiTheme="minorHAnsi" w:hAnsiTheme="minorHAnsi"/>
        </w:rPr>
        <w:t xml:space="preserve"> Annual Review of Physiology. 67: 177-201.</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Kerr, J., A. Pindar, P. </w:t>
      </w:r>
      <w:proofErr w:type="spellStart"/>
      <w:r w:rsidRPr="00A71AD2">
        <w:rPr>
          <w:rFonts w:asciiTheme="minorHAnsi" w:hAnsiTheme="minorHAnsi"/>
        </w:rPr>
        <w:t>Galpern</w:t>
      </w:r>
      <w:proofErr w:type="spellEnd"/>
      <w:r w:rsidRPr="00A71AD2">
        <w:rPr>
          <w:rFonts w:asciiTheme="minorHAnsi" w:hAnsiTheme="minorHAnsi"/>
        </w:rPr>
        <w:t xml:space="preserve">, L. Packer, S. Potts, S. Roberts, P. </w:t>
      </w:r>
      <w:proofErr w:type="spellStart"/>
      <w:r w:rsidRPr="00A71AD2">
        <w:rPr>
          <w:rFonts w:asciiTheme="minorHAnsi" w:hAnsiTheme="minorHAnsi"/>
        </w:rPr>
        <w:t>Rasmont</w:t>
      </w:r>
      <w:proofErr w:type="spellEnd"/>
      <w:r w:rsidRPr="00A71AD2">
        <w:rPr>
          <w:rFonts w:asciiTheme="minorHAnsi" w:hAnsiTheme="minorHAnsi"/>
        </w:rPr>
        <w:t xml:space="preserve">, O. </w:t>
      </w:r>
      <w:proofErr w:type="spellStart"/>
      <w:r w:rsidRPr="00A71AD2">
        <w:rPr>
          <w:rFonts w:asciiTheme="minorHAnsi" w:hAnsiTheme="minorHAnsi"/>
        </w:rPr>
        <w:t>Schweiger</w:t>
      </w:r>
      <w:proofErr w:type="spellEnd"/>
      <w:r w:rsidRPr="00A71AD2">
        <w:rPr>
          <w:rFonts w:asciiTheme="minorHAnsi" w:hAnsiTheme="minorHAnsi"/>
        </w:rPr>
        <w:t xml:space="preserve">, S. </w:t>
      </w:r>
      <w:proofErr w:type="spellStart"/>
      <w:r w:rsidRPr="00A71AD2">
        <w:rPr>
          <w:rFonts w:asciiTheme="minorHAnsi" w:hAnsiTheme="minorHAnsi"/>
        </w:rPr>
        <w:t>Colla</w:t>
      </w:r>
      <w:proofErr w:type="spellEnd"/>
      <w:r w:rsidRPr="00A71AD2">
        <w:rPr>
          <w:rFonts w:asciiTheme="minorHAnsi" w:hAnsiTheme="minorHAnsi"/>
        </w:rPr>
        <w:t>, L. Richardson, D. Wagner, L. Gall, D. Sikes, and A. Pantoja. 2015. Climate change impacts on bumblebees converge across continents. Science. 349: 177-180.</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9">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46B10266" w14:textId="65DC52E8" w:rsidR="00491FB1" w:rsidRPr="00CA5BAD" w:rsidRDefault="00DB16BF" w:rsidP="00CA5BAD">
      <w:pPr>
        <w:numPr>
          <w:ilvl w:val="0"/>
          <w:numId w:val="4"/>
        </w:numPr>
        <w:ind w:hanging="360"/>
        <w:contextualSpacing/>
        <w:rPr>
          <w:rFonts w:asciiTheme="minorHAnsi" w:hAnsiTheme="minorHAnsi"/>
        </w:rPr>
      </w:pPr>
      <w:proofErr w:type="spellStart"/>
      <w:r w:rsidRPr="00A71AD2">
        <w:rPr>
          <w:rFonts w:asciiTheme="minorHAnsi" w:hAnsiTheme="minorHAnsi"/>
        </w:rPr>
        <w:t>Bebber</w:t>
      </w:r>
      <w:proofErr w:type="spellEnd"/>
      <w:r w:rsidRPr="00A71AD2">
        <w:rPr>
          <w:rFonts w:asciiTheme="minorHAnsi" w:hAnsiTheme="minorHAnsi"/>
        </w:rPr>
        <w:t>, D. 2015. Range-Expanding Pests and Pathogens in a Warming World. Annual Review of Phytopathology. 53: 335-356.</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Hyde, J., M. Martin, P. </w:t>
      </w:r>
      <w:proofErr w:type="spellStart"/>
      <w:r w:rsidRPr="00A71AD2">
        <w:rPr>
          <w:rFonts w:asciiTheme="minorHAnsi" w:hAnsiTheme="minorHAnsi"/>
        </w:rPr>
        <w:t>Preckel</w:t>
      </w:r>
      <w:proofErr w:type="spellEnd"/>
      <w:r w:rsidRPr="00A71AD2">
        <w:rPr>
          <w:rFonts w:asciiTheme="minorHAnsi" w:hAnsiTheme="minorHAnsi"/>
        </w:rPr>
        <w:t>,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Wechsler, S. J. 2017.United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Recent Trends in GE Adoption. </w:t>
      </w:r>
    </w:p>
    <w:p w14:paraId="06861EBF" w14:textId="4B0D5E02" w:rsidR="00491FB1" w:rsidRDefault="00DB16BF" w:rsidP="00CA5BAD">
      <w:pPr>
        <w:numPr>
          <w:ilvl w:val="0"/>
          <w:numId w:val="1"/>
        </w:numPr>
        <w:ind w:hanging="360"/>
        <w:contextualSpacing/>
        <w:rPr>
          <w:rFonts w:asciiTheme="minorHAnsi" w:hAnsiTheme="minorHAnsi"/>
        </w:rPr>
      </w:pPr>
      <w:r w:rsidRPr="00A71AD2">
        <w:rPr>
          <w:rFonts w:asciiTheme="minorHAnsi" w:hAnsiTheme="minorHAnsi"/>
        </w:rPr>
        <w:t xml:space="preserve">Glaser, L., 2016. 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What is agriculture’s share of the overall U.S. economy.</w:t>
      </w:r>
    </w:p>
    <w:p w14:paraId="5C952207" w14:textId="77777777" w:rsidR="00EC435C" w:rsidRDefault="00EC435C" w:rsidP="00EC435C">
      <w:pPr>
        <w:contextualSpacing/>
        <w:rPr>
          <w:rFonts w:asciiTheme="minorHAnsi" w:hAnsiTheme="minorHAnsi"/>
        </w:rPr>
      </w:pPr>
    </w:p>
    <w:p w14:paraId="6FECBB6D" w14:textId="0BB69949" w:rsidR="001026F4" w:rsidRPr="001026F4" w:rsidRDefault="00EC435C" w:rsidP="001026F4">
      <w:pPr>
        <w:autoSpaceDE w:val="0"/>
        <w:autoSpaceDN w:val="0"/>
        <w:adjustRightInd w:val="0"/>
        <w:ind w:left="480" w:hanging="480"/>
        <w:rPr>
          <w:rFonts w:eastAsia="Times New Roman" w:cs="Times New Roman"/>
          <w:noProof/>
        </w:rPr>
      </w:pPr>
      <w:r>
        <w:rPr>
          <w:rFonts w:asciiTheme="minorHAnsi" w:hAnsiTheme="minorHAnsi"/>
        </w:rPr>
        <w:fldChar w:fldCharType="begin" w:fldLock="1"/>
      </w:r>
      <w:r>
        <w:rPr>
          <w:rFonts w:asciiTheme="minorHAnsi" w:hAnsiTheme="minorHAnsi"/>
        </w:rPr>
        <w:instrText xml:space="preserve">ADDIN Mendeley Bibliography CSL_BIBLIOGRAPHY </w:instrText>
      </w:r>
      <w:r>
        <w:rPr>
          <w:rFonts w:asciiTheme="minorHAnsi" w:hAnsiTheme="minorHAnsi"/>
        </w:rPr>
        <w:fldChar w:fldCharType="separate"/>
      </w:r>
      <w:r w:rsidR="001026F4" w:rsidRPr="001026F4">
        <w:rPr>
          <w:rFonts w:eastAsia="Times New Roman" w:cs="Times New Roman"/>
          <w:b/>
          <w:bCs/>
          <w:noProof/>
        </w:rPr>
        <w:t>Bale, J. S., G. J. Masters, I. D. Hodkinson, C. Awmack, T. M. Bezemer, V. K. Brown, J. Butterfield, A. Buse, J. C. Coulson, J. Farrar, J. E. G. Good, R. Harrington, S. Hartley, T. H. Jones, R. L. Lindroth, M. C. Press, I. Symrnioudis, A. D. Watt, and J. B. Whittaker</w:t>
      </w:r>
      <w:r w:rsidR="001026F4" w:rsidRPr="001026F4">
        <w:rPr>
          <w:rFonts w:eastAsia="Times New Roman" w:cs="Times New Roman"/>
          <w:noProof/>
        </w:rPr>
        <w:t xml:space="preserve">. </w:t>
      </w:r>
      <w:r w:rsidR="001026F4" w:rsidRPr="001026F4">
        <w:rPr>
          <w:rFonts w:eastAsia="Times New Roman" w:cs="Times New Roman"/>
          <w:b/>
          <w:bCs/>
          <w:noProof/>
        </w:rPr>
        <w:t>2002</w:t>
      </w:r>
      <w:r w:rsidR="001026F4" w:rsidRPr="001026F4">
        <w:rPr>
          <w:rFonts w:eastAsia="Times New Roman" w:cs="Times New Roman"/>
          <w:noProof/>
        </w:rPr>
        <w:t>. Herbivory in global climate change research: Direct effects of rising temperature on insect herbivores. Glob. Chang. Biol. 8: 1–16.</w:t>
      </w:r>
    </w:p>
    <w:p w14:paraId="67DF379C"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Bradshaw, W. E., and C. M. Holzapfel</w:t>
      </w:r>
      <w:r w:rsidRPr="001026F4">
        <w:rPr>
          <w:rFonts w:eastAsia="Times New Roman" w:cs="Times New Roman"/>
          <w:noProof/>
        </w:rPr>
        <w:t xml:space="preserve">. </w:t>
      </w:r>
      <w:r w:rsidRPr="001026F4">
        <w:rPr>
          <w:rFonts w:eastAsia="Times New Roman" w:cs="Times New Roman"/>
          <w:b/>
          <w:bCs/>
          <w:noProof/>
        </w:rPr>
        <w:t>2008</w:t>
      </w:r>
      <w:r w:rsidRPr="001026F4">
        <w:rPr>
          <w:rFonts w:eastAsia="Times New Roman" w:cs="Times New Roman"/>
          <w:noProof/>
        </w:rPr>
        <w:t>. Genetic response to rapid climate change: It’s seasonal timing that matters. Mol. Ecol. 17: 157–166.</w:t>
      </w:r>
    </w:p>
    <w:p w14:paraId="796554FA"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Bradshaw, W. E., and K. Johnson</w:t>
      </w:r>
      <w:r w:rsidRPr="001026F4">
        <w:rPr>
          <w:rFonts w:eastAsia="Times New Roman" w:cs="Times New Roman"/>
          <w:noProof/>
        </w:rPr>
        <w:t xml:space="preserve">. </w:t>
      </w:r>
      <w:r w:rsidRPr="001026F4">
        <w:rPr>
          <w:rFonts w:eastAsia="Times New Roman" w:cs="Times New Roman"/>
          <w:b/>
          <w:bCs/>
          <w:noProof/>
        </w:rPr>
        <w:t>2014</w:t>
      </w:r>
      <w:r w:rsidRPr="001026F4">
        <w:rPr>
          <w:rFonts w:eastAsia="Times New Roman" w:cs="Times New Roman"/>
          <w:noProof/>
        </w:rPr>
        <w:t>. Initiation of Metamorphosis in the Pitcher-Plant Mosquito : Effects of Larval Growth History INITIATION OF METAMORPHOSIS IN THE PITCHER-PLANT MOSQUITO : EFFECTS OF LARVAL GROWTH HISTORY ’. Ecology. 76: 2055–2065.</w:t>
      </w:r>
    </w:p>
    <w:p w14:paraId="3F79FDF2"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Bradshaw, W., and C. Holzapfel</w:t>
      </w:r>
      <w:r w:rsidRPr="001026F4">
        <w:rPr>
          <w:rFonts w:eastAsia="Times New Roman" w:cs="Times New Roman"/>
          <w:noProof/>
        </w:rPr>
        <w:t xml:space="preserve">. </w:t>
      </w:r>
      <w:r w:rsidRPr="001026F4">
        <w:rPr>
          <w:rFonts w:eastAsia="Times New Roman" w:cs="Times New Roman"/>
          <w:b/>
          <w:bCs/>
          <w:noProof/>
        </w:rPr>
        <w:t>2006</w:t>
      </w:r>
      <w:r w:rsidRPr="001026F4">
        <w:rPr>
          <w:rFonts w:eastAsia="Times New Roman" w:cs="Times New Roman"/>
          <w:noProof/>
        </w:rPr>
        <w:t xml:space="preserve">. Evolutionary Response to Rapid Climate Change. Science </w:t>
      </w:r>
      <w:r w:rsidRPr="001026F4">
        <w:rPr>
          <w:rFonts w:eastAsia="Times New Roman" w:cs="Times New Roman"/>
          <w:noProof/>
        </w:rPr>
        <w:lastRenderedPageBreak/>
        <w:t>(80-. ). 312: 1477–1478.</w:t>
      </w:r>
    </w:p>
    <w:p w14:paraId="461001F5"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Breed, G. A., S. Stichter, and E. E. Crone</w:t>
      </w:r>
      <w:r w:rsidRPr="001026F4">
        <w:rPr>
          <w:rFonts w:eastAsia="Times New Roman" w:cs="Times New Roman"/>
          <w:noProof/>
        </w:rPr>
        <w:t xml:space="preserve">. </w:t>
      </w:r>
      <w:r w:rsidRPr="001026F4">
        <w:rPr>
          <w:rFonts w:eastAsia="Times New Roman" w:cs="Times New Roman"/>
          <w:b/>
          <w:bCs/>
          <w:noProof/>
        </w:rPr>
        <w:t>2012</w:t>
      </w:r>
      <w:r w:rsidRPr="001026F4">
        <w:rPr>
          <w:rFonts w:eastAsia="Times New Roman" w:cs="Times New Roman"/>
          <w:noProof/>
        </w:rPr>
        <w:t>. Climate-driven changes in northeastern US butterfly communities. Nat. Clim. Chang. 3: 142–145.</w:t>
      </w:r>
    </w:p>
    <w:p w14:paraId="6F27F40F"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DeLucia, E. H., C. L. Casteel, P. D. Nabity, and B. F. O’Neill</w:t>
      </w:r>
      <w:r w:rsidRPr="001026F4">
        <w:rPr>
          <w:rFonts w:eastAsia="Times New Roman" w:cs="Times New Roman"/>
          <w:noProof/>
        </w:rPr>
        <w:t xml:space="preserve">. </w:t>
      </w:r>
      <w:r w:rsidRPr="001026F4">
        <w:rPr>
          <w:rFonts w:eastAsia="Times New Roman" w:cs="Times New Roman"/>
          <w:b/>
          <w:bCs/>
          <w:noProof/>
        </w:rPr>
        <w:t>2008</w:t>
      </w:r>
      <w:r w:rsidRPr="001026F4">
        <w:rPr>
          <w:rFonts w:eastAsia="Times New Roman" w:cs="Times New Roman"/>
          <w:noProof/>
        </w:rPr>
        <w:t>. Insects take a bigger bite out of plants in a warmer, higher carbon dioxide world. Proc. Natl. Acad. Sci. 105: 1781–1782.</w:t>
      </w:r>
    </w:p>
    <w:p w14:paraId="6ACADE67"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Denlinger, D. L.</w:t>
      </w:r>
      <w:r w:rsidRPr="001026F4">
        <w:rPr>
          <w:rFonts w:eastAsia="Times New Roman" w:cs="Times New Roman"/>
          <w:noProof/>
        </w:rPr>
        <w:t xml:space="preserve"> </w:t>
      </w:r>
      <w:r w:rsidRPr="001026F4">
        <w:rPr>
          <w:rFonts w:eastAsia="Times New Roman" w:cs="Times New Roman"/>
          <w:b/>
          <w:bCs/>
          <w:noProof/>
        </w:rPr>
        <w:t>2008</w:t>
      </w:r>
      <w:r w:rsidRPr="001026F4">
        <w:rPr>
          <w:rFonts w:eastAsia="Times New Roman" w:cs="Times New Roman"/>
          <w:noProof/>
        </w:rPr>
        <w:t>. Why study diapause? Entomol. Res. 38: 1–9.</w:t>
      </w:r>
    </w:p>
    <w:p w14:paraId="03C31879"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Department of Economic and Social Affairs, and Population Division</w:t>
      </w:r>
      <w:r w:rsidRPr="001026F4">
        <w:rPr>
          <w:rFonts w:eastAsia="Times New Roman" w:cs="Times New Roman"/>
          <w:noProof/>
        </w:rPr>
        <w:t xml:space="preserve">. </w:t>
      </w:r>
      <w:r w:rsidRPr="001026F4">
        <w:rPr>
          <w:rFonts w:eastAsia="Times New Roman" w:cs="Times New Roman"/>
          <w:b/>
          <w:bCs/>
          <w:noProof/>
        </w:rPr>
        <w:t>2015</w:t>
      </w:r>
      <w:r w:rsidRPr="001026F4">
        <w:rPr>
          <w:rFonts w:eastAsia="Times New Roman" w:cs="Times New Roman"/>
          <w:noProof/>
        </w:rPr>
        <w:t>. World Population Prospects The 2015 Revision Key Findings and Advance Tables.</w:t>
      </w:r>
    </w:p>
    <w:p w14:paraId="6E8E8197"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Fernandez-Cornejo, J., R. Nehring, C. Osteen, S. Wechsler, A. Martin, and A. Vialou</w:t>
      </w:r>
      <w:r w:rsidRPr="001026F4">
        <w:rPr>
          <w:rFonts w:eastAsia="Times New Roman" w:cs="Times New Roman"/>
          <w:noProof/>
        </w:rPr>
        <w:t xml:space="preserve">. </w:t>
      </w:r>
      <w:r w:rsidRPr="001026F4">
        <w:rPr>
          <w:rFonts w:eastAsia="Times New Roman" w:cs="Times New Roman"/>
          <w:b/>
          <w:bCs/>
          <w:noProof/>
        </w:rPr>
        <w:t>2014</w:t>
      </w:r>
      <w:r w:rsidRPr="001026F4">
        <w:rPr>
          <w:rFonts w:eastAsia="Times New Roman" w:cs="Times New Roman"/>
          <w:noProof/>
        </w:rPr>
        <w:t>. Pesticide Use in U.S. Agriculture: 21 Selected Crops, 1960-2008.</w:t>
      </w:r>
    </w:p>
    <w:p w14:paraId="6C0E816D"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Folch, J., M. Lees, and G. H. S. Stanley</w:t>
      </w:r>
      <w:r w:rsidRPr="001026F4">
        <w:rPr>
          <w:rFonts w:eastAsia="Times New Roman" w:cs="Times New Roman"/>
          <w:noProof/>
        </w:rPr>
        <w:t xml:space="preserve">. </w:t>
      </w:r>
      <w:r w:rsidRPr="001026F4">
        <w:rPr>
          <w:rFonts w:eastAsia="Times New Roman" w:cs="Times New Roman"/>
          <w:b/>
          <w:bCs/>
          <w:noProof/>
        </w:rPr>
        <w:t>1957</w:t>
      </w:r>
      <w:r w:rsidRPr="001026F4">
        <w:rPr>
          <w:rFonts w:eastAsia="Times New Roman" w:cs="Times New Roman"/>
          <w:noProof/>
        </w:rPr>
        <w:t>. A simple method for the isolation and purification of total lipids from animal tissues. J Biol Chem.</w:t>
      </w:r>
    </w:p>
    <w:p w14:paraId="0388314E"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Gelman, D. B., and D. K. Hayes</w:t>
      </w:r>
      <w:r w:rsidRPr="001026F4">
        <w:rPr>
          <w:rFonts w:eastAsia="Times New Roman" w:cs="Times New Roman"/>
          <w:noProof/>
        </w:rPr>
        <w:t xml:space="preserve">. </w:t>
      </w:r>
      <w:r w:rsidRPr="001026F4">
        <w:rPr>
          <w:rFonts w:eastAsia="Times New Roman" w:cs="Times New Roman"/>
          <w:b/>
          <w:bCs/>
          <w:noProof/>
        </w:rPr>
        <w:t>1982</w:t>
      </w:r>
      <w:r w:rsidRPr="001026F4">
        <w:rPr>
          <w:rFonts w:eastAsia="Times New Roman" w:cs="Times New Roman"/>
          <w:noProof/>
        </w:rPr>
        <w:t>. Methods and Markers for Synchronizing Maturation of Fifth-Stage Larvae and Pupae of the European Corn Borer , Ostrinia nubilalis. Ann. Entomol. Soc. 75: 485–493.</w:t>
      </w:r>
    </w:p>
    <w:p w14:paraId="1AD836CF"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Gelman, D. B., and C. W. Woods</w:t>
      </w:r>
      <w:r w:rsidRPr="001026F4">
        <w:rPr>
          <w:rFonts w:eastAsia="Times New Roman" w:cs="Times New Roman"/>
          <w:noProof/>
        </w:rPr>
        <w:t xml:space="preserve">. </w:t>
      </w:r>
      <w:r w:rsidRPr="001026F4">
        <w:rPr>
          <w:rFonts w:eastAsia="Times New Roman" w:cs="Times New Roman"/>
          <w:b/>
          <w:bCs/>
          <w:noProof/>
        </w:rPr>
        <w:t>1983</w:t>
      </w:r>
      <w:r w:rsidRPr="001026F4">
        <w:rPr>
          <w:rFonts w:eastAsia="Times New Roman" w:cs="Times New Roman"/>
          <w:noProof/>
        </w:rPr>
        <w:t>. HAEMOLYMPH ECDYSTEROID TITERS OF DIAPAUSE-AND NONDIAPAUSE-BOUND FIFTH INSTARS AND PUPAE OF THE EUROPEAN CORN BORER, OSTRINIA NUZ3KALIS (HijBNER). Biochrm. Phystol. %A: 367–375.</w:t>
      </w:r>
    </w:p>
    <w:p w14:paraId="73BB62E3"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Hahn, D. A., and D. L. Denlinger</w:t>
      </w:r>
      <w:r w:rsidRPr="001026F4">
        <w:rPr>
          <w:rFonts w:eastAsia="Times New Roman" w:cs="Times New Roman"/>
          <w:noProof/>
        </w:rPr>
        <w:t xml:space="preserve">. </w:t>
      </w:r>
      <w:r w:rsidRPr="001026F4">
        <w:rPr>
          <w:rFonts w:eastAsia="Times New Roman" w:cs="Times New Roman"/>
          <w:b/>
          <w:bCs/>
          <w:noProof/>
        </w:rPr>
        <w:t>2011</w:t>
      </w:r>
      <w:r w:rsidRPr="001026F4">
        <w:rPr>
          <w:rFonts w:eastAsia="Times New Roman" w:cs="Times New Roman"/>
          <w:noProof/>
        </w:rPr>
        <w:t>. Energetics of Insect Diapause. Annu. Rev. Entomol. 56: 103–121.</w:t>
      </w:r>
    </w:p>
    <w:p w14:paraId="76CD8770"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Høye, T. T., E. Post, H. Meltofte, N. M. Schmidt, and M. C. Forchhammer</w:t>
      </w:r>
      <w:r w:rsidRPr="001026F4">
        <w:rPr>
          <w:rFonts w:eastAsia="Times New Roman" w:cs="Times New Roman"/>
          <w:noProof/>
        </w:rPr>
        <w:t xml:space="preserve">. </w:t>
      </w:r>
      <w:r w:rsidRPr="001026F4">
        <w:rPr>
          <w:rFonts w:eastAsia="Times New Roman" w:cs="Times New Roman"/>
          <w:b/>
          <w:bCs/>
          <w:noProof/>
        </w:rPr>
        <w:t>2007</w:t>
      </w:r>
      <w:r w:rsidRPr="001026F4">
        <w:rPr>
          <w:rFonts w:eastAsia="Times New Roman" w:cs="Times New Roman"/>
          <w:noProof/>
        </w:rPr>
        <w:t>. Rapid advancement of spring in the High Arctic. Curr. Biol.</w:t>
      </w:r>
    </w:p>
    <w:p w14:paraId="45D1BFF5"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NOAA National Centers for Environmental Information</w:t>
      </w:r>
      <w:r w:rsidRPr="001026F4">
        <w:rPr>
          <w:rFonts w:eastAsia="Times New Roman" w:cs="Times New Roman"/>
          <w:noProof/>
        </w:rPr>
        <w:t xml:space="preserve">. </w:t>
      </w:r>
      <w:r w:rsidRPr="001026F4">
        <w:rPr>
          <w:rFonts w:eastAsia="Times New Roman" w:cs="Times New Roman"/>
          <w:b/>
          <w:bCs/>
          <w:noProof/>
        </w:rPr>
        <w:t>2017</w:t>
      </w:r>
      <w:r w:rsidRPr="001026F4">
        <w:rPr>
          <w:rFonts w:eastAsia="Times New Roman" w:cs="Times New Roman"/>
          <w:noProof/>
        </w:rPr>
        <w:t>. State of the Climate: Global Climate Report for Annual 2016. (https://www.ncdc.noaa.gov/sotc/national/201613).</w:t>
      </w:r>
    </w:p>
    <w:p w14:paraId="1ABE05FA"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Parmesan, C., N. Ryrholm, C. Stefanescu, J. K. Hill, C. D. Thomas, H. Descimon, B. Huntley, L. Kaila, J. Kullberg, T. Tammaru, W. J. Tennent, J. a Thomas, and M. Warren</w:t>
      </w:r>
      <w:r w:rsidRPr="001026F4">
        <w:rPr>
          <w:rFonts w:eastAsia="Times New Roman" w:cs="Times New Roman"/>
          <w:noProof/>
        </w:rPr>
        <w:t xml:space="preserve">. </w:t>
      </w:r>
      <w:r w:rsidRPr="001026F4">
        <w:rPr>
          <w:rFonts w:eastAsia="Times New Roman" w:cs="Times New Roman"/>
          <w:b/>
          <w:bCs/>
          <w:noProof/>
        </w:rPr>
        <w:t>1999</w:t>
      </w:r>
      <w:r w:rsidRPr="001026F4">
        <w:rPr>
          <w:rFonts w:eastAsia="Times New Roman" w:cs="Times New Roman"/>
          <w:noProof/>
        </w:rPr>
        <w:t>. Poleward shifts in geographical ranges of butterfly species associated with regional warming. Nature. 399: 579–583.</w:t>
      </w:r>
    </w:p>
    <w:p w14:paraId="06F817D9"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Pimentel, D., and M. Burgess</w:t>
      </w:r>
      <w:r w:rsidRPr="001026F4">
        <w:rPr>
          <w:rFonts w:eastAsia="Times New Roman" w:cs="Times New Roman"/>
          <w:noProof/>
        </w:rPr>
        <w:t xml:space="preserve">. </w:t>
      </w:r>
      <w:r w:rsidRPr="001026F4">
        <w:rPr>
          <w:rFonts w:eastAsia="Times New Roman" w:cs="Times New Roman"/>
          <w:b/>
          <w:bCs/>
          <w:noProof/>
        </w:rPr>
        <w:t>2014</w:t>
      </w:r>
      <w:r w:rsidRPr="001026F4">
        <w:rPr>
          <w:rFonts w:eastAsia="Times New Roman" w:cs="Times New Roman"/>
          <w:noProof/>
        </w:rPr>
        <w:t>. Environmental and economic costs of the application of pesticides primarily in the United States. Integr. Pest Manag. 3: 47–71.</w:t>
      </w:r>
    </w:p>
    <w:p w14:paraId="76B79301"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POPULATION REFERENCE BUREAU</w:t>
      </w:r>
      <w:r w:rsidRPr="001026F4">
        <w:rPr>
          <w:rFonts w:eastAsia="Times New Roman" w:cs="Times New Roman"/>
          <w:noProof/>
        </w:rPr>
        <w:t xml:space="preserve">. </w:t>
      </w:r>
      <w:r w:rsidRPr="001026F4">
        <w:rPr>
          <w:rFonts w:eastAsia="Times New Roman" w:cs="Times New Roman"/>
          <w:b/>
          <w:bCs/>
          <w:noProof/>
        </w:rPr>
        <w:t>2015</w:t>
      </w:r>
      <w:r w:rsidRPr="001026F4">
        <w:rPr>
          <w:rFonts w:eastAsia="Times New Roman" w:cs="Times New Roman"/>
          <w:noProof/>
        </w:rPr>
        <w:t>. World Population Data Sheet. 2015 World Popul. Data Sheet. 23.</w:t>
      </w:r>
    </w:p>
    <w:p w14:paraId="7B8F8FE3"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Scriber, J. M.</w:t>
      </w:r>
      <w:r w:rsidRPr="001026F4">
        <w:rPr>
          <w:rFonts w:eastAsia="Times New Roman" w:cs="Times New Roman"/>
          <w:noProof/>
        </w:rPr>
        <w:t xml:space="preserve"> </w:t>
      </w:r>
      <w:r w:rsidRPr="001026F4">
        <w:rPr>
          <w:rFonts w:eastAsia="Times New Roman" w:cs="Times New Roman"/>
          <w:b/>
          <w:bCs/>
          <w:noProof/>
        </w:rPr>
        <w:t>2014</w:t>
      </w:r>
      <w:r w:rsidRPr="001026F4">
        <w:rPr>
          <w:rFonts w:eastAsia="Times New Roman" w:cs="Times New Roman"/>
          <w:noProof/>
        </w:rPr>
        <w:t>. Climate-driven reshuffling of species and genes: Potential conservation roles for species translocations and recombinant hybrid genotypes, Insects.</w:t>
      </w:r>
    </w:p>
    <w:p w14:paraId="4D8FE17D"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Somero, G. N.</w:t>
      </w:r>
      <w:r w:rsidRPr="001026F4">
        <w:rPr>
          <w:rFonts w:eastAsia="Times New Roman" w:cs="Times New Roman"/>
          <w:noProof/>
        </w:rPr>
        <w:t xml:space="preserve"> </w:t>
      </w:r>
      <w:r w:rsidRPr="001026F4">
        <w:rPr>
          <w:rFonts w:eastAsia="Times New Roman" w:cs="Times New Roman"/>
          <w:b/>
          <w:bCs/>
          <w:noProof/>
        </w:rPr>
        <w:t>2010</w:t>
      </w:r>
      <w:r w:rsidRPr="001026F4">
        <w:rPr>
          <w:rFonts w:eastAsia="Times New Roman" w:cs="Times New Roman"/>
          <w:noProof/>
        </w:rPr>
        <w:t>. The physiology of climate change: how potentials for acclimatization and genetic adaptation will determine “winners” and “losers.” J. Exp. Biol. 213: 912–920.</w:t>
      </w:r>
    </w:p>
    <w:p w14:paraId="23CA5326"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Stocker, and V. B. and P. M. M. (eds. . T.F., D. Qin, G.-K. Plattner, M. Tignor, S.K. Allen, J. Boschung, A. Nauels, Y. Xia</w:t>
      </w:r>
      <w:r w:rsidRPr="001026F4">
        <w:rPr>
          <w:rFonts w:eastAsia="Times New Roman" w:cs="Times New Roman"/>
          <w:noProof/>
        </w:rPr>
        <w:t xml:space="preserve">. </w:t>
      </w:r>
      <w:r w:rsidRPr="001026F4">
        <w:rPr>
          <w:rFonts w:eastAsia="Times New Roman" w:cs="Times New Roman"/>
          <w:b/>
          <w:bCs/>
          <w:noProof/>
        </w:rPr>
        <w:t>2015</w:t>
      </w:r>
      <w:r w:rsidRPr="001026F4">
        <w:rPr>
          <w:rFonts w:eastAsia="Times New Roman" w:cs="Times New Roman"/>
          <w:noProof/>
        </w:rPr>
        <w:t>. Summary for Policymakers. Clim. Chang. 2013 - Phys. Sci. Basis. 1542: 1–30.</w:t>
      </w:r>
    </w:p>
    <w:p w14:paraId="23E4B15F" w14:textId="77777777" w:rsidR="001026F4" w:rsidRPr="001026F4" w:rsidRDefault="001026F4" w:rsidP="001026F4">
      <w:pPr>
        <w:autoSpaceDE w:val="0"/>
        <w:autoSpaceDN w:val="0"/>
        <w:adjustRightInd w:val="0"/>
        <w:ind w:left="480" w:hanging="480"/>
        <w:rPr>
          <w:rFonts w:eastAsia="Times New Roman" w:cs="Times New Roman"/>
          <w:noProof/>
        </w:rPr>
      </w:pPr>
      <w:r w:rsidRPr="001026F4">
        <w:rPr>
          <w:rFonts w:eastAsia="Times New Roman" w:cs="Times New Roman"/>
          <w:b/>
          <w:bCs/>
          <w:noProof/>
        </w:rPr>
        <w:t>Visser, M. E.</w:t>
      </w:r>
      <w:r w:rsidRPr="001026F4">
        <w:rPr>
          <w:rFonts w:eastAsia="Times New Roman" w:cs="Times New Roman"/>
          <w:noProof/>
        </w:rPr>
        <w:t xml:space="preserve"> </w:t>
      </w:r>
      <w:r w:rsidRPr="001026F4">
        <w:rPr>
          <w:rFonts w:eastAsia="Times New Roman" w:cs="Times New Roman"/>
          <w:b/>
          <w:bCs/>
          <w:noProof/>
        </w:rPr>
        <w:t>2008</w:t>
      </w:r>
      <w:r w:rsidRPr="001026F4">
        <w:rPr>
          <w:rFonts w:eastAsia="Times New Roman" w:cs="Times New Roman"/>
          <w:noProof/>
        </w:rPr>
        <w:t>. Keeping up with a warming world; assessing the rate of adaptation to climate change. Proc. R. Soc. B Biol. Sci. 275: 649–659.</w:t>
      </w:r>
    </w:p>
    <w:p w14:paraId="177557D1" w14:textId="77777777" w:rsidR="001026F4" w:rsidRPr="001026F4" w:rsidRDefault="001026F4" w:rsidP="001026F4">
      <w:pPr>
        <w:autoSpaceDE w:val="0"/>
        <w:autoSpaceDN w:val="0"/>
        <w:adjustRightInd w:val="0"/>
        <w:ind w:left="480" w:hanging="480"/>
        <w:rPr>
          <w:noProof/>
        </w:rPr>
      </w:pPr>
      <w:r w:rsidRPr="001026F4">
        <w:rPr>
          <w:rFonts w:eastAsia="Times New Roman" w:cs="Times New Roman"/>
          <w:b/>
          <w:bCs/>
          <w:noProof/>
        </w:rPr>
        <w:t>Williams, C. M., H. A. L. Henry, and B. J. Sinclair</w:t>
      </w:r>
      <w:r w:rsidRPr="001026F4">
        <w:rPr>
          <w:rFonts w:eastAsia="Times New Roman" w:cs="Times New Roman"/>
          <w:noProof/>
        </w:rPr>
        <w:t xml:space="preserve">. </w:t>
      </w:r>
      <w:r w:rsidRPr="001026F4">
        <w:rPr>
          <w:rFonts w:eastAsia="Times New Roman" w:cs="Times New Roman"/>
          <w:b/>
          <w:bCs/>
          <w:noProof/>
        </w:rPr>
        <w:t>2015</w:t>
      </w:r>
      <w:r w:rsidRPr="001026F4">
        <w:rPr>
          <w:rFonts w:eastAsia="Times New Roman" w:cs="Times New Roman"/>
          <w:noProof/>
        </w:rPr>
        <w:t xml:space="preserve">. Cold truths: How winter drives </w:t>
      </w:r>
      <w:r w:rsidRPr="001026F4">
        <w:rPr>
          <w:rFonts w:eastAsia="Times New Roman" w:cs="Times New Roman"/>
          <w:noProof/>
        </w:rPr>
        <w:lastRenderedPageBreak/>
        <w:t>responses of terrestrial organisms to climate change. Biol. Rev. 90: 214–235.</w:t>
      </w:r>
    </w:p>
    <w:p w14:paraId="604758E2" w14:textId="12B011D9" w:rsidR="00EC435C" w:rsidRPr="00A71AD2" w:rsidRDefault="00EC435C" w:rsidP="001026F4">
      <w:pPr>
        <w:autoSpaceDE w:val="0"/>
        <w:autoSpaceDN w:val="0"/>
        <w:adjustRightInd w:val="0"/>
        <w:ind w:left="480" w:hanging="480"/>
        <w:rPr>
          <w:rFonts w:asciiTheme="minorHAnsi" w:hAnsiTheme="minorHAnsi"/>
        </w:rPr>
      </w:pPr>
      <w:r>
        <w:rPr>
          <w:rFonts w:asciiTheme="minorHAnsi" w:hAnsiTheme="minorHAnsi"/>
        </w:rPr>
        <w:fldChar w:fldCharType="end"/>
      </w:r>
    </w:p>
    <w:sectPr w:rsidR="00EC435C" w:rsidRPr="00A71AD2"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2E224" w14:textId="77777777" w:rsidR="00163830" w:rsidRDefault="00163830">
      <w:r>
        <w:separator/>
      </w:r>
    </w:p>
  </w:endnote>
  <w:endnote w:type="continuationSeparator" w:id="0">
    <w:p w14:paraId="58A36786" w14:textId="77777777" w:rsidR="00163830" w:rsidRDefault="0016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C2122A">
      <w:rPr>
        <w:noProof/>
      </w:rPr>
      <w:t>5</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DA48A" w14:textId="77777777" w:rsidR="00163830" w:rsidRDefault="00163830">
      <w:r>
        <w:separator/>
      </w:r>
    </w:p>
  </w:footnote>
  <w:footnote w:type="continuationSeparator" w:id="0">
    <w:p w14:paraId="095F7B05" w14:textId="77777777" w:rsidR="00163830" w:rsidRDefault="001638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4287A"/>
    <w:rsid w:val="00052C23"/>
    <w:rsid w:val="00054C1B"/>
    <w:rsid w:val="00072738"/>
    <w:rsid w:val="0007718D"/>
    <w:rsid w:val="00082B2A"/>
    <w:rsid w:val="00091515"/>
    <w:rsid w:val="000A20A7"/>
    <w:rsid w:val="000A6516"/>
    <w:rsid w:val="000D5369"/>
    <w:rsid w:val="000E2FB1"/>
    <w:rsid w:val="000E3D13"/>
    <w:rsid w:val="000E457B"/>
    <w:rsid w:val="000E5425"/>
    <w:rsid w:val="000F4EE0"/>
    <w:rsid w:val="001026F4"/>
    <w:rsid w:val="00113859"/>
    <w:rsid w:val="00114DD2"/>
    <w:rsid w:val="00115456"/>
    <w:rsid w:val="00130C93"/>
    <w:rsid w:val="00132B11"/>
    <w:rsid w:val="0013552C"/>
    <w:rsid w:val="001360EE"/>
    <w:rsid w:val="0014051F"/>
    <w:rsid w:val="0014660C"/>
    <w:rsid w:val="00151F9F"/>
    <w:rsid w:val="00154AF3"/>
    <w:rsid w:val="00156C2C"/>
    <w:rsid w:val="00162A00"/>
    <w:rsid w:val="00163830"/>
    <w:rsid w:val="00171E45"/>
    <w:rsid w:val="00174490"/>
    <w:rsid w:val="001817F2"/>
    <w:rsid w:val="001820A2"/>
    <w:rsid w:val="001866FB"/>
    <w:rsid w:val="00196150"/>
    <w:rsid w:val="001A51A3"/>
    <w:rsid w:val="001E6528"/>
    <w:rsid w:val="001E72D4"/>
    <w:rsid w:val="00202564"/>
    <w:rsid w:val="00216D46"/>
    <w:rsid w:val="0021727C"/>
    <w:rsid w:val="0022421A"/>
    <w:rsid w:val="0023194A"/>
    <w:rsid w:val="00232C67"/>
    <w:rsid w:val="00240B85"/>
    <w:rsid w:val="00246504"/>
    <w:rsid w:val="00252436"/>
    <w:rsid w:val="00266BAF"/>
    <w:rsid w:val="00270A77"/>
    <w:rsid w:val="0028642A"/>
    <w:rsid w:val="002A1291"/>
    <w:rsid w:val="002B57A0"/>
    <w:rsid w:val="002B750A"/>
    <w:rsid w:val="002C07DB"/>
    <w:rsid w:val="002C76C2"/>
    <w:rsid w:val="002D1F95"/>
    <w:rsid w:val="00330DD4"/>
    <w:rsid w:val="00332CB3"/>
    <w:rsid w:val="00333238"/>
    <w:rsid w:val="003337E2"/>
    <w:rsid w:val="0033708A"/>
    <w:rsid w:val="003407DC"/>
    <w:rsid w:val="00342CDE"/>
    <w:rsid w:val="003532C5"/>
    <w:rsid w:val="00362788"/>
    <w:rsid w:val="00372031"/>
    <w:rsid w:val="00372CC2"/>
    <w:rsid w:val="00381365"/>
    <w:rsid w:val="0038307B"/>
    <w:rsid w:val="00384794"/>
    <w:rsid w:val="0039349E"/>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643A"/>
    <w:rsid w:val="00475C5F"/>
    <w:rsid w:val="00491FB1"/>
    <w:rsid w:val="004A0708"/>
    <w:rsid w:val="004B2227"/>
    <w:rsid w:val="004B2FB1"/>
    <w:rsid w:val="004B4351"/>
    <w:rsid w:val="004B68CD"/>
    <w:rsid w:val="004D3295"/>
    <w:rsid w:val="004F31A5"/>
    <w:rsid w:val="00510F24"/>
    <w:rsid w:val="00511203"/>
    <w:rsid w:val="00524F2F"/>
    <w:rsid w:val="00530C18"/>
    <w:rsid w:val="00534F29"/>
    <w:rsid w:val="005364F1"/>
    <w:rsid w:val="00564F1B"/>
    <w:rsid w:val="00581196"/>
    <w:rsid w:val="00582ABC"/>
    <w:rsid w:val="005875A9"/>
    <w:rsid w:val="00592640"/>
    <w:rsid w:val="005B22C5"/>
    <w:rsid w:val="005B2D0C"/>
    <w:rsid w:val="005B4F74"/>
    <w:rsid w:val="005B63E6"/>
    <w:rsid w:val="005C2520"/>
    <w:rsid w:val="005D1DAD"/>
    <w:rsid w:val="005D351F"/>
    <w:rsid w:val="005D636A"/>
    <w:rsid w:val="006064C8"/>
    <w:rsid w:val="006133BC"/>
    <w:rsid w:val="006156FC"/>
    <w:rsid w:val="00620A09"/>
    <w:rsid w:val="00621157"/>
    <w:rsid w:val="006217F4"/>
    <w:rsid w:val="00624018"/>
    <w:rsid w:val="006266BE"/>
    <w:rsid w:val="00675284"/>
    <w:rsid w:val="00675864"/>
    <w:rsid w:val="006776C8"/>
    <w:rsid w:val="00683314"/>
    <w:rsid w:val="00693BC3"/>
    <w:rsid w:val="006A01A3"/>
    <w:rsid w:val="006A1A47"/>
    <w:rsid w:val="006A5606"/>
    <w:rsid w:val="006B7A5A"/>
    <w:rsid w:val="006F34B0"/>
    <w:rsid w:val="006F55DB"/>
    <w:rsid w:val="006F6666"/>
    <w:rsid w:val="00702A40"/>
    <w:rsid w:val="00706A81"/>
    <w:rsid w:val="00755596"/>
    <w:rsid w:val="00761B7A"/>
    <w:rsid w:val="00771A80"/>
    <w:rsid w:val="007A2D48"/>
    <w:rsid w:val="007A4F27"/>
    <w:rsid w:val="007B3BC2"/>
    <w:rsid w:val="007B3C6E"/>
    <w:rsid w:val="007C26A7"/>
    <w:rsid w:val="007E6FEF"/>
    <w:rsid w:val="007F65F3"/>
    <w:rsid w:val="0080022F"/>
    <w:rsid w:val="0080369B"/>
    <w:rsid w:val="00815DF7"/>
    <w:rsid w:val="008330BA"/>
    <w:rsid w:val="0083592E"/>
    <w:rsid w:val="00854F54"/>
    <w:rsid w:val="00863EE3"/>
    <w:rsid w:val="00877DED"/>
    <w:rsid w:val="008924C6"/>
    <w:rsid w:val="008C1EA2"/>
    <w:rsid w:val="008C3730"/>
    <w:rsid w:val="008E6387"/>
    <w:rsid w:val="00901B1F"/>
    <w:rsid w:val="009168C1"/>
    <w:rsid w:val="00922A01"/>
    <w:rsid w:val="0092450F"/>
    <w:rsid w:val="009553B4"/>
    <w:rsid w:val="00975D13"/>
    <w:rsid w:val="00980D20"/>
    <w:rsid w:val="0099266F"/>
    <w:rsid w:val="00997E3B"/>
    <w:rsid w:val="009A4BD4"/>
    <w:rsid w:val="009B0F70"/>
    <w:rsid w:val="009C71D7"/>
    <w:rsid w:val="009D1022"/>
    <w:rsid w:val="009F13B5"/>
    <w:rsid w:val="009F2040"/>
    <w:rsid w:val="00A00D12"/>
    <w:rsid w:val="00A02C15"/>
    <w:rsid w:val="00A0490D"/>
    <w:rsid w:val="00A0741F"/>
    <w:rsid w:val="00A11578"/>
    <w:rsid w:val="00A16F25"/>
    <w:rsid w:val="00A21DFD"/>
    <w:rsid w:val="00A37394"/>
    <w:rsid w:val="00A62318"/>
    <w:rsid w:val="00A63141"/>
    <w:rsid w:val="00A67FEE"/>
    <w:rsid w:val="00A71AD2"/>
    <w:rsid w:val="00A75FAF"/>
    <w:rsid w:val="00A7616D"/>
    <w:rsid w:val="00A77B05"/>
    <w:rsid w:val="00A86763"/>
    <w:rsid w:val="00A87FF4"/>
    <w:rsid w:val="00AB338F"/>
    <w:rsid w:val="00AC48CC"/>
    <w:rsid w:val="00AD356D"/>
    <w:rsid w:val="00AD6167"/>
    <w:rsid w:val="00AE175C"/>
    <w:rsid w:val="00AE42ED"/>
    <w:rsid w:val="00AF5A19"/>
    <w:rsid w:val="00B034A0"/>
    <w:rsid w:val="00B12308"/>
    <w:rsid w:val="00B341BE"/>
    <w:rsid w:val="00B507F8"/>
    <w:rsid w:val="00B51E68"/>
    <w:rsid w:val="00B62625"/>
    <w:rsid w:val="00B64325"/>
    <w:rsid w:val="00B777EC"/>
    <w:rsid w:val="00BA2725"/>
    <w:rsid w:val="00BA6C16"/>
    <w:rsid w:val="00BB7602"/>
    <w:rsid w:val="00BC46F4"/>
    <w:rsid w:val="00BD7BDF"/>
    <w:rsid w:val="00BD7E4A"/>
    <w:rsid w:val="00BF57D7"/>
    <w:rsid w:val="00C2122A"/>
    <w:rsid w:val="00C235F5"/>
    <w:rsid w:val="00C3271A"/>
    <w:rsid w:val="00C62AD3"/>
    <w:rsid w:val="00C62BEA"/>
    <w:rsid w:val="00C663A1"/>
    <w:rsid w:val="00C66EF3"/>
    <w:rsid w:val="00C74A75"/>
    <w:rsid w:val="00C9423D"/>
    <w:rsid w:val="00CA5BAD"/>
    <w:rsid w:val="00CA73B9"/>
    <w:rsid w:val="00CB614C"/>
    <w:rsid w:val="00CD3DD5"/>
    <w:rsid w:val="00CD6AEC"/>
    <w:rsid w:val="00CE4A4D"/>
    <w:rsid w:val="00CE5265"/>
    <w:rsid w:val="00CE7D8E"/>
    <w:rsid w:val="00D44F99"/>
    <w:rsid w:val="00D51C18"/>
    <w:rsid w:val="00D55C3E"/>
    <w:rsid w:val="00D62084"/>
    <w:rsid w:val="00D6287F"/>
    <w:rsid w:val="00D659BC"/>
    <w:rsid w:val="00D9032A"/>
    <w:rsid w:val="00DA05CB"/>
    <w:rsid w:val="00DB007A"/>
    <w:rsid w:val="00DB16BF"/>
    <w:rsid w:val="00DB5559"/>
    <w:rsid w:val="00DC14F7"/>
    <w:rsid w:val="00DC6092"/>
    <w:rsid w:val="00DD0FAB"/>
    <w:rsid w:val="00DE7B20"/>
    <w:rsid w:val="00E124ED"/>
    <w:rsid w:val="00E143D7"/>
    <w:rsid w:val="00E201DF"/>
    <w:rsid w:val="00E44C4C"/>
    <w:rsid w:val="00E50BF2"/>
    <w:rsid w:val="00E51240"/>
    <w:rsid w:val="00E53734"/>
    <w:rsid w:val="00E60724"/>
    <w:rsid w:val="00E807A8"/>
    <w:rsid w:val="00E8165C"/>
    <w:rsid w:val="00E83A78"/>
    <w:rsid w:val="00E854D0"/>
    <w:rsid w:val="00E921E4"/>
    <w:rsid w:val="00E94DB3"/>
    <w:rsid w:val="00E95ACF"/>
    <w:rsid w:val="00E97B76"/>
    <w:rsid w:val="00EA008E"/>
    <w:rsid w:val="00EA5C41"/>
    <w:rsid w:val="00EC0755"/>
    <w:rsid w:val="00EC435C"/>
    <w:rsid w:val="00ED1BB2"/>
    <w:rsid w:val="00F07FC8"/>
    <w:rsid w:val="00F13F4D"/>
    <w:rsid w:val="00F24431"/>
    <w:rsid w:val="00F34B4F"/>
    <w:rsid w:val="00F50562"/>
    <w:rsid w:val="00F51302"/>
    <w:rsid w:val="00F554B1"/>
    <w:rsid w:val="00F70AD2"/>
    <w:rsid w:val="00F721BD"/>
    <w:rsid w:val="00F92137"/>
    <w:rsid w:val="00F948CD"/>
    <w:rsid w:val="00FA6B30"/>
    <w:rsid w:val="00FB72A9"/>
    <w:rsid w:val="00FD1A33"/>
    <w:rsid w:val="00FD2E92"/>
    <w:rsid w:val="00FD4C64"/>
    <w:rsid w:val="00FE1F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A51F71-2924-8345-B279-5901FC16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19134</Words>
  <Characters>109068</Characters>
  <Application>Microsoft Macintosh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2017-05-24T01:26:00Z</dcterms:created>
  <dcterms:modified xsi:type="dcterms:W3CDTF">2017-05-24T01:26:00Z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