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0ECED5" w14:textId="50B09736" w:rsidR="00491FB1" w:rsidRDefault="00DB16BF">
      <w:pPr>
        <w:spacing w:line="480" w:lineRule="auto"/>
        <w:ind w:firstLine="720"/>
        <w:jc w:val="center"/>
        <w:rPr>
          <w:b/>
          <w:sz w:val="48"/>
          <w:szCs w:val="48"/>
        </w:rPr>
      </w:pPr>
      <w:r>
        <w:rPr>
          <w:b/>
          <w:sz w:val="48"/>
          <w:szCs w:val="48"/>
        </w:rPr>
        <w:t>M</w:t>
      </w:r>
      <w:r w:rsidR="007F65F3">
        <w:rPr>
          <w:b/>
          <w:sz w:val="48"/>
          <w:szCs w:val="48"/>
        </w:rPr>
        <w:t>echanisms Mediating the</w:t>
      </w:r>
      <w:r>
        <w:rPr>
          <w:b/>
          <w:sz w:val="48"/>
          <w:szCs w:val="48"/>
        </w:rPr>
        <w:t xml:space="preserve"> </w:t>
      </w:r>
      <w:r w:rsidR="007F65F3">
        <w:rPr>
          <w:b/>
          <w:sz w:val="48"/>
          <w:szCs w:val="48"/>
        </w:rPr>
        <w:t>Descent</w:t>
      </w:r>
      <w:r>
        <w:rPr>
          <w:b/>
          <w:sz w:val="48"/>
          <w:szCs w:val="48"/>
        </w:rPr>
        <w:t xml:space="preserve"> into Diapause: The relationship between stored resources </w:t>
      </w:r>
      <w:r w:rsidR="00DD0FAB">
        <w:rPr>
          <w:b/>
          <w:sz w:val="48"/>
          <w:szCs w:val="48"/>
        </w:rPr>
        <w:t>and diapause timing.</w:t>
      </w:r>
    </w:p>
    <w:p w14:paraId="3D21B033" w14:textId="77777777" w:rsidR="00491FB1" w:rsidRDefault="00491FB1">
      <w:pPr>
        <w:spacing w:line="480" w:lineRule="auto"/>
        <w:ind w:firstLine="720"/>
        <w:jc w:val="center"/>
      </w:pPr>
    </w:p>
    <w:p w14:paraId="507160E1" w14:textId="77777777" w:rsidR="00491FB1" w:rsidRDefault="00491FB1">
      <w:pPr>
        <w:spacing w:line="480" w:lineRule="auto"/>
        <w:ind w:firstLine="720"/>
        <w:jc w:val="center"/>
      </w:pPr>
    </w:p>
    <w:p w14:paraId="289E751A" w14:textId="77777777" w:rsidR="00491FB1" w:rsidRDefault="00491FB1">
      <w:pPr>
        <w:spacing w:line="480" w:lineRule="auto"/>
        <w:ind w:firstLine="720"/>
        <w:jc w:val="center"/>
      </w:pPr>
    </w:p>
    <w:p w14:paraId="61FF265B" w14:textId="77777777" w:rsidR="00491FB1" w:rsidRDefault="00491FB1">
      <w:pPr>
        <w:spacing w:line="480" w:lineRule="auto"/>
        <w:ind w:firstLine="720"/>
        <w:jc w:val="center"/>
      </w:pPr>
    </w:p>
    <w:p w14:paraId="146F6EF1" w14:textId="77777777" w:rsidR="00491FB1" w:rsidRDefault="00491FB1">
      <w:pPr>
        <w:spacing w:line="480" w:lineRule="auto"/>
        <w:ind w:firstLine="720"/>
        <w:jc w:val="center"/>
      </w:pPr>
    </w:p>
    <w:p w14:paraId="11FFCD06" w14:textId="77777777" w:rsidR="00491FB1" w:rsidRDefault="00DB16BF">
      <w:pPr>
        <w:spacing w:line="480" w:lineRule="auto"/>
        <w:ind w:firstLine="720"/>
        <w:jc w:val="center"/>
        <w:rPr>
          <w:b/>
          <w:sz w:val="32"/>
          <w:szCs w:val="32"/>
        </w:rPr>
      </w:pPr>
      <w:r>
        <w:rPr>
          <w:b/>
          <w:sz w:val="32"/>
          <w:szCs w:val="32"/>
        </w:rPr>
        <w:t>James T. Brown</w:t>
      </w:r>
    </w:p>
    <w:p w14:paraId="1D691EDF" w14:textId="77777777" w:rsidR="00491FB1" w:rsidRDefault="00DB16BF">
      <w:pPr>
        <w:spacing w:line="480" w:lineRule="auto"/>
        <w:ind w:firstLine="720"/>
        <w:jc w:val="center"/>
        <w:rPr>
          <w:b/>
          <w:sz w:val="32"/>
          <w:szCs w:val="32"/>
        </w:rPr>
      </w:pPr>
      <w:r>
        <w:rPr>
          <w:b/>
          <w:sz w:val="32"/>
          <w:szCs w:val="32"/>
        </w:rPr>
        <w:t>MS Thesis Proposal</w:t>
      </w:r>
    </w:p>
    <w:p w14:paraId="64D2139F" w14:textId="77777777" w:rsidR="00491FB1" w:rsidRDefault="00DB16BF">
      <w:pPr>
        <w:spacing w:line="480" w:lineRule="auto"/>
        <w:ind w:firstLine="720"/>
        <w:jc w:val="center"/>
        <w:rPr>
          <w:b/>
          <w:sz w:val="32"/>
          <w:szCs w:val="32"/>
        </w:rPr>
      </w:pPr>
      <w:r>
        <w:rPr>
          <w:b/>
          <w:sz w:val="32"/>
          <w:szCs w:val="32"/>
        </w:rPr>
        <w:t>Advisor: Dr. Dan Hahn</w:t>
      </w:r>
    </w:p>
    <w:p w14:paraId="6A47A6F5" w14:textId="77777777" w:rsidR="00491FB1" w:rsidRDefault="00DB16BF">
      <w:pPr>
        <w:spacing w:line="480" w:lineRule="auto"/>
        <w:ind w:firstLine="720"/>
        <w:jc w:val="center"/>
      </w:pPr>
      <w:r>
        <w:rPr>
          <w:b/>
          <w:sz w:val="32"/>
          <w:szCs w:val="32"/>
        </w:rPr>
        <w:t>Committee Member: Dr. John Beck</w:t>
      </w:r>
    </w:p>
    <w:p w14:paraId="59DCE9EE" w14:textId="77777777" w:rsidR="00491FB1" w:rsidRDefault="00491FB1">
      <w:pPr>
        <w:spacing w:line="480" w:lineRule="auto"/>
        <w:ind w:firstLine="720"/>
      </w:pPr>
    </w:p>
    <w:p w14:paraId="0B074301" w14:textId="77777777" w:rsidR="00491FB1" w:rsidRDefault="00491FB1">
      <w:pPr>
        <w:spacing w:line="480" w:lineRule="auto"/>
        <w:ind w:firstLine="720"/>
      </w:pPr>
    </w:p>
    <w:p w14:paraId="30A23449" w14:textId="77777777" w:rsidR="00491FB1" w:rsidRDefault="00491FB1">
      <w:pPr>
        <w:spacing w:line="480" w:lineRule="auto"/>
        <w:ind w:firstLine="720"/>
      </w:pPr>
    </w:p>
    <w:p w14:paraId="59BCB3D4" w14:textId="77777777" w:rsidR="00491FB1" w:rsidRDefault="00491FB1">
      <w:pPr>
        <w:spacing w:line="480" w:lineRule="auto"/>
        <w:ind w:firstLine="720"/>
      </w:pPr>
    </w:p>
    <w:p w14:paraId="374BA7A7" w14:textId="77777777" w:rsidR="00491FB1" w:rsidRDefault="00491FB1">
      <w:pPr>
        <w:spacing w:line="480" w:lineRule="auto"/>
        <w:ind w:firstLine="720"/>
      </w:pPr>
    </w:p>
    <w:p w14:paraId="6C6B9120" w14:textId="77777777" w:rsidR="00491FB1" w:rsidRDefault="00491FB1">
      <w:pPr>
        <w:spacing w:line="480" w:lineRule="auto"/>
      </w:pPr>
    </w:p>
    <w:p w14:paraId="07524CF5" w14:textId="77661AA8" w:rsidR="006064C8" w:rsidRDefault="003B7B43" w:rsidP="003B7B43">
      <w:pPr>
        <w:spacing w:line="480" w:lineRule="auto"/>
      </w:pPr>
      <w:r>
        <w:rPr>
          <w:b/>
        </w:rPr>
        <w:lastRenderedPageBreak/>
        <w:t xml:space="preserve">Changing Climate: </w:t>
      </w:r>
      <w:r w:rsidR="005B22C5">
        <w:t xml:space="preserve">Earth’s climate is warming. </w:t>
      </w:r>
      <w:r w:rsidR="00E124ED">
        <w:t>Annual</w:t>
      </w:r>
      <w:r w:rsidR="00E143D7">
        <w:t xml:space="preserve"> global surface temperatures and re</w:t>
      </w:r>
      <w:r w:rsidR="00E124ED">
        <w:t>gional land surface temperature</w:t>
      </w:r>
      <w:r w:rsidR="005B22C5">
        <w:t xml:space="preserve"> averages </w:t>
      </w:r>
      <w:r w:rsidR="00CA73B9">
        <w:t>categorize</w:t>
      </w:r>
      <w:r w:rsidR="00423B05">
        <w:t xml:space="preserve"> 2016 as the warmest year on</w:t>
      </w:r>
      <w:r w:rsidR="00E124ED">
        <w:t xml:space="preserve"> the record</w:t>
      </w:r>
      <w:r w:rsidR="00761B7A">
        <w:t xml:space="preserve"> </w:t>
      </w:r>
      <w:r w:rsidR="00761B7A">
        <w:fldChar w:fldCharType="begin" w:fldLock="1"/>
      </w:r>
      <w:r w:rsidR="00761B7A">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761B7A">
        <w:fldChar w:fldCharType="separate"/>
      </w:r>
      <w:r w:rsidR="00761B7A" w:rsidRPr="00761B7A">
        <w:rPr>
          <w:noProof/>
        </w:rPr>
        <w:t>(NOAA National Centers for Environmental Information 2017)</w:t>
      </w:r>
      <w:r w:rsidR="00761B7A">
        <w:fldChar w:fldCharType="end"/>
      </w:r>
      <w:r w:rsidR="00423B05">
        <w:t xml:space="preserve">. </w:t>
      </w:r>
      <w:r w:rsidR="00CA73B9">
        <w:t>In 2016, g</w:t>
      </w:r>
      <w:r w:rsidR="00423B05">
        <w:t>lobal surface temperatures</w:t>
      </w:r>
      <w:r w:rsidR="00CA73B9">
        <w:t xml:space="preserve"> </w:t>
      </w:r>
      <w:r w:rsidR="002B750A">
        <w:t>and North American land surface temperature averages were 0.94</w:t>
      </w:r>
      <w:r w:rsidR="009F13B5">
        <w:t>°</w:t>
      </w:r>
      <w:r w:rsidR="002B750A">
        <w:t>C and 1.86</w:t>
      </w:r>
      <w:r w:rsidR="009F13B5">
        <w:t>°</w:t>
      </w:r>
      <w:r w:rsidR="002B750A">
        <w:t>C above the 20</w:t>
      </w:r>
      <w:r w:rsidR="002B750A" w:rsidRPr="002B750A">
        <w:rPr>
          <w:vertAlign w:val="superscript"/>
        </w:rPr>
        <w:t>th</w:t>
      </w:r>
      <w:r w:rsidR="002B750A">
        <w:t xml:space="preserve"> century averages, respectively. </w:t>
      </w:r>
      <w:r w:rsidR="00DC14F7">
        <w:t>Exceedingly c</w:t>
      </w:r>
      <w:r w:rsidR="0028642A">
        <w:t>onservative estimates of climate temperature predict a 1.5</w:t>
      </w:r>
      <w:r w:rsidR="009F13B5">
        <w:t>°</w:t>
      </w:r>
      <w:r w:rsidR="0028642A">
        <w:t>C increase in global surface temperature by the end of the 21</w:t>
      </w:r>
      <w:r w:rsidR="0028642A" w:rsidRPr="00E94DB3">
        <w:rPr>
          <w:vertAlign w:val="superscript"/>
        </w:rPr>
        <w:t>st</w:t>
      </w:r>
      <w:r w:rsidR="0028642A">
        <w:t xml:space="preserve"> century and</w:t>
      </w:r>
      <w:r w:rsidR="00DC14F7">
        <w:t xml:space="preserve"> beyond</w:t>
      </w:r>
      <w:r w:rsidR="00BD7E4A">
        <w:t xml:space="preserve"> </w:t>
      </w:r>
      <w:r w:rsidR="00510F24">
        <w:fldChar w:fldCharType="begin" w:fldLock="1"/>
      </w:r>
      <w:r w:rsidR="00E8165C">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00510F24">
        <w:fldChar w:fldCharType="separate"/>
      </w:r>
      <w:r w:rsidR="00510F24" w:rsidRPr="00510F24">
        <w:rPr>
          <w:noProof/>
        </w:rPr>
        <w:t>(DeLucia et al. 2008, Stocker</w:t>
      </w:r>
      <w:r w:rsidR="00510F24">
        <w:rPr>
          <w:noProof/>
        </w:rPr>
        <w:t xml:space="preserve"> et al. 2015</w:t>
      </w:r>
      <w:r w:rsidR="00510F24" w:rsidRPr="00510F24">
        <w:rPr>
          <w:noProof/>
        </w:rPr>
        <w:t>)</w:t>
      </w:r>
      <w:r w:rsidR="00510F24">
        <w:fldChar w:fldCharType="end"/>
      </w:r>
      <w:r w:rsidR="0007718D">
        <w:t xml:space="preserve">. </w:t>
      </w:r>
      <w:r w:rsidR="00706A81">
        <w:t>Seasonal temperature averages in the United States during 2016 echoed this upward trend and average temperatures for spring, summer, fall, and winter also surpassed 20</w:t>
      </w:r>
      <w:r w:rsidR="00706A81" w:rsidRPr="004A0708">
        <w:rPr>
          <w:vertAlign w:val="superscript"/>
        </w:rPr>
        <w:t>th</w:t>
      </w:r>
      <w:r w:rsidR="00706A81">
        <w:t xml:space="preserve"> century temperature averages </w:t>
      </w:r>
      <w:r w:rsidR="00761B7A">
        <w:fldChar w:fldCharType="begin" w:fldLock="1"/>
      </w:r>
      <w:r w:rsidR="000E5425">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761B7A">
        <w:fldChar w:fldCharType="separate"/>
      </w:r>
      <w:r w:rsidR="00761B7A" w:rsidRPr="00761B7A">
        <w:rPr>
          <w:noProof/>
        </w:rPr>
        <w:t>(NOAA National Centers for Environmental Information 2017)</w:t>
      </w:r>
      <w:r w:rsidR="00761B7A">
        <w:fldChar w:fldCharType="end"/>
      </w:r>
      <w:r w:rsidR="00706A81">
        <w:t xml:space="preserve">. </w:t>
      </w:r>
      <w:r w:rsidR="009D1022">
        <w:t xml:space="preserve">The average increase in seasonal temperatures, specifically winter and spring in temperate regions, decreases the severity of winters and as springs become warmer sooner, the duration of winter decreases </w:t>
      </w:r>
      <w:r w:rsidR="009D1022">
        <w:fldChar w:fldCharType="begin" w:fldLock="1"/>
      </w:r>
      <w:r w:rsidR="006064C8">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9D1022">
        <w:fldChar w:fldCharType="separate"/>
      </w:r>
      <w:r w:rsidR="00F70AD2" w:rsidRPr="00F70AD2">
        <w:rPr>
          <w:noProof/>
        </w:rPr>
        <w:t>(Bradshaw and Holzapfel 2006, Hahn and Denlinger 2011, Scriber 2014)</w:t>
      </w:r>
      <w:r w:rsidR="009D1022">
        <w:fldChar w:fldCharType="end"/>
      </w:r>
      <w:r w:rsidR="009D1022">
        <w:t xml:space="preserve">. Reduced severity and duration of winter </w:t>
      </w:r>
      <w:r w:rsidR="009F13B5">
        <w:t>represents a</w:t>
      </w:r>
      <w:r w:rsidR="009D1022">
        <w:t xml:space="preserve"> net increase </w:t>
      </w:r>
      <w:r w:rsidR="009F13B5">
        <w:t xml:space="preserve">in </w:t>
      </w:r>
      <w:r w:rsidR="009D1022">
        <w:t>favorable conditions for insect pests to thrive. Warm</w:t>
      </w:r>
      <w:r w:rsidR="00F70AD2">
        <w:t>,</w:t>
      </w:r>
      <w:r w:rsidR="009D1022">
        <w:t xml:space="preserve"> shorter winters increases </w:t>
      </w:r>
      <w:r w:rsidR="009F13B5">
        <w:t xml:space="preserve">the </w:t>
      </w:r>
      <w:r w:rsidR="009D1022">
        <w:t>time available for growth, development, and reproduction</w:t>
      </w:r>
      <w:r w:rsidR="009F13B5">
        <w:t xml:space="preserve"> for insect pests</w:t>
      </w:r>
      <w:r w:rsidR="00F70AD2">
        <w:t xml:space="preserve"> </w:t>
      </w:r>
      <w:r w:rsidR="00F70AD2">
        <w:fldChar w:fldCharType="begin" w:fldLock="1"/>
      </w:r>
      <w:r w:rsidR="00BB7602">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"manualFormatting" : "(Bradshaw and Holzapfel 2006,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F70AD2">
        <w:fldChar w:fldCharType="separate"/>
      </w:r>
      <w:r w:rsidR="00F70AD2" w:rsidRPr="00F70AD2">
        <w:rPr>
          <w:noProof/>
        </w:rPr>
        <w:t>(Bradshaw and Holzapfel 2006, Scriber 2014)</w:t>
      </w:r>
      <w:r w:rsidR="00F70AD2">
        <w:fldChar w:fldCharType="end"/>
      </w:r>
      <w:r w:rsidR="009D1022">
        <w:t>.</w:t>
      </w:r>
      <w:r w:rsidR="00F70AD2">
        <w:t xml:space="preserve"> </w:t>
      </w:r>
      <w:r w:rsidR="009D1022">
        <w:t xml:space="preserve"> </w:t>
      </w:r>
      <w:r w:rsidR="00F24C71">
        <w:t xml:space="preserve">In temperate regions, insect growth is </w:t>
      </w:r>
      <w:r w:rsidR="00E50BF2">
        <w:t>synchronize with warmer temperatures</w:t>
      </w:r>
      <w:r w:rsidR="006064C8">
        <w:t xml:space="preserve"> such that increases in </w:t>
      </w:r>
      <w:r w:rsidR="009F13B5">
        <w:t xml:space="preserve">the duration of the warm growing season </w:t>
      </w:r>
      <w:r w:rsidR="006064C8">
        <w:t xml:space="preserve">could increase the </w:t>
      </w:r>
      <w:r w:rsidR="00082B2A">
        <w:t>rate</w:t>
      </w:r>
      <w:r w:rsidR="006064C8">
        <w:t xml:space="preserve"> at which some insects develop and</w:t>
      </w:r>
      <w:r w:rsidR="00997E3B">
        <w:t xml:space="preserve"> </w:t>
      </w:r>
      <w:r w:rsidR="00082B2A">
        <w:t>also the number of pest generations each growing season, and ultimately pest population sizes</w:t>
      </w:r>
      <w:r w:rsidR="006064C8">
        <w:t xml:space="preserve"> </w:t>
      </w:r>
      <w:r w:rsidR="006064C8">
        <w:fldChar w:fldCharType="begin" w:fldLock="1"/>
      </w:r>
      <w:r w:rsidR="00151F9F">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"plainTextFormattedCitation" : "(Bale et al. 2002)", "previouslyFormattedCitation" : "(Bale et al. 2002)" }, "properties" : { "noteIndex" : 0 }, "schema" : "https://github.com/citation-style-language/schema/raw/master/csl-citation.json" }</w:instrText>
      </w:r>
      <w:r w:rsidR="006064C8">
        <w:fldChar w:fldCharType="separate"/>
      </w:r>
      <w:r w:rsidR="006064C8" w:rsidRPr="006064C8">
        <w:rPr>
          <w:noProof/>
        </w:rPr>
        <w:t>(Bale et al. 2002)</w:t>
      </w:r>
      <w:r w:rsidR="006064C8">
        <w:fldChar w:fldCharType="end"/>
      </w:r>
      <w:r w:rsidR="006064C8">
        <w:t xml:space="preserve">. </w:t>
      </w:r>
      <w:r w:rsidR="00997E3B">
        <w:t>Managing the damaging effects caused by</w:t>
      </w:r>
      <w:r w:rsidR="00463E12">
        <w:t xml:space="preserve"> the potential for</w:t>
      </w:r>
      <w:r w:rsidR="00997E3B">
        <w:t xml:space="preserve"> larger insect pest populations requires an integrated approach that includes the use of </w:t>
      </w:r>
      <w:r w:rsidR="007C26A7">
        <w:t>costly insecticides</w:t>
      </w:r>
      <w:r w:rsidR="00E51240">
        <w:t>.</w:t>
      </w:r>
      <w:r w:rsidR="0039349E">
        <w:t xml:space="preserve"> </w:t>
      </w:r>
      <w:r w:rsidR="00403FEA">
        <w:t xml:space="preserve">In the United States, pesticide use is a large part of </w:t>
      </w:r>
      <w:r w:rsidR="00403FEA">
        <w:lastRenderedPageBreak/>
        <w:t>managing insect pest populations. In 2008</w:t>
      </w:r>
      <w:r w:rsidR="00B507F8">
        <w:t>,</w:t>
      </w:r>
      <w:r w:rsidR="00403FEA">
        <w:t xml:space="preserve"> the cost to protect </w:t>
      </w:r>
      <w:r w:rsidR="00922A01">
        <w:t xml:space="preserve">21 major crops from pest insect damage using chemical pesticide application </w:t>
      </w:r>
      <w:r w:rsidR="00403FEA">
        <w:t>reached $12 billion dollars</w:t>
      </w:r>
      <w:r w:rsidR="00922A01">
        <w:t xml:space="preserve"> and 516 million pounds of pesticide </w:t>
      </w:r>
      <w:r w:rsidR="0033708A">
        <w:fldChar w:fldCharType="begin" w:fldLock="1"/>
      </w:r>
      <w:r w:rsidR="00C83A27">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"manualFormatting" : "(Fernandez-Cornejo et al. 2014)", "plainTextFormattedCitation" : "(Fernandez-Cornejo et al. 2014)", "previouslyFormattedCitation" : "(Fernandez-Cornejo et al. 2014)" }, "properties" : { "noteIndex" : 0 }, "schema" : "https://github.com/citation-style-language/schema/raw/master/csl-citation.json" }</w:instrText>
      </w:r>
      <w:r w:rsidR="0033708A">
        <w:fldChar w:fldCharType="separate"/>
      </w:r>
      <w:r w:rsidR="0033708A">
        <w:rPr>
          <w:noProof/>
        </w:rPr>
        <w:t>(Fernandez-Cornejo et al.</w:t>
      </w:r>
      <w:r w:rsidR="002C76C2">
        <w:rPr>
          <w:noProof/>
        </w:rPr>
        <w:t xml:space="preserve"> 2014</w:t>
      </w:r>
      <w:r w:rsidR="0033708A" w:rsidRPr="0033708A">
        <w:rPr>
          <w:noProof/>
        </w:rPr>
        <w:t>)</w:t>
      </w:r>
      <w:r w:rsidR="0033708A">
        <w:fldChar w:fldCharType="end"/>
      </w:r>
      <w:r w:rsidR="00403FEA">
        <w:t>.</w:t>
      </w:r>
      <w:r w:rsidR="00B507F8">
        <w:t xml:space="preserve"> </w:t>
      </w:r>
      <w:r w:rsidR="00E807A8">
        <w:t xml:space="preserve"> </w:t>
      </w:r>
      <w:r w:rsidR="00114DD2">
        <w:t>Pest</w:t>
      </w:r>
      <w:r w:rsidR="00463E12">
        <w:t>icide</w:t>
      </w:r>
      <w:r w:rsidR="00114DD2">
        <w:t xml:space="preserve"> use can manage insect pest populations</w:t>
      </w:r>
      <w:r w:rsidR="00463E12">
        <w:t>,</w:t>
      </w:r>
      <w:r w:rsidR="00114DD2">
        <w:t xml:space="preserve"> but even under strict application regimens insects can significantly reduce crop yields. In the United States starting in 1945 and ending in 2000, crop losses due to insect pest damage has nearly doubled from 7% to 13% and pesticide use has increased 10-fold </w:t>
      </w:r>
      <w:r w:rsidR="00114DD2">
        <w:fldChar w:fldCharType="begin" w:fldLock="1"/>
      </w:r>
      <w:r w:rsidR="00F03898">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00114DD2">
        <w:fldChar w:fldCharType="separate"/>
      </w:r>
      <w:r w:rsidR="006B6DC0" w:rsidRPr="006B6DC0">
        <w:rPr>
          <w:noProof/>
        </w:rPr>
        <w:t>(Pimentel and Burgess 2005)</w:t>
      </w:r>
      <w:r w:rsidR="00114DD2">
        <w:fldChar w:fldCharType="end"/>
      </w:r>
      <w:r w:rsidR="00114DD2">
        <w:t xml:space="preserve">. </w:t>
      </w:r>
      <w:r w:rsidR="00F24C71">
        <w:t>As temperatures rise and spring and winter will contract, insects will respond to these longer growing seasons with</w:t>
      </w:r>
      <w:r w:rsidR="00702A40">
        <w:t xml:space="preserve"> accelerated growth rates,</w:t>
      </w:r>
      <w:r w:rsidR="005364F1">
        <w:t xml:space="preserve"> increased voltinism</w:t>
      </w:r>
      <w:r w:rsidR="00014FCF">
        <w:t>,</w:t>
      </w:r>
      <w:r w:rsidR="005364F1">
        <w:t xml:space="preserve"> </w:t>
      </w:r>
      <w:r w:rsidR="00014FCF">
        <w:t xml:space="preserve">and greater population sizes </w:t>
      </w:r>
      <w:r w:rsidR="005364F1">
        <w:t>managing those pests using chemical pesticides will</w:t>
      </w:r>
      <w:r w:rsidR="00014FCF">
        <w:t xml:space="preserve"> cost more and possibly</w:t>
      </w:r>
      <w:r w:rsidR="005364F1">
        <w:t xml:space="preserve"> decrease crop yields in the future. </w:t>
      </w:r>
      <w:r w:rsidR="00DE717B">
        <w:t>The population of humans</w:t>
      </w:r>
      <w:r w:rsidR="004D3295">
        <w:t xml:space="preserve"> </w:t>
      </w:r>
      <w:r w:rsidR="002A1291">
        <w:t xml:space="preserve">here in the United States </w:t>
      </w:r>
      <w:r w:rsidR="00DE717B">
        <w:t xml:space="preserve">is predicted to exceed </w:t>
      </w:r>
      <w:r w:rsidR="002A1291">
        <w:t xml:space="preserve">450 million by the year 2100 and increases in </w:t>
      </w:r>
      <w:r w:rsidR="0080369B">
        <w:t>number of people to feed</w:t>
      </w:r>
      <w:r w:rsidR="002A1291">
        <w:t xml:space="preserve"> </w:t>
      </w:r>
      <w:r w:rsidR="00DE7B20">
        <w:t>will demand sustained or even increased</w:t>
      </w:r>
      <w:r w:rsidR="002A1291">
        <w:t xml:space="preserve"> </w:t>
      </w:r>
      <w:r w:rsidR="00DE7B20">
        <w:t xml:space="preserve">crop yields </w:t>
      </w:r>
      <w:r w:rsidR="00DE7B20">
        <w:fldChar w:fldCharType="begin" w:fldLock="1"/>
      </w:r>
      <w:r w:rsidR="007A4142">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"(Department of Economic and Social Affairs and Population Division 2015)" }, "properties" : { "noteIndex" : 0 }, "schema" : "https://github.com/citation-style-language/schema/raw/master/csl-citation.json" }</w:instrText>
      </w:r>
      <w:r w:rsidR="00DE7B20">
        <w:fldChar w:fldCharType="separate"/>
      </w:r>
      <w:r w:rsidR="007A4142" w:rsidRPr="007A4142">
        <w:rPr>
          <w:noProof/>
        </w:rPr>
        <w:t>(Melorose et al. 2015)</w:t>
      </w:r>
      <w:r w:rsidR="00DE7B20">
        <w:fldChar w:fldCharType="end"/>
      </w:r>
      <w:r w:rsidR="002A1291">
        <w:t>.</w:t>
      </w:r>
      <w:r w:rsidR="000D54AB">
        <w:t xml:space="preserve"> Phytophagous insect pests</w:t>
      </w:r>
      <w:r w:rsidR="00A00CB8">
        <w:t xml:space="preserve"> currently</w:t>
      </w:r>
      <w:r w:rsidR="000D54AB">
        <w:t xml:space="preserve"> account for nearly </w:t>
      </w:r>
      <w:r w:rsidR="000D54AB" w:rsidRPr="00645C09">
        <w:rPr>
          <w:highlight w:val="yellow"/>
        </w:rPr>
        <w:t>(x-%)</w:t>
      </w:r>
      <w:r w:rsidR="000D54AB">
        <w:t xml:space="preserve"> of crop loss in (</w:t>
      </w:r>
      <w:r w:rsidR="000D54AB" w:rsidRPr="00645C09">
        <w:rPr>
          <w:highlight w:val="yellow"/>
        </w:rPr>
        <w:t>year</w:t>
      </w:r>
      <w:r w:rsidR="000D54AB">
        <w:t>)</w:t>
      </w:r>
      <w:r w:rsidR="00A00CB8">
        <w:t xml:space="preserve"> but as temperatures rise, the cost of managing these pests will increase.</w:t>
      </w:r>
      <w:r w:rsidR="005364F1">
        <w:t xml:space="preserve"> </w:t>
      </w:r>
      <w:r w:rsidR="00266BAF">
        <w:t>Investigating</w:t>
      </w:r>
      <w:r w:rsidR="005364F1">
        <w:t xml:space="preserve"> the </w:t>
      </w:r>
      <w:r w:rsidR="0080369B">
        <w:t>response</w:t>
      </w:r>
      <w:r w:rsidR="00DE7B20">
        <w:t xml:space="preserve"> </w:t>
      </w:r>
      <w:r w:rsidR="0080369B">
        <w:t>of</w:t>
      </w:r>
      <w:r w:rsidR="00DE7B20">
        <w:t xml:space="preserve"> insect pest</w:t>
      </w:r>
      <w:r w:rsidR="005364F1">
        <w:t xml:space="preserve"> populations </w:t>
      </w:r>
      <w:r w:rsidR="0080369B">
        <w:t xml:space="preserve">to increases in temperature </w:t>
      </w:r>
      <w:r w:rsidR="00A00CB8">
        <w:t xml:space="preserve">offers the opportunity to better understand the effects of climate change on species evolution but also is </w:t>
      </w:r>
      <w:r w:rsidR="0080369B">
        <w:t>directly</w:t>
      </w:r>
      <w:r w:rsidR="00A00CB8">
        <w:t xml:space="preserve"> consequential to mitigating the effects of </w:t>
      </w:r>
      <w:r w:rsidR="0013552C">
        <w:t>insect populations</w:t>
      </w:r>
      <w:r w:rsidR="00266BAF">
        <w:t xml:space="preserve"> </w:t>
      </w:r>
      <w:r w:rsidR="00A00CB8">
        <w:t xml:space="preserve">to </w:t>
      </w:r>
      <w:r w:rsidR="00266BAF">
        <w:t>food security.</w:t>
      </w:r>
    </w:p>
    <w:p w14:paraId="500F5777" w14:textId="77777777" w:rsidR="00266BAF" w:rsidRDefault="00266BAF" w:rsidP="00266BAF">
      <w:pPr>
        <w:spacing w:line="480" w:lineRule="auto"/>
        <w:rPr>
          <w:b/>
        </w:rPr>
      </w:pPr>
    </w:p>
    <w:p w14:paraId="504A6A0A" w14:textId="41BCEF19" w:rsidR="006F1DC5" w:rsidRDefault="00AD356D" w:rsidP="00DF3175">
      <w:pPr>
        <w:spacing w:line="480" w:lineRule="auto"/>
      </w:pPr>
      <w:r>
        <w:rPr>
          <w:b/>
        </w:rPr>
        <w:t xml:space="preserve">Response to Climate Change: </w:t>
      </w:r>
      <w:r w:rsidR="00EB19DA">
        <w:t>As temperatures continue rise, there will be some insects that lose and other insects that win. I</w:t>
      </w:r>
      <w:r w:rsidR="0013552C">
        <w:t xml:space="preserve">nsects </w:t>
      </w:r>
      <w:r w:rsidR="00EB19DA">
        <w:t>which</w:t>
      </w:r>
      <w:r w:rsidR="00D9225F">
        <w:t xml:space="preserve"> </w:t>
      </w:r>
      <w:r w:rsidR="00EB19DA">
        <w:t>experience a decrease in fitness will</w:t>
      </w:r>
      <w:r w:rsidR="0013552C">
        <w:t xml:space="preserve"> “lose” </w:t>
      </w:r>
      <w:r w:rsidR="000206DE">
        <w:t xml:space="preserve">while other insects </w:t>
      </w:r>
      <w:r w:rsidR="00EB19DA">
        <w:t>that</w:t>
      </w:r>
      <w:r w:rsidR="000206DE">
        <w:t xml:space="preserve"> </w:t>
      </w:r>
      <w:r w:rsidR="00EB19DA">
        <w:t xml:space="preserve">experience an increase in fitness will </w:t>
      </w:r>
      <w:r w:rsidR="0013552C">
        <w:t>“win”</w:t>
      </w:r>
      <w:r w:rsidR="00EB19DA">
        <w:t>.</w:t>
      </w:r>
      <w:r w:rsidR="001859AC">
        <w:t xml:space="preserve"> The distinction between losers </w:t>
      </w:r>
      <w:r w:rsidR="001859AC">
        <w:lastRenderedPageBreak/>
        <w:t>and winners can be expressed as a function of fitness in the context of higher temperatures.</w:t>
      </w:r>
      <w:r w:rsidR="00EB19DA">
        <w:t xml:space="preserve"> </w:t>
      </w:r>
      <w:r w:rsidR="00C74A75">
        <w:t xml:space="preserve">The rate at which temperatures are rising </w:t>
      </w:r>
      <w:r w:rsidR="009553B4">
        <w:t xml:space="preserve">presents a biological hurdle for </w:t>
      </w:r>
      <w:r w:rsidR="00C74A75">
        <w:t>those insects</w:t>
      </w:r>
      <w:r w:rsidR="009553B4">
        <w:t xml:space="preserve"> currently</w:t>
      </w:r>
      <w:r w:rsidR="00C74A75">
        <w:t xml:space="preserve"> existing </w:t>
      </w:r>
      <w:r w:rsidR="00FE2040">
        <w:t>on the margin</w:t>
      </w:r>
      <w:r w:rsidR="009553B4">
        <w:t xml:space="preserve"> of their behavioral</w:t>
      </w:r>
      <w:r w:rsidR="00C74A75">
        <w:t xml:space="preserve">, ecological, or physiological </w:t>
      </w:r>
      <w:r w:rsidR="00FE2040">
        <w:t>plasticity.</w:t>
      </w:r>
      <w:r w:rsidR="00154AF3">
        <w:t xml:space="preserve"> </w:t>
      </w:r>
      <w:r w:rsidR="00BA2725">
        <w:t>Generally,</w:t>
      </w:r>
      <w:r w:rsidR="00384794">
        <w:t xml:space="preserve"> e</w:t>
      </w:r>
      <w:r w:rsidR="009F2040">
        <w:t xml:space="preserve">xtinction events are likely to </w:t>
      </w:r>
      <w:r w:rsidR="00976082">
        <w:t>affect</w:t>
      </w:r>
      <w:r w:rsidR="00021E0D">
        <w:t xml:space="preserve"> </w:t>
      </w:r>
      <w:r w:rsidR="009F2040">
        <w:t xml:space="preserve">insect </w:t>
      </w:r>
      <w:r w:rsidR="00384794">
        <w:t xml:space="preserve">populations </w:t>
      </w:r>
      <w:r w:rsidR="009F2040">
        <w:t xml:space="preserve">that evolved </w:t>
      </w:r>
      <w:r w:rsidR="00BA2725">
        <w:t>in the context of</w:t>
      </w:r>
      <w:r w:rsidR="009F2040">
        <w:t xml:space="preserve"> highly predictable environments, like the ecological pred</w:t>
      </w:r>
      <w:r w:rsidR="00174490">
        <w:t xml:space="preserve">ictability experienced in the </w:t>
      </w:r>
      <w:r w:rsidR="00976082">
        <w:t>Arctic</w:t>
      </w:r>
      <w:r w:rsidR="00DB5559">
        <w:t xml:space="preserve"> </w:t>
      </w:r>
      <w:r w:rsidR="00DB5559">
        <w:fldChar w:fldCharType="begin" w:fldLock="1"/>
      </w:r>
      <w:r w:rsidR="001866FB">
        <w:instrText>ADDIN CSL_CITATION { "citationItems" : [ { "id" : "ITEM-1",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"ITEM-1",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"ITEM-2",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"ITEM-2",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Scriber 2014)", "plainTextFormattedCitation" : "(Parmesan et al. 1999, Scriber 2014)", "previouslyFormattedCitation" : "(Parmesan et al. 1999, Scriber 2014)" }, "properties" : { "noteIndex" : 0 }, "schema" : "https://github.com/citation-style-language/schema/raw/master/csl-citation.json" }</w:instrText>
      </w:r>
      <w:r w:rsidR="00DB5559">
        <w:fldChar w:fldCharType="separate"/>
      </w:r>
      <w:r w:rsidR="00DB5559" w:rsidRPr="00DB5559">
        <w:rPr>
          <w:noProof/>
        </w:rPr>
        <w:t>(Parmesan et al. 1999, Scriber 2014)</w:t>
      </w:r>
      <w:r w:rsidR="00DB5559">
        <w:fldChar w:fldCharType="end"/>
      </w:r>
      <w:r w:rsidR="009F2040">
        <w:t>.</w:t>
      </w:r>
      <w:r w:rsidR="005A0DC0">
        <w:t xml:space="preserve"> </w:t>
      </w:r>
      <w:r w:rsidR="00E467F8">
        <w:t>Extrapolated t</w:t>
      </w:r>
      <w:r w:rsidR="00B630FA">
        <w:t>emperature data</w:t>
      </w:r>
      <w:r w:rsidR="00E467F8">
        <w:t>,</w:t>
      </w:r>
      <w:r w:rsidR="00B630FA">
        <w:t xml:space="preserve"> compiled from</w:t>
      </w:r>
      <w:r w:rsidR="00E467F8">
        <w:t xml:space="preserve"> ice cores and other proximate sources</w:t>
      </w:r>
      <w:r w:rsidR="006A182B">
        <w:t xml:space="preserve"> of the past 400 years</w:t>
      </w:r>
      <w:r w:rsidR="00E467F8">
        <w:t>,</w:t>
      </w:r>
      <w:r w:rsidR="00B630FA">
        <w:t xml:space="preserve"> </w:t>
      </w:r>
      <w:r w:rsidR="006A182B">
        <w:t xml:space="preserve">indicate </w:t>
      </w:r>
      <w:r w:rsidR="00B630FA">
        <w:t xml:space="preserve">Arctic temperatures </w:t>
      </w:r>
      <w:r w:rsidR="00390530">
        <w:t>prior to</w:t>
      </w:r>
      <w:r w:rsidR="005259F9">
        <w:t xml:space="preserve"> </w:t>
      </w:r>
      <w:r w:rsidR="00E467F8">
        <w:t>1840</w:t>
      </w:r>
      <w:r w:rsidR="00EC744B">
        <w:t xml:space="preserve"> </w:t>
      </w:r>
      <w:r w:rsidR="00E467F8">
        <w:t xml:space="preserve">were anomalously </w:t>
      </w:r>
      <w:r w:rsidR="007A4142">
        <w:t>cold and post-1840</w:t>
      </w:r>
      <w:r w:rsidR="00FA3A7C">
        <w:t xml:space="preserve"> to 20</w:t>
      </w:r>
      <w:r w:rsidR="00FA3A7C" w:rsidRPr="00FA3A7C">
        <w:rPr>
          <w:vertAlign w:val="superscript"/>
        </w:rPr>
        <w:t>th</w:t>
      </w:r>
      <w:r w:rsidR="00FA3A7C">
        <w:t xml:space="preserve"> century</w:t>
      </w:r>
      <w:r w:rsidR="007A4142">
        <w:t>,</w:t>
      </w:r>
      <w:r w:rsidR="00E467F8">
        <w:t xml:space="preserve"> </w:t>
      </w:r>
      <w:r w:rsidR="006966E8">
        <w:t xml:space="preserve">warmed </w:t>
      </w:r>
      <w:r w:rsidR="00FA3A7C">
        <w:t>by</w:t>
      </w:r>
      <w:r w:rsidR="007A4142">
        <w:t xml:space="preserve"> an </w:t>
      </w:r>
      <w:r w:rsidR="00E467F8">
        <w:t>average of 1.5°C</w:t>
      </w:r>
      <w:r w:rsidR="006966E8">
        <w:t xml:space="preserve"> </w:t>
      </w:r>
      <w:r w:rsidR="00E467F8">
        <w:t xml:space="preserve"> </w:t>
      </w:r>
      <w:r w:rsidR="007A4142">
        <w:t xml:space="preserve">across the arctic </w:t>
      </w:r>
      <w:r w:rsidR="007A4142">
        <w:fldChar w:fldCharType="begin" w:fldLock="1"/>
      </w:r>
      <w:r w:rsidR="007A4142">
        <w:instrText>ADDIN CSL_CITATION { "citationItems" : [ { "id" : "ITEM-1", "itemData" : { "DOI" : "10.1126/science.278.5341.1251", "ISBN" : "0036-8075", "ISSN" : "00368075", "PMID" : "19339971", "abstract" : "A compilation of paleoclimate records from lake sediments, trees, glaciers, and marine sediments provides a view of circum-Arctic environmental variability over the last 400 years. From 1840 to the mid-20th century, the Arctic warmed to the highest temperatures in four centuries. This warming ended the Little Ice Age in the Arctic and has caused retreats of glaciers, melting of permafrost and sea ice, and alteration of terrestrial and lake ecosystems. Although warming, particularly after 1920, was likely caused by in- creases in atmospheric trace gases, the initiation of the warming in the mid-19th century suggests that increased solar irradiance, decreased volcanic activity, and feedbacks internal to the climate system played roles.", "author" : [ { "dropping-particle" : "", "family" : "Overpeck", "given" : "J", "non-dropping-particle" : "", "parse-names" : false, "suffix" : "" } ], "container-title" : "Science", "id" : "ITEM-1", "issue" : "5341", "issued" : { "date-parts" : [ [ "1997" ] ] }, "page" : "1251-1256", "title" : "Arctic Environmental Change of the Last Four Centuries", "type" : "article-journal", "volume" : "278" }, "uris" : [ "http://www.mendeley.com/documents/?uuid=e58a2c1f-2a03-3403-937a-be6639e70f50" ] } ], "mendeley" : { "formattedCitation" : "(Overpeck 1997)", "plainTextFormattedCitation" : "(Overpeck 1997)" }, "properties" : { "noteIndex" : 0 }, "schema" : "https://github.com/citation-style-language/schema/raw/master/csl-citation.json" }</w:instrText>
      </w:r>
      <w:r w:rsidR="007A4142">
        <w:fldChar w:fldCharType="separate"/>
      </w:r>
      <w:r w:rsidR="007A4142" w:rsidRPr="007A4142">
        <w:rPr>
          <w:noProof/>
        </w:rPr>
        <w:t>(Overpeck 1997)</w:t>
      </w:r>
      <w:r w:rsidR="007A4142">
        <w:fldChar w:fldCharType="end"/>
      </w:r>
      <w:r w:rsidR="00E467F8">
        <w:t xml:space="preserve">. </w:t>
      </w:r>
      <w:r w:rsidR="00976082">
        <w:t>Currently, t</w:t>
      </w:r>
      <w:r w:rsidR="006156FC">
        <w:t xml:space="preserve">emperatures </w:t>
      </w:r>
      <w:r w:rsidR="00CD6AEC">
        <w:t>in the Arctic</w:t>
      </w:r>
      <w:r w:rsidR="006156FC">
        <w:t xml:space="preserve"> </w:t>
      </w:r>
      <w:r w:rsidR="00976082">
        <w:t xml:space="preserve">are rising at a rate </w:t>
      </w:r>
      <w:r w:rsidR="006156FC">
        <w:t>nearly double that of temperate regio</w:t>
      </w:r>
      <w:r w:rsidR="00835C3B">
        <w:t xml:space="preserve">ns </w:t>
      </w:r>
      <w:r w:rsidR="00976082">
        <w:t>and t</w:t>
      </w:r>
      <w:r w:rsidR="00CD6AEC">
        <w:t>he confluence of</w:t>
      </w:r>
      <w:r w:rsidR="00BE4A85">
        <w:t xml:space="preserve"> these</w:t>
      </w:r>
      <w:r w:rsidR="00CD6AEC">
        <w:t xml:space="preserve"> increasing temperatures </w:t>
      </w:r>
      <w:r w:rsidR="00C13F30">
        <w:t>with</w:t>
      </w:r>
      <w:r w:rsidR="00CD6AEC">
        <w:t xml:space="preserve"> other abiotic factors </w:t>
      </w:r>
      <w:r w:rsidR="00976082">
        <w:t>are</w:t>
      </w:r>
      <w:r w:rsidR="00CD6AEC">
        <w:t xml:space="preserve"> predicted to have a</w:t>
      </w:r>
      <w:r w:rsidR="00021E0D">
        <w:t xml:space="preserve"> more</w:t>
      </w:r>
      <w:r w:rsidR="00CD6AEC">
        <w:t xml:space="preserve"> </w:t>
      </w:r>
      <w:r w:rsidR="008F5EA6">
        <w:t>dramatic</w:t>
      </w:r>
      <w:r w:rsidR="00CD6AEC">
        <w:t xml:space="preserve"> effect on</w:t>
      </w:r>
      <w:r w:rsidR="00485EBF">
        <w:t xml:space="preserve"> organisms that thrive in the</w:t>
      </w:r>
      <w:r w:rsidR="00CD6AEC">
        <w:t xml:space="preserve"> Arctic </w:t>
      </w:r>
      <w:r w:rsidR="00CD6AEC">
        <w:fldChar w:fldCharType="begin" w:fldLock="1"/>
      </w:r>
      <w:r w:rsidR="007A4142">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 : "12", "issued" : { "date-parts" : [ [ "2007" ] ] }, "title" : "Rapid advancement of spring in the High Arctic", "type" : "article", "volume" : "17"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rsidR="00CD6AEC">
        <w:fldChar w:fldCharType="separate"/>
      </w:r>
      <w:r w:rsidR="00CD6AEC" w:rsidRPr="00CD6AEC">
        <w:rPr>
          <w:noProof/>
        </w:rPr>
        <w:t>(Høye et al. 2007)</w:t>
      </w:r>
      <w:r w:rsidR="00CD6AEC">
        <w:fldChar w:fldCharType="end"/>
      </w:r>
      <w:r w:rsidR="00CD6AEC">
        <w:t>.</w:t>
      </w:r>
      <w:r w:rsidR="006156FC">
        <w:t xml:space="preserve"> </w:t>
      </w:r>
      <w:r w:rsidR="00CD6AEC">
        <w:t>In the Arctic,</w:t>
      </w:r>
      <w:r w:rsidR="00485EBF">
        <w:t xml:space="preserve"> snowmelt provides flora and fauna with biologically available water and </w:t>
      </w:r>
      <w:r w:rsidR="00976082">
        <w:t xml:space="preserve">marks </w:t>
      </w:r>
      <w:r w:rsidR="00485EBF">
        <w:t>the beginning of the growing season.</w:t>
      </w:r>
      <w:r w:rsidR="00CD6AEC" w:rsidRPr="00CD6AEC">
        <w:t xml:space="preserve"> </w:t>
      </w:r>
      <w:r w:rsidR="00485EBF">
        <w:t xml:space="preserve">Like </w:t>
      </w:r>
      <w:r w:rsidR="00C13F30">
        <w:t xml:space="preserve">the other plants and animals in the Arctic, arthropods rely on flowing water for their very survival and, as such, are sensitive to the changes in their environment that signal the presence of flowing water. During the years between 1996 and 2005, the date of snowmelt has shifted by an average of 14.6 days. Tracking the shift in snowmelt date, 12 arthropod taxa have also shifted their date of emergence by 14.5 days during the same period </w:t>
      </w:r>
      <w:r w:rsidR="00C13F30">
        <w:fldChar w:fldCharType="begin" w:fldLock="1"/>
      </w:r>
      <w:r w:rsidR="007A4142">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 : "12", "issued" : { "date-parts" : [ [ "2007" ] ] }, "title" : "Rapid advancement of spring in the High Arctic", "type" : "article", "volume" : "17"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rsidR="00C13F30">
        <w:fldChar w:fldCharType="separate"/>
      </w:r>
      <w:r w:rsidR="00C13F30" w:rsidRPr="00975D13">
        <w:rPr>
          <w:noProof/>
        </w:rPr>
        <w:t>(Høye et al. 2007)</w:t>
      </w:r>
      <w:r w:rsidR="00C13F30">
        <w:fldChar w:fldCharType="end"/>
      </w:r>
      <w:r w:rsidR="00C13F30">
        <w:t xml:space="preserve">. </w:t>
      </w:r>
      <w:r w:rsidR="00CD6AEC">
        <w:t>As</w:t>
      </w:r>
      <w:r w:rsidR="00BC7FB3">
        <w:t xml:space="preserve"> Arctic</w:t>
      </w:r>
      <w:r w:rsidR="00CD6AEC">
        <w:t xml:space="preserve"> temperatures warm,</w:t>
      </w:r>
      <w:r w:rsidR="00F15A03">
        <w:t xml:space="preserve"> snowmelt date will shift earlier into spring these arthropods will emerge earlier. This shift in phenology is likely unsustainable and will push these arthropods to the limits of their phenotypic and genotypic plasticity </w:t>
      </w:r>
      <w:r w:rsidR="00F15A03">
        <w:fldChar w:fldCharType="begin" w:fldLock="1"/>
      </w:r>
      <w:r w:rsidR="007A4142">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 : "12", "issued" : { "date-parts" : [ [ "2007" ] ] }, "title" : "Rapid advancement of spring in the High Arctic", "type" : "article", "volume" : "17"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rsidR="00F15A03">
        <w:fldChar w:fldCharType="separate"/>
      </w:r>
      <w:r w:rsidR="00F15A03" w:rsidRPr="00975D13">
        <w:rPr>
          <w:noProof/>
        </w:rPr>
        <w:t>(Høye et al. 2007)</w:t>
      </w:r>
      <w:r w:rsidR="00F15A03">
        <w:fldChar w:fldCharType="end"/>
      </w:r>
      <w:r w:rsidR="00F15A03">
        <w:t xml:space="preserve">. Eventually, these arthropods will fall out </w:t>
      </w:r>
      <w:r w:rsidR="00F15A03">
        <w:lastRenderedPageBreak/>
        <w:t xml:space="preserve">of synchrony with their environment, </w:t>
      </w:r>
      <w:r w:rsidR="00BC7FB3">
        <w:t xml:space="preserve">lose </w:t>
      </w:r>
      <w:r w:rsidR="003A6FFA">
        <w:t xml:space="preserve">access </w:t>
      </w:r>
      <w:r w:rsidR="00F15A03">
        <w:t xml:space="preserve">to </w:t>
      </w:r>
      <w:r w:rsidR="003A6FFA">
        <w:t>resources</w:t>
      </w:r>
      <w:r w:rsidR="00F15A03">
        <w:t xml:space="preserve"> and </w:t>
      </w:r>
      <w:r w:rsidR="00AB338F">
        <w:t xml:space="preserve">become </w:t>
      </w:r>
      <w:r w:rsidR="000D5369">
        <w:t>extinct</w:t>
      </w:r>
      <w:r w:rsidR="006133BC">
        <w:t xml:space="preserve">. </w:t>
      </w:r>
      <w:r w:rsidR="00FE2040">
        <w:t>The traits specific to the biotic and abiotic environment these marginal insects encounter, have evolved over thousands of years and as such these organisms have limited phenotypic plasticity</w:t>
      </w:r>
      <w:r w:rsidR="00FE2040" w:rsidRPr="00FE2040">
        <w:t xml:space="preserve">. The </w:t>
      </w:r>
      <w:r w:rsidR="00FD3C38">
        <w:t>average</w:t>
      </w:r>
      <w:r w:rsidR="00FE2040" w:rsidRPr="00FE2040">
        <w:t xml:space="preserve"> fitness of these “losers”  will decline as their environment becomes more variable, populations will decrease and if temperatures continue to rise, those losers will become extinct </w:t>
      </w:r>
      <w:r w:rsidR="00FE2040" w:rsidRPr="00FE2040">
        <w:fldChar w:fldCharType="begin" w:fldLock="1"/>
      </w:r>
      <w:r w:rsidR="00FE2040" w:rsidRPr="00FE2040">
        <w:instrText>ADDIN CSL_CITATION { "citationItems" : [ { "id" : "ITEM-1", "itemData" : { "DOI" : "10.1111/brv.12105", "ISBN" : "1464-7931", "ISSN" : "1469185X", "PMID" : "24720862", "abstract" : "Winter is a key driver of individual performance, community composition, and ecological interactions in terrestrial habitats. Although climate change research tends to focus on performance in the growing season, climate change is also modifying winter conditions rapidly. Changes to winter temperatures, the variability of winter conditions, and winter snow cover can interact to induce cold injury, alter energy and water balance, advance or retard phenology, and modify community interactions. Species vary in their susceptibility to these winter drivers, hampering efforts to predict biological responses to climate change. Existing frameworks for predicting the impacts of climate change do not incorporate the complexity of organismal responses to winter. Here, we synthesise organismal responses to winter climate change, and use this synthesis to build a framework to predict exposure and sensitivity to negative impacts. This framework can be used to estimate the vulnerability of species to winter climate change. We describe the importance of relationships between winter conditions and performance during the growing season in determining fitness, and demonstrate how summer and winter processes are linked. Incorporating winter into current models will require concerted effort from theoreticians and empiricists, and the expansion of current growing-season studies to incorporate winter.", "author" : [ { "dropping-particle" : "", "family" : "Williams", "given" : "Caroline M.", "non-dropping-particle" : "", "parse-names" : false, "suffix" : "" }, { "dropping-particle" : "", "family" : "Henry", "given" : "Hugh A L", "non-dropping-particle" : "", "parse-names" : false, "suffix" : "" }, { "dropping-particle" : "", "family" : "Sinclair", "given" : "Brent J.", "non-dropping-particle" : "", "parse-names" : false, "suffix" : "" } ], "container-title" : "Biological Reviews", "id" : "ITEM-1", "issue" : "1", "issued" : { "date-parts" : [ [ "2015" ] ] }, "page" : "214-235", "title" : "Cold truths: How winter drives responses of terrestrial organisms to climate change", "type" : "article-journal", "volume" : "90" }, "uris" : [ "http://www.mendeley.com/documents/?uuid=51fe9439-eb22-46f7-9bf1-b6b0d20d5abb" ] }, { "id" : "ITEM-2", "itemData" : { "DOI" : "10.1111/j.1365-294X.2007.03509.x", "ISBN" : "1365-294X", "ISSN" : "09621083", "PMID" : "17850269", "abstract" : "The primary nonbiological result of recent rapid climate change is warming winter temperatures, particularly at northern latitudes, leading to longer growing seasons and new seasonal exigencies and opportunities. Biological responses reflect selection due to the earlier arrival of spring, the later arrival of fall, or the increasing length of the growing season. Animals from rotifers to rodents use the high reliability of day length to time the seasonal transitions in their life histories that are crucial to fitness in temperate and polar environments: when to begin developing in the spring, when to reproduce, when to enter dormancy or when to migrate, thereby exploiting favourable temperatures and avoiding unfavourable temperatures. In documented cases of evolutionary (genetic) response to recent, rapid climate change, the role of day length (photoperiodism) ranges from causal to inhibitory; in no case has there been demonstrated a genetic shift in thermal optima or thermal tolerance. More effort should be made to explore the role of photoperiodism in genetic responses to climate change and to rule out the role of photoperiod in the timing of seasonal life histories before thermal adaptation is assumed to be the major evolutionary response to climate change.", "author" : [ { "dropping-particle" : "", "family" : "Bradshaw", "given" : "W. E.", "non-dropping-particle" : "", "parse-names" : false, "suffix" : "" }, { "dropping-particle" : "", "family" : "Holzapfel", "given" : "C. M.", "non-dropping-particle" : "", "parse-names" : false, "suffix" : "" } ], "container-title" : "Molecular Ecology", "id" : "ITEM-2", "issue" : "1", "issued" : { "date-parts" : [ [ "2008" ] ] }, "page" : "157-166", "title" : "Genetic response to rapid climate change: It's seasonal timing that matters", "type" : "article-journal", "volume" : "17" }, "uris" : [ "http://www.mendeley.com/documents/?uuid=689f1ef1-3206-44dd-becf-2f2b6d819538" ] } ], "mendeley" : { "formattedCitation" : "(Bradshaw and Holzapfel 2008, Williams et al. 2015)", "plainTextFormattedCitation" : "(Bradshaw and Holzapfel 2008, Williams et al. 2015)", "previouslyFormattedCitation" : "(Bradshaw and Holzapfel 2008, Williams et al. 2015)" }, "properties" : { "noteIndex" : 0 }, "schema" : "https://github.com/citation-style-language/schema/raw/master/csl-citation.json" }</w:instrText>
      </w:r>
      <w:r w:rsidR="00FE2040" w:rsidRPr="00FE2040">
        <w:fldChar w:fldCharType="separate"/>
      </w:r>
      <w:r w:rsidR="00FE2040" w:rsidRPr="00FE2040">
        <w:rPr>
          <w:noProof/>
        </w:rPr>
        <w:t>(Bradshaw and Holzapfel 2008, Williams et al. 2015)</w:t>
      </w:r>
      <w:r w:rsidR="00FE2040" w:rsidRPr="00FE2040">
        <w:fldChar w:fldCharType="end"/>
      </w:r>
    </w:p>
    <w:p w14:paraId="712CA8C0" w14:textId="3F203D82" w:rsidR="006F1DC5" w:rsidRDefault="00F07FC8" w:rsidP="006F1DC5">
      <w:pPr>
        <w:spacing w:line="480" w:lineRule="auto"/>
        <w:ind w:firstLine="720"/>
      </w:pPr>
      <w:r>
        <w:t xml:space="preserve">As </w:t>
      </w:r>
      <w:r w:rsidR="001E72D4">
        <w:t>favorabl</w:t>
      </w:r>
      <w:r>
        <w:t>e habitat for temperate insects shift</w:t>
      </w:r>
      <w:r w:rsidR="003A6FFA">
        <w:t>s fa</w:t>
      </w:r>
      <w:r w:rsidR="00DD0FAB">
        <w:t>r</w:t>
      </w:r>
      <w:r>
        <w:t xml:space="preserve">ther north, </w:t>
      </w:r>
      <w:r w:rsidR="001866FB">
        <w:t xml:space="preserve">the spatial distribution of </w:t>
      </w:r>
      <w:r>
        <w:t xml:space="preserve">some insects </w:t>
      </w:r>
      <w:r w:rsidR="0032630E">
        <w:t>could</w:t>
      </w:r>
      <w:r>
        <w:t xml:space="preserve"> </w:t>
      </w:r>
      <w:r w:rsidR="001866FB">
        <w:t xml:space="preserve">track those </w:t>
      </w:r>
      <w:r w:rsidR="007F206C">
        <w:t>favorable</w:t>
      </w:r>
      <w:r w:rsidR="001866FB">
        <w:t xml:space="preserve"> temperatures</w:t>
      </w:r>
      <w:r w:rsidR="00871C73">
        <w:t>, shifting their range northward</w:t>
      </w:r>
      <w:r w:rsidR="0032630E">
        <w:t>,</w:t>
      </w:r>
      <w:r w:rsidR="0032630E" w:rsidRPr="0032630E">
        <w:t xml:space="preserve"> </w:t>
      </w:r>
      <w:r w:rsidR="0032630E">
        <w:t>a behavior some insects could use to compensate for their reduced fitness in their current environment</w:t>
      </w:r>
      <w:r w:rsidR="001866FB">
        <w:t xml:space="preserve"> </w:t>
      </w:r>
      <w:r w:rsidR="001866FB">
        <w:fldChar w:fldCharType="begin" w:fldLock="1"/>
      </w:r>
      <w:r w:rsidR="001866FB">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001866FB">
        <w:fldChar w:fldCharType="separate"/>
      </w:r>
      <w:r w:rsidR="001866FB" w:rsidRPr="001866FB">
        <w:rPr>
          <w:noProof/>
        </w:rPr>
        <w:t>(Parmesan et al. 1999, Breed et al. 2012)</w:t>
      </w:r>
      <w:r w:rsidR="001866FB">
        <w:fldChar w:fldCharType="end"/>
      </w:r>
      <w:r w:rsidR="001866FB">
        <w:t xml:space="preserve">. </w:t>
      </w:r>
      <w:r w:rsidR="00D40D3B">
        <w:t>Shifting population ranges north</w:t>
      </w:r>
      <w:r w:rsidR="0032630E">
        <w:t xml:space="preserve"> is </w:t>
      </w:r>
      <w:r w:rsidR="00A465DE">
        <w:t xml:space="preserve">could be complimented by either a shrinking or stable southern boundary. </w:t>
      </w:r>
      <w:r w:rsidR="00D40D3B">
        <w:t>A</w:t>
      </w:r>
      <w:r w:rsidR="00A465DE">
        <w:t>cross the southern</w:t>
      </w:r>
      <w:r w:rsidR="00D40D3B">
        <w:t xml:space="preserve"> population</w:t>
      </w:r>
      <w:r w:rsidR="00A465DE">
        <w:t xml:space="preserve"> range, some insect</w:t>
      </w:r>
      <w:r w:rsidR="00D40D3B">
        <w:t>s</w:t>
      </w:r>
      <w:r w:rsidR="00A465DE">
        <w:t xml:space="preserve"> will be unable to </w:t>
      </w:r>
      <w:r w:rsidR="00D40D3B">
        <w:t xml:space="preserve">colonize </w:t>
      </w:r>
      <w:r w:rsidR="00A465DE">
        <w:t xml:space="preserve">these warmer </w:t>
      </w:r>
      <w:r w:rsidR="00D40D3B">
        <w:t>will</w:t>
      </w:r>
      <w:r w:rsidR="00EA503D">
        <w:t xml:space="preserve"> die</w:t>
      </w:r>
      <w:r w:rsidR="00DF3175">
        <w:t>,</w:t>
      </w:r>
      <w:r w:rsidR="00EA503D">
        <w:t xml:space="preserve"> thus</w:t>
      </w:r>
      <w:r w:rsidR="008C297E">
        <w:t xml:space="preserve"> shrinking t</w:t>
      </w:r>
      <w:r w:rsidR="00EA503D">
        <w:t>he distribution of insects along the southern</w:t>
      </w:r>
      <w:r w:rsidR="008C297E">
        <w:t xml:space="preserve"> </w:t>
      </w:r>
      <w:r w:rsidR="00A465DE">
        <w:t>boundary</w:t>
      </w:r>
      <w:r w:rsidR="008C297E">
        <w:t>.</w:t>
      </w:r>
      <w:r w:rsidR="00EA503D">
        <w:t xml:space="preserve"> </w:t>
      </w:r>
      <w:r w:rsidR="002C1F3E">
        <w:t xml:space="preserve">Still, some insect populations could be phenotypically </w:t>
      </w:r>
      <w:r w:rsidR="00EA503D">
        <w:t>varied</w:t>
      </w:r>
      <w:r w:rsidR="00392CD2">
        <w:t xml:space="preserve"> enough to compensate for the increased temperatures and will continue to survive </w:t>
      </w:r>
      <w:r w:rsidR="001866FB">
        <w:fldChar w:fldCharType="begin" w:fldLock="1"/>
      </w:r>
      <w:r w:rsidR="00A63141">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1866FB">
        <w:fldChar w:fldCharType="separate"/>
      </w:r>
      <w:r w:rsidR="001866FB" w:rsidRPr="001866FB">
        <w:rPr>
          <w:noProof/>
        </w:rPr>
        <w:t>(Parmesan et al. 1999)</w:t>
      </w:r>
      <w:r w:rsidR="001866FB">
        <w:fldChar w:fldCharType="end"/>
      </w:r>
      <w:r w:rsidR="001866FB">
        <w:t xml:space="preserve">. </w:t>
      </w:r>
      <w:r w:rsidR="00154AF3">
        <w:t>In Europe,</w:t>
      </w:r>
      <w:r w:rsidR="00384794">
        <w:t xml:space="preserve"> this has been observed in 35 species of non-migratory butterfly species. Of these </w:t>
      </w:r>
      <w:r w:rsidR="00154AF3">
        <w:t>butterflies, 63% are observed to have shifted their range northward and 3% shifted their range south</w:t>
      </w:r>
      <w:r w:rsidR="00392CD2">
        <w:t xml:space="preserve"> </w:t>
      </w:r>
      <w:r w:rsidR="000E5425">
        <w:fldChar w:fldCharType="begin" w:fldLock="1"/>
      </w:r>
      <w:r w:rsidR="007A2D48">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0E5425">
        <w:fldChar w:fldCharType="separate"/>
      </w:r>
      <w:r w:rsidR="000E5425" w:rsidRPr="000E5425">
        <w:rPr>
          <w:noProof/>
        </w:rPr>
        <w:t>(Parmesan et al. 1999)</w:t>
      </w:r>
      <w:r w:rsidR="000E5425">
        <w:fldChar w:fldCharType="end"/>
      </w:r>
      <w:r w:rsidR="00154AF3">
        <w:t xml:space="preserve">. </w:t>
      </w:r>
      <w:r w:rsidR="00384794">
        <w:t>While s</w:t>
      </w:r>
      <w:r w:rsidR="00216D46">
        <w:t xml:space="preserve">patial redistribution through </w:t>
      </w:r>
      <w:r w:rsidR="00384794">
        <w:t xml:space="preserve">range shifting does </w:t>
      </w:r>
      <w:r w:rsidR="0021727C">
        <w:t xml:space="preserve">function </w:t>
      </w:r>
      <w:r w:rsidR="00384794">
        <w:t xml:space="preserve">to reduce the impact of climate change on </w:t>
      </w:r>
      <w:r w:rsidR="00C2122A">
        <w:t xml:space="preserve">insect </w:t>
      </w:r>
      <w:r w:rsidR="00384794">
        <w:t xml:space="preserve">populations, </w:t>
      </w:r>
      <w:r w:rsidR="00620A09">
        <w:t xml:space="preserve">these shifts in </w:t>
      </w:r>
      <w:r w:rsidR="00C2122A">
        <w:t xml:space="preserve">spatial </w:t>
      </w:r>
      <w:r w:rsidR="00384794">
        <w:t>distribution can</w:t>
      </w:r>
      <w:r w:rsidR="007B5653">
        <w:t xml:space="preserve"> disrupt food security</w:t>
      </w:r>
      <w:r w:rsidR="00620A09">
        <w:t>.</w:t>
      </w:r>
      <w:r w:rsidR="00C2122A">
        <w:t xml:space="preserve"> </w:t>
      </w:r>
      <w:r w:rsidR="000A490E">
        <w:t>Agricultural systems</w:t>
      </w:r>
      <w:r w:rsidR="00392CD2">
        <w:t xml:space="preserve"> are </w:t>
      </w:r>
      <w:r w:rsidR="007B5653">
        <w:t>currently under pressure from</w:t>
      </w:r>
      <w:r w:rsidR="0028005C">
        <w:t xml:space="preserve"> endemic</w:t>
      </w:r>
      <w:r w:rsidR="007B5653">
        <w:t xml:space="preserve"> phytophagous pests that damage crops and reduce yields.</w:t>
      </w:r>
      <w:r w:rsidR="000A490E">
        <w:t xml:space="preserve"> </w:t>
      </w:r>
      <w:r w:rsidR="00392CD2">
        <w:t>T</w:t>
      </w:r>
      <w:r w:rsidR="000A490E">
        <w:t xml:space="preserve">hese </w:t>
      </w:r>
      <w:r w:rsidR="00392CD2">
        <w:t xml:space="preserve">systems could be </w:t>
      </w:r>
      <w:r w:rsidR="00E83E67">
        <w:t>additionally</w:t>
      </w:r>
      <w:r w:rsidR="00392CD2">
        <w:t xml:space="preserve"> stressed</w:t>
      </w:r>
      <w:r w:rsidR="00703AD6">
        <w:t xml:space="preserve"> </w:t>
      </w:r>
      <w:r w:rsidR="0034488C">
        <w:t>as</w:t>
      </w:r>
      <w:r w:rsidR="00392CD2">
        <w:t xml:space="preserve"> </w:t>
      </w:r>
      <w:r w:rsidR="0034488C">
        <w:t xml:space="preserve">warmer temperatures </w:t>
      </w:r>
      <w:r w:rsidR="00392CD2">
        <w:t xml:space="preserve">push new pests </w:t>
      </w:r>
      <w:r w:rsidR="00392CD2">
        <w:lastRenderedPageBreak/>
        <w:t>into established</w:t>
      </w:r>
      <w:r w:rsidR="0034488C">
        <w:t xml:space="preserve"> agricultural</w:t>
      </w:r>
      <w:r w:rsidR="00A40329">
        <w:t xml:space="preserve"> systems. The</w:t>
      </w:r>
      <w:r w:rsidR="00392CD2">
        <w:t xml:space="preserve"> </w:t>
      </w:r>
      <w:r w:rsidR="00A40329">
        <w:t>d</w:t>
      </w:r>
      <w:r w:rsidR="00E83E67">
        <w:t xml:space="preserve">amage </w:t>
      </w:r>
      <w:r w:rsidR="00A40329">
        <w:t>caused by both invading and endemic phytophagous insect pests</w:t>
      </w:r>
      <w:r w:rsidR="00392CD2">
        <w:t xml:space="preserve"> </w:t>
      </w:r>
      <w:r w:rsidR="00E83E67">
        <w:t xml:space="preserve">would </w:t>
      </w:r>
      <w:r w:rsidR="00392CD2">
        <w:t>lead to an increased use of che</w:t>
      </w:r>
      <w:r w:rsidR="00E83E67">
        <w:t>mical pesticides, reduced crop yields and further destabilize national food security.</w:t>
      </w:r>
      <w:r w:rsidR="000A490E">
        <w:t xml:space="preserve"> </w:t>
      </w:r>
    </w:p>
    <w:p w14:paraId="06DF6FC5" w14:textId="3C836366" w:rsidR="0040602F" w:rsidRDefault="000C1EEF" w:rsidP="00570FA3">
      <w:pPr>
        <w:spacing w:line="480" w:lineRule="auto"/>
        <w:ind w:firstLine="720"/>
      </w:pPr>
      <w:r>
        <w:t>Those i</w:t>
      </w:r>
      <w:r w:rsidR="00A40329">
        <w:t xml:space="preserve">nsect populations </w:t>
      </w:r>
      <w:r w:rsidR="005D4C71">
        <w:t xml:space="preserve">able </w:t>
      </w:r>
      <w:r>
        <w:t>to</w:t>
      </w:r>
      <w:r w:rsidR="005D4C71">
        <w:t xml:space="preserve"> adapt to the local changes in their environment and/or</w:t>
      </w:r>
      <w:r>
        <w:t xml:space="preserve"> colonize new environments </w:t>
      </w:r>
      <w:r w:rsidR="0085313E">
        <w:t>through shifts in</w:t>
      </w:r>
      <w:r>
        <w:t xml:space="preserve"> their spatial distribution</w:t>
      </w:r>
      <w:r w:rsidR="005D4C71">
        <w:t xml:space="preserve">, </w:t>
      </w:r>
      <w:r w:rsidR="0085313E">
        <w:t>have the capacity to differentially express traits that compensate for changes in their environment. This plasticity in the expressed traits of insect populations is a function phenotypic bet-hedging. Evolutionary bet-hedging describes the trade-off between average fitness and variance of fitness of the traits expressed by individuals in a population</w:t>
      </w:r>
      <w:r w:rsidR="00B4396A">
        <w:t xml:space="preserve"> </w:t>
      </w:r>
      <w:r w:rsidR="00B4396A">
        <w:fldChar w:fldCharType="begin" w:fldLock="1"/>
      </w:r>
      <w:r w:rsidR="00B4396A">
        <w:instrText>ADDIN CSL_CITATION { "citationItems" : [ { "id" : "ITEM-1", "itemData" : { "DOI" : "10.1016/0169-5347(89)90138-9", "ISBN" : "0169-5347", "ISSN" : "01695347", "PMID" : "21227310", "abstract" : "Evolutionary bet-hedging involves a trade-off between the mean and variance of fitness, such that phenotypes with reduced mean fitness may be at a selective advantage under certain conditions. The theory of bet-hedging was first formulated in the 1970s, and recent empirical studies suggest that the process may operate in a wide range of plant and animal species. ?? 1989.", "author" : [ { "dropping-particle" : "", "family" : "Philippi", "given" : "Tom", "non-dropping-particle" : "", "parse-names" : false, "suffix" : "" }, { "dropping-particle" : "", "family" : "Seger", "given" : "Jon", "non-dropping-particle" : "", "parse-names" : false, "suffix" : "" } ], "container-title" : "Trends in Ecology and Evolution", "id" : "ITEM-1", "issue" : "2", "issued" : { "date-parts" : [ [ "1989" ] ] }, "page" : "41-44", "title" : "Hedging one's evolutionary bets, revisited", "type" : "article-journal", "volume" : "4" }, "uris" : [ "http://www.mendeley.com/documents/?uuid=452871a3-d4bd-493e-81b9-7f28e0361e5e" ] } ], "mendeley" : { "formattedCitation" : "(Philippi and Seger 1989)", "plainTextFormattedCitation" : "(Philippi and Seger 1989)", "previouslyFormattedCitation" : "(Philippi and Seger 1989)" }, "properties" : { "noteIndex" : 0 }, "schema" : "https://github.com/citation-style-language/schema/raw/master/csl-citation.json" }</w:instrText>
      </w:r>
      <w:r w:rsidR="00B4396A">
        <w:fldChar w:fldCharType="separate"/>
      </w:r>
      <w:r w:rsidR="00B4396A" w:rsidRPr="00B4396A">
        <w:rPr>
          <w:noProof/>
        </w:rPr>
        <w:t>(Philippi and Seger 1989)</w:t>
      </w:r>
      <w:r w:rsidR="00B4396A">
        <w:fldChar w:fldCharType="end"/>
      </w:r>
      <w:r w:rsidR="0085313E">
        <w:t>.</w:t>
      </w:r>
      <w:r w:rsidR="001859AC">
        <w:t xml:space="preserve"> </w:t>
      </w:r>
      <w:r w:rsidR="00B4396A">
        <w:t>Plasticity, in the context of phenotypes,</w:t>
      </w:r>
      <w:r w:rsidR="001859AC">
        <w:t xml:space="preserve"> is defined as an organisms capacity express different </w:t>
      </w:r>
      <w:r w:rsidR="00B4396A">
        <w:t>traits</w:t>
      </w:r>
      <w:r w:rsidR="001859AC">
        <w:t xml:space="preserve"> depending on the environment it encounters </w:t>
      </w:r>
      <w:r w:rsidR="001859AC">
        <w:fldChar w:fldCharType="begin" w:fldLock="1"/>
      </w:r>
      <w:r w:rsidR="001859AC">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1859AC">
        <w:fldChar w:fldCharType="separate"/>
      </w:r>
      <w:r w:rsidR="001859AC" w:rsidRPr="0094470B">
        <w:rPr>
          <w:noProof/>
        </w:rPr>
        <w:t>(Agrawal 2001)</w:t>
      </w:r>
      <w:r w:rsidR="001859AC">
        <w:fldChar w:fldCharType="end"/>
      </w:r>
      <w:r w:rsidR="001859AC">
        <w:t xml:space="preserve">. Because all environments vary, even if only temporally, organisms in those varying environments must be able to compensate to survive, thus it can be assumed that all organisms are phenotypically plastic to some degree </w:t>
      </w:r>
      <w:r w:rsidR="001859AC">
        <w:fldChar w:fldCharType="begin" w:fldLock="1"/>
      </w:r>
      <w:r w:rsidR="00BC71F1">
        <w:instrText>ADDIN CSL_CITATION { "citationItems" : [ { "id" : "ITEM-1", "itemData" : { "DOI" : "10.1086/588639", "ISBN" : "0003-0147", "ISSN" : "0003-0147", "PMID" : "18554140", "author" : [ { "dropping-particle" : "", "family" : "Price", "given" : "Trevor D.", "non-dropping-particle" : "", "parse-names" : false, "suffix" : "" }, { "dropping-particle" : "", "family" : "Sol", "given" : "Daniel", "non-dropping-particle" : "", "parse-names" : false, "suffix" : "" } ], "container-title" : "The American Naturalist", "id" : "ITEM-1", "issue" : "S1", "issued" : { "date-parts" : [ [ "2008" ] ] }, "page" : "S1-S3", "title" : "Introduction: Genetics of Colonizing Species", "type" : "article-journal", "volume" : "172" }, "uris" : [ "http://www.mendeley.com/documents/?uuid=adccaa34-2f3d-35c6-98ac-006f2184d47c" ] }, { "id" : "ITEM-2", "itemData" : { "DOI" : "10.1086/588255", "ISBN" : "0003-0147", "ISSN" : "0003-0147", "PMID" : "18554142", "abstract" : "Current approaches to modeling range advance assume that the distribution describing dispersal distances in the population (the \"dispersal kernel\") is a static entity. We argue here that dispersal kernels are in fact highly dynamic during periods of range advance because density effects and spatial assortment by dispersal ability (\"spatial selection\") drive the evolution of increased dispersal on the expanding front. Using a spatially explicit individual-based model, we demonstrate this effect under a wide variety of population growth rates and dispersal costs. We then test the possibility of an evolved shift in dispersal kernels by measuring dispersal rates in individual cane toads (Bufo marinus) from invasive populations in Australia (historically, toads advanced their range at 10 km/year, but now they achieve &gt;55 km/year in the northern part of their range). Under a common-garden design, we found a steady increase in dispersal tendency with distance from the invasion origin. Dispersal kernels on the invading front were less kurtotic and less skewed than those from origin populations. Thus, toads have increased their rate of range expansion partly through increased dispersal on the expanding front. For accurate long-range forecasts of range advance, we need to take into account the potential for dispersal kernels to be evolutionarily dynamic.", "author" : [ { "dropping-particle" : "", "family" : "Phillips", "given" : "Benjamin L.", "non-dropping-particle" : "", "parse-names" : false, "suffix" : "" }, { "dropping-particle" : "", "family" : "Brown", "given" : "Gregory P.", "non-dropping-particle" : "", "parse-names" : false, "suffix" : "" }, { "dropping-particle" : "", "family" : "Travis", "given" : "Justin M. J.", "non-dropping-particle" : "", "parse-names" : false, "suffix" : "" }, { "dropping-particle" : "", "family" : "Shine", "given" : "Richard", "non-dropping-particle" : "", "parse-names" : false, "suffix" : "" } ], "container-title" : "The American Naturalist", "id" : "ITEM-2", "issue" : "S1", "issued" : { "date-parts" : [ [ "2008" ] ] }, "page" : "S34-S48", "title" : "Reid\u2019s Paradox Revisited: The Evolution of Dispersal Kernels during Range Expansion", "type" : "article-journal", "volume" : "172" }, "uris" : [ "http://www.mendeley.com/documents/?uuid=4de51e09-b4e2-3bfe-8717-6834e9a97b69" ] } ], "mendeley" : { "formattedCitation" : "(Phillips et al. 2008, Price and Sol 2008)", "plainTextFormattedCitation" : "(Phillips et al. 2008, Price and Sol 2008)", "previouslyFormattedCitation" : "(Phillips et al. 2008, Price and Sol 2008)" }, "properties" : { "noteIndex" : 0 }, "schema" : "https://github.com/citation-style-language/schema/raw/master/csl-citation.json" }</w:instrText>
      </w:r>
      <w:r w:rsidR="001859AC">
        <w:fldChar w:fldCharType="separate"/>
      </w:r>
      <w:r w:rsidR="00B4396A" w:rsidRPr="00B4396A">
        <w:rPr>
          <w:noProof/>
        </w:rPr>
        <w:t>(Phillips et al. 2008, Price and Sol 2008)</w:t>
      </w:r>
      <w:r w:rsidR="001859AC">
        <w:fldChar w:fldCharType="end"/>
      </w:r>
      <w:r w:rsidR="001859AC">
        <w:t>.</w:t>
      </w:r>
      <w:r w:rsidR="00B4396A">
        <w:t xml:space="preserve"> </w:t>
      </w:r>
      <w:r w:rsidR="00816828">
        <w:t xml:space="preserve">The degree to which a population is phenotypically plastic will determine its capacity to compensate for a changing environment. </w:t>
      </w:r>
      <w:r w:rsidR="007256AE">
        <w:t>A</w:t>
      </w:r>
      <w:r w:rsidR="00D42C66">
        <w:t>ll things being equal, a</w:t>
      </w:r>
      <w:r w:rsidR="007256AE">
        <w:t xml:space="preserve"> population with</w:t>
      </w:r>
      <w:r w:rsidR="00D42C66">
        <w:t xml:space="preserve"> more phenotypic plasticity will experience</w:t>
      </w:r>
      <w:r w:rsidR="007256AE">
        <w:t xml:space="preserve"> higher </w:t>
      </w:r>
      <w:r w:rsidR="00816828">
        <w:t>fitness in the context of a</w:t>
      </w:r>
      <w:r w:rsidR="00D42C66">
        <w:t xml:space="preserve"> varying</w:t>
      </w:r>
      <w:r w:rsidR="007256AE">
        <w:t xml:space="preserve"> environment </w:t>
      </w:r>
      <w:r w:rsidR="00D42C66">
        <w:t xml:space="preserve">and </w:t>
      </w:r>
      <w:r w:rsidR="007256AE">
        <w:t>i</w:t>
      </w:r>
      <w:r w:rsidR="00D42C66">
        <w:t>s more likely adapt to the changing environment</w:t>
      </w:r>
      <w:r w:rsidR="00E63B36">
        <w:t xml:space="preserve"> compared to a population with </w:t>
      </w:r>
      <w:r w:rsidR="00BC71F1">
        <w:t xml:space="preserve">a higher average fitness </w:t>
      </w:r>
      <w:r w:rsidR="00BC71F1">
        <w:fldChar w:fldCharType="begin" w:fldLock="1"/>
      </w:r>
      <w:r w:rsidR="00F75185">
        <w:instrText>ADDIN CSL_CITATION { "citationItems" : [ { "id" : "ITEM-1", "itemData" : { "DOI" : "10.1016/0169-5347(89)90138-9", "ISBN" : "0169-5347", "ISSN" : "01695347", "PMID" : "21227310", "abstract" : "Evolutionary bet-hedging involves a trade-off between the mean and variance of fitness, such that phenotypes with reduced mean fitness may be at a selective advantage under certain conditions. The theory of bet-hedging was first formulated in the 1970s, and recent empirical studies suggest that the process may operate in a wide range of plant and animal species. ?? 1989.", "author" : [ { "dropping-particle" : "", "family" : "Philippi", "given" : "Tom", "non-dropping-particle" : "", "parse-names" : false, "suffix" : "" }, { "dropping-particle" : "", "family" : "Seger", "given" : "Jon", "non-dropping-particle" : "", "parse-names" : false, "suffix" : "" } ], "container-title" : "Trends in Ecology and Evolution", "id" : "ITEM-1", "issue" : "2", "issued" : { "date-parts" : [ [ "1989" ] ] }, "page" : "41-44", "title" : "Hedging one's evolutionary bets, revisited", "type" : "article-journal", "volume" : "4" }, "uris" : [ "http://www.mendeley.com/documents/?uuid=452871a3-d4bd-493e-81b9-7f28e0361e5e" ] } ], "mendeley" : { "formattedCitation" : "(Philippi and Seger 1989)", "plainTextFormattedCitation" : "(Philippi and Seger 1989)", "previouslyFormattedCitation" : "(Philippi and Seger 1989)" }, "properties" : { "noteIndex" : 0 }, "schema" : "https://github.com/citation-style-language/schema/raw/master/csl-citation.json" }</w:instrText>
      </w:r>
      <w:r w:rsidR="00BC71F1">
        <w:fldChar w:fldCharType="separate"/>
      </w:r>
      <w:r w:rsidR="00BC71F1" w:rsidRPr="00BC71F1">
        <w:rPr>
          <w:noProof/>
        </w:rPr>
        <w:t>(Philippi and Seger 1989)</w:t>
      </w:r>
      <w:r w:rsidR="00BC71F1">
        <w:fldChar w:fldCharType="end"/>
      </w:r>
      <w:r w:rsidR="0001098C">
        <w:t>.</w:t>
      </w:r>
      <w:r w:rsidR="00A724AF">
        <w:t xml:space="preserve"> Overcoming the biological hurdle of increased temperatures, phenotypes that are to be successful must become </w:t>
      </w:r>
      <w:r w:rsidR="00207E1A">
        <w:t>adapted</w:t>
      </w:r>
      <w:r w:rsidR="00A724AF">
        <w:t xml:space="preserve"> in the population to colonize these novel environments.</w:t>
      </w:r>
    </w:p>
    <w:p w14:paraId="0D2E8830" w14:textId="7DD505AB" w:rsidR="00570FA3" w:rsidRDefault="005D05D5" w:rsidP="00460EF8">
      <w:pPr>
        <w:spacing w:line="480" w:lineRule="auto"/>
        <w:ind w:firstLine="720"/>
      </w:pPr>
      <w:r>
        <w:t xml:space="preserve">As </w:t>
      </w:r>
      <w:r w:rsidR="00E66AF8">
        <w:t>in</w:t>
      </w:r>
      <w:r w:rsidR="00926235">
        <w:t>vading</w:t>
      </w:r>
      <w:r w:rsidR="0040602F">
        <w:t xml:space="preserve"> </w:t>
      </w:r>
      <w:r w:rsidR="00926235">
        <w:t xml:space="preserve">insects move into </w:t>
      </w:r>
      <w:r w:rsidR="0040602F">
        <w:t>these</w:t>
      </w:r>
      <w:r w:rsidR="00B4396A">
        <w:t xml:space="preserve"> </w:t>
      </w:r>
      <w:r w:rsidR="00D42C66">
        <w:t>novel</w:t>
      </w:r>
      <w:r w:rsidR="00B4396A">
        <w:t xml:space="preserve"> environments</w:t>
      </w:r>
      <w:r w:rsidR="00E66AF8">
        <w:t xml:space="preserve">, </w:t>
      </w:r>
      <w:r w:rsidR="00F75185">
        <w:t xml:space="preserve">selection pressure </w:t>
      </w:r>
      <w:r>
        <w:t>might</w:t>
      </w:r>
      <w:r w:rsidR="00F75185">
        <w:t xml:space="preserve"> shift </w:t>
      </w:r>
      <w:r w:rsidR="00F75185">
        <w:lastRenderedPageBreak/>
        <w:t>away from dispersal and tolerance traits and</w:t>
      </w:r>
      <w:r>
        <w:t xml:space="preserve"> </w:t>
      </w:r>
      <w:r w:rsidR="00F75185">
        <w:t xml:space="preserve">towards traits that are suitable </w:t>
      </w:r>
      <w:r>
        <w:t xml:space="preserve">for adapting to the </w:t>
      </w:r>
      <w:r w:rsidR="00F75185">
        <w:t xml:space="preserve">new environment </w:t>
      </w:r>
      <w:r w:rsidR="00F75185">
        <w:fldChar w:fldCharType="begin" w:fldLock="1"/>
      </w:r>
      <w: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sidR="00F75185">
        <w:fldChar w:fldCharType="separate"/>
      </w:r>
      <w:r w:rsidR="00F75185" w:rsidRPr="00F75185">
        <w:rPr>
          <w:noProof/>
        </w:rPr>
        <w:t>(Lee 2002)</w:t>
      </w:r>
      <w:r w:rsidR="00F75185">
        <w:fldChar w:fldCharType="end"/>
      </w:r>
      <w:r w:rsidR="00F75185">
        <w:t>.</w:t>
      </w:r>
      <w:r>
        <w:t xml:space="preserve"> </w:t>
      </w:r>
      <w:r w:rsidR="008A5881">
        <w:t>Adaptation, as a</w:t>
      </w:r>
      <w:r>
        <w:t xml:space="preserve"> response to </w:t>
      </w:r>
      <w:r w:rsidR="00FC474D">
        <w:t>environmental gradients (i.e. temperature and photoperiod),</w:t>
      </w:r>
      <w:r w:rsidR="008A5881">
        <w:t xml:space="preserve"> will be a function of</w:t>
      </w:r>
      <w:r>
        <w:t xml:space="preserve"> selection pressure</w:t>
      </w:r>
      <w:r w:rsidR="008A5881">
        <w:t>s that</w:t>
      </w:r>
      <w:r w:rsidR="00FC474D">
        <w:t xml:space="preserve"> commonly</w:t>
      </w:r>
      <w:r>
        <w:t xml:space="preserve"> </w:t>
      </w:r>
      <w:r w:rsidR="008A5881">
        <w:t>act</w:t>
      </w:r>
      <w:r w:rsidR="00FC474D">
        <w:t xml:space="preserve"> upon </w:t>
      </w:r>
      <w:r w:rsidR="00DE2AB9">
        <w:t xml:space="preserve">traits related to </w:t>
      </w:r>
      <w:r>
        <w:t>morphology</w:t>
      </w:r>
      <w:r w:rsidR="007F0B68">
        <w:t>, physiology,</w:t>
      </w:r>
      <w:r>
        <w:t xml:space="preserve"> or plasticity </w:t>
      </w:r>
      <w:r>
        <w:fldChar w:fldCharType="begin" w:fldLock="1"/>
      </w:r>
      <w:r w:rsidR="00983C00">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fldChar w:fldCharType="separate"/>
      </w:r>
      <w:r w:rsidRPr="005D05D5">
        <w:rPr>
          <w:noProof/>
        </w:rPr>
        <w:t>(Lee 2002)</w:t>
      </w:r>
      <w:r>
        <w:fldChar w:fldCharType="end"/>
      </w:r>
      <w:r>
        <w:t>.</w:t>
      </w:r>
      <w:r w:rsidR="00D42C66">
        <w:t xml:space="preserve"> </w:t>
      </w:r>
      <w:r w:rsidR="008A5881">
        <w:t xml:space="preserve">Once </w:t>
      </w:r>
      <w:r w:rsidR="008F79A2">
        <w:t xml:space="preserve">insects begin to colonize these </w:t>
      </w:r>
      <w:r w:rsidR="008A5881">
        <w:t>novel environment</w:t>
      </w:r>
      <w:r w:rsidR="008F79A2">
        <w:t>s</w:t>
      </w:r>
      <w:r w:rsidR="008A5881">
        <w:t xml:space="preserve">, </w:t>
      </w:r>
      <w:r w:rsidR="008F79A2">
        <w:t>more constant selection pressures in these environments may favor phenotypic specialization and eventually</w:t>
      </w:r>
      <w:r w:rsidR="00D84281">
        <w:t xml:space="preserve"> lead to</w:t>
      </w:r>
      <w:r w:rsidR="008F79A2">
        <w:t xml:space="preserve"> the evolution of fixed, </w:t>
      </w:r>
      <w:r w:rsidR="006E50DF">
        <w:t xml:space="preserve">more </w:t>
      </w:r>
      <w:r w:rsidR="008F79A2">
        <w:t>competitive phenotypes</w:t>
      </w:r>
      <w:r w:rsidR="00D84281">
        <w:t xml:space="preserve"> </w:t>
      </w:r>
      <w:r w:rsidR="00983C00">
        <w:fldChar w:fldCharType="begin" w:fldLock="1"/>
      </w:r>
      <w:r w:rsidR="00E841FC">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"id" : "ITEM-2", "itemData" : { "DOI" : "10.1111/j.0014-3820.2000.tb00047.x", "ISBN" : "0014-3820", "ISSN" : "0014-3820", "PMID" : "10937221", "abstract" : "The reliability of environmental cues and costs of a fixed phenotype are two factors determining whether selection favors phenotypic plasticity or environmental specialization. This study examines the relationship between these two factors and the evolution of plant competitive strategies (plastic vs. fixed morphologies). In natural plant populations, shifts in light quality associated with foliar shade reliably indicate the presence of neighbors. These cues mediate plastic stem-elongation responses that often increase competitive ability and access to light. Using experimental light treatments (full sun, neutral shade, and foliar shade), genetic differences among populations of Abutilon theophrasti (velvetleaf) in average elongation and plasticity to foliar-shade cues were examined. Six populations, two from each of three site types (fields in continuous corn cultivation, fields undergoing corn-soy rotation, and weedy sites), were exposed to the light treatments at two stages in their life history. At the seedling stage, populations derived from cornfield sites exhibited higher, average elongation than populations from either rotating corn-soy fields or weedy areas. Because seedling elongation may delay shading of velvetleaf by corn, population differences may reflect adaptive responses to directional selection imposed by competitive conditions. However, the effects of simulated foliar shade on elongation were three times as great as the average population differences, and these comparatively higher levels of elongation were associated with an allocation cost. These results are consistent with the hypothesis that phenotypic plasticity may limit the evolution of specialists; reliable environmental cues enable individuals to facultatively adopt highly elongated, costly phenotypes in crowded patches while avoiding the costs of that phenotype in less crowded microsites. At later life-history stages, populations experiencing competition with corn exhibited lower plasticity to light quality than populations derived from weedy areas. Elongation at later nodes is maladaptive in cornfields because velvetleaf is ultimately incapable of overtopping corn; individuals that elongate therefore experience the cost of allocating to stems but fail to improve leaf exposure. The decreased responsiveness of cornfield populations to light quality is consistent with theoretical predictions in which reduced plasticity is favored when environmental cues fail to mediate an adap\u2026", "author" : [ { "dropping-particle" : "", "family" : "Weinig", "given" : "Cynthia", "non-dropping-particle" : "", "parse-names" : false, "suffix" : "" } ], "container-title" : "Evolution", "id" : "ITEM-2", "issue" : "2", "issued" : { "date-parts" : [ [ "2000" ] ] }, "page" : "441-451", "title" : "PLASTICITY VERSUS CANALIZATION: POPULATION DIFFERENCES IN THE TIMING OF SHADE-AVOIDANCE RESPONSES", "type" : "article-journal", "volume" : "54" }, "uris" : [ "http://www.mendeley.com/documents/?uuid=fec403bc-b6c4-303d-9ac4-a7203c3485c5" ] } ], "mendeley" : { "formattedCitation" : "(Weinig 2000, Lee 2002)", "plainTextFormattedCitation" : "(Weinig 2000, Lee 2002)", "previouslyFormattedCitation" : "(Weinig 2000, Lee 2002)" }, "properties" : { "noteIndex" : 0 }, "schema" : "https://github.com/citation-style-language/schema/raw/master/csl-citation.json" }</w:instrText>
      </w:r>
      <w:r w:rsidR="00983C00">
        <w:fldChar w:fldCharType="separate"/>
      </w:r>
      <w:r w:rsidR="00983C00" w:rsidRPr="00983C00">
        <w:rPr>
          <w:noProof/>
        </w:rPr>
        <w:t>(Weinig 2000, Lee 2002)</w:t>
      </w:r>
      <w:r w:rsidR="00983C00">
        <w:fldChar w:fldCharType="end"/>
      </w:r>
      <w:r w:rsidR="008F79A2">
        <w:t>.</w:t>
      </w:r>
      <w:r w:rsidR="006E50DF">
        <w:t xml:space="preserve"> </w:t>
      </w:r>
      <w:r w:rsidR="008622CB">
        <w:t>As winters</w:t>
      </w:r>
      <w:r w:rsidR="006E6459">
        <w:t xml:space="preserve"> become shorter and less severe,</w:t>
      </w:r>
      <w:r w:rsidR="008622CB">
        <w:t xml:space="preserve"> insect populations could begin to colonize northern latitudinal clines and exploit available resources thus increasing their growing season. </w:t>
      </w:r>
      <w:r w:rsidR="00E841FC">
        <w:t>Here in</w:t>
      </w:r>
      <w:r w:rsidR="00552917">
        <w:t xml:space="preserve"> United States</w:t>
      </w:r>
      <w:r w:rsidR="009E6E31">
        <w:t xml:space="preserve"> as winters warm</w:t>
      </w:r>
      <w:r w:rsidR="006E6459">
        <w:t>,</w:t>
      </w:r>
      <w:r w:rsidR="00552917">
        <w:t xml:space="preserve"> pitcher plant mosquito</w:t>
      </w:r>
      <w:r w:rsidR="00E841FC">
        <w:t>s</w:t>
      </w:r>
      <w:r w:rsidR="00552917">
        <w:t xml:space="preserve">, </w:t>
      </w:r>
      <w:proofErr w:type="spellStart"/>
      <w:r w:rsidR="00552917">
        <w:rPr>
          <w:i/>
        </w:rPr>
        <w:t>Wyeomii</w:t>
      </w:r>
      <w:proofErr w:type="spellEnd"/>
      <w:r w:rsidR="00552917">
        <w:rPr>
          <w:i/>
        </w:rPr>
        <w:t xml:space="preserve"> </w:t>
      </w:r>
      <w:proofErr w:type="spellStart"/>
      <w:r w:rsidR="00552917">
        <w:rPr>
          <w:i/>
        </w:rPr>
        <w:t>smithii</w:t>
      </w:r>
      <w:proofErr w:type="spellEnd"/>
      <w:r w:rsidR="00552917">
        <w:rPr>
          <w:i/>
        </w:rPr>
        <w:t>,</w:t>
      </w:r>
      <w:r w:rsidR="00552917">
        <w:t xml:space="preserve"> </w:t>
      </w:r>
      <w:r w:rsidR="009E6E31">
        <w:t>are</w:t>
      </w:r>
      <w:r w:rsidR="00E841FC">
        <w:t xml:space="preserve"> un</w:t>
      </w:r>
      <w:r w:rsidR="009E6E31">
        <w:t>der strong directional selection</w:t>
      </w:r>
      <w:r w:rsidR="005633A6">
        <w:t>.</w:t>
      </w:r>
      <w:r w:rsidR="001932FC">
        <w:t xml:space="preserve"> </w:t>
      </w:r>
      <w:r w:rsidR="009E6E31">
        <w:t>B</w:t>
      </w:r>
      <w:r w:rsidR="006E6459">
        <w:t xml:space="preserve">etween the years 1972 and 1996, has reportedly increased by an average of 9 days, </w:t>
      </w:r>
      <w:r w:rsidR="009911B3">
        <w:t>representing a shift in average phenotype as a function of rising temperatures</w:t>
      </w:r>
      <w:r w:rsidR="006E6459">
        <w:t xml:space="preserve"> </w:t>
      </w:r>
      <w:r w:rsidR="00E841FC">
        <w:fldChar w:fldCharType="begin" w:fldLock="1"/>
      </w:r>
      <w:r w:rsidR="004D4ECE">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E841FC">
        <w:fldChar w:fldCharType="separate"/>
      </w:r>
      <w:r w:rsidR="00E841FC" w:rsidRPr="00E841FC">
        <w:rPr>
          <w:noProof/>
        </w:rPr>
        <w:t>(Bradshaw and Holzapfel 2001)</w:t>
      </w:r>
      <w:r w:rsidR="00E841FC">
        <w:fldChar w:fldCharType="end"/>
      </w:r>
      <w:r w:rsidR="00E841FC">
        <w:t xml:space="preserve">. </w:t>
      </w:r>
      <w:r w:rsidR="00154A04">
        <w:t xml:space="preserve">Pitcher plant mosquitos enter a state of genetically programmed dormancy at the end of their growing phase to avoid periods when resources unavailable in their environment. One of the hallmarks of this genetically induced dormancy include reduced or terminated feeding, thus increasing the amount of time an individual has access to these resources before dormancy could impart some evolutionary advantage. </w:t>
      </w:r>
      <w:r w:rsidR="00171598">
        <w:t>These insects</w:t>
      </w:r>
      <w:r w:rsidR="00F20ABF">
        <w:t>,</w:t>
      </w:r>
      <w:r w:rsidR="00171598">
        <w:t xml:space="preserve"> and others </w:t>
      </w:r>
      <w:r w:rsidR="00F20ABF">
        <w:t>a</w:t>
      </w:r>
      <w:r w:rsidR="00171598">
        <w:t>like</w:t>
      </w:r>
      <w:r w:rsidR="00F20ABF">
        <w:t>,</w:t>
      </w:r>
      <w:r w:rsidR="00171598">
        <w:t xml:space="preserve"> </w:t>
      </w:r>
      <w:r w:rsidR="00C86CF8">
        <w:t>synchronize</w:t>
      </w:r>
      <w:r w:rsidR="00171598">
        <w:t xml:space="preserve"> their life histories with optimal temperatures and resource availability, </w:t>
      </w:r>
      <w:r w:rsidR="00C86CF8">
        <w:t>this extended</w:t>
      </w:r>
      <w:r w:rsidR="00171598">
        <w:t xml:space="preserve"> growing period </w:t>
      </w:r>
      <w:r w:rsidR="004D4ECE">
        <w:t>is the result of strong directional selection and</w:t>
      </w:r>
      <w:r w:rsidR="009E6E31">
        <w:t xml:space="preserve"> a</w:t>
      </w:r>
      <w:r w:rsidR="004D4ECE">
        <w:t xml:space="preserve"> greater capacity to </w:t>
      </w:r>
      <w:r w:rsidR="00C86CF8">
        <w:t>adapt</w:t>
      </w:r>
      <w:r w:rsidR="009911B3">
        <w:t xml:space="preserve"> in response to higher temperatures in their environment </w:t>
      </w:r>
      <w:r w:rsidR="004D4ECE">
        <w:fldChar w:fldCharType="begin" w:fldLock="1"/>
      </w:r>
      <w:r w:rsidR="00B364A1">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4D4ECE">
        <w:fldChar w:fldCharType="separate"/>
      </w:r>
      <w:r w:rsidR="004D4ECE" w:rsidRPr="004D4ECE">
        <w:rPr>
          <w:noProof/>
        </w:rPr>
        <w:t>(Bradshaw and Holzapfel 2001)</w:t>
      </w:r>
      <w:r w:rsidR="004D4ECE">
        <w:fldChar w:fldCharType="end"/>
      </w:r>
      <w:r w:rsidR="004D4ECE">
        <w:t>.</w:t>
      </w:r>
      <w:r w:rsidR="00C86CF8">
        <w:t xml:space="preserve"> </w:t>
      </w:r>
    </w:p>
    <w:p w14:paraId="7AF8ABFD" w14:textId="77777777" w:rsidR="00460EF8" w:rsidRPr="00996124" w:rsidRDefault="00460EF8" w:rsidP="00460EF8">
      <w:pPr>
        <w:spacing w:line="480" w:lineRule="auto"/>
      </w:pPr>
    </w:p>
    <w:p w14:paraId="4E92FB5F" w14:textId="374BF775" w:rsidR="007E62A7" w:rsidRDefault="00BC6C7A" w:rsidP="00A51048">
      <w:pPr>
        <w:spacing w:line="480" w:lineRule="auto"/>
      </w:pPr>
      <w:r>
        <w:rPr>
          <w:b/>
        </w:rPr>
        <w:lastRenderedPageBreak/>
        <w:t xml:space="preserve">Plasticity in Dormancy: </w:t>
      </w:r>
      <w:r w:rsidR="004D6420">
        <w:t xml:space="preserve">Insects are constantly monitoring their external, as well as internal, conditions and use that information as a predicate for their life history decisions. </w:t>
      </w:r>
      <w:r w:rsidR="0096276A">
        <w:t>Generally, i</w:t>
      </w:r>
      <w:r w:rsidR="007E7B09">
        <w:t>nsects</w:t>
      </w:r>
      <w:r w:rsidR="007229A4">
        <w:t xml:space="preserve"> respond to the</w:t>
      </w:r>
      <w:r w:rsidR="00BE67FD">
        <w:t xml:space="preserve"> stress of depleted</w:t>
      </w:r>
      <w:r w:rsidR="007229A4">
        <w:t xml:space="preserve"> environmental resources </w:t>
      </w:r>
      <w:r w:rsidR="00BE67FD">
        <w:t>(air, water, or food)</w:t>
      </w:r>
      <w:r w:rsidR="007229A4">
        <w:t xml:space="preserve"> through dormancy</w:t>
      </w:r>
      <w:r w:rsidR="004D6420">
        <w:t xml:space="preserve"> and </w:t>
      </w:r>
      <w:r w:rsidR="00597028">
        <w:t xml:space="preserve">these </w:t>
      </w:r>
      <w:r w:rsidR="004D6420">
        <w:t>cues</w:t>
      </w:r>
      <w:r w:rsidR="00597028">
        <w:t xml:space="preserve"> can</w:t>
      </w:r>
      <w:r w:rsidR="004D6420">
        <w:t xml:space="preserve"> initiate an immediate or preparative</w:t>
      </w:r>
      <w:r w:rsidR="00597028">
        <w:t xml:space="preserve"> </w:t>
      </w:r>
      <w:r w:rsidR="004D6420">
        <w:t xml:space="preserve">response. </w:t>
      </w:r>
      <w:r w:rsidR="00BE67FD">
        <w:t>Dormancy that is the immediate response to stress (</w:t>
      </w:r>
      <w:r w:rsidR="003A0A49">
        <w:t>q</w:t>
      </w:r>
      <w:r w:rsidR="007E7B09">
        <w:t>uiescence</w:t>
      </w:r>
      <w:r w:rsidR="00BE67FD">
        <w:t>)</w:t>
      </w:r>
      <w:r w:rsidR="007E7B09">
        <w:t xml:space="preserve"> is</w:t>
      </w:r>
      <w:r w:rsidR="001F522C">
        <w:t xml:space="preserve"> a</w:t>
      </w:r>
      <w:r w:rsidR="007E7B09">
        <w:t xml:space="preserve"> </w:t>
      </w:r>
      <w:r w:rsidR="003A0A49">
        <w:t>tempora</w:t>
      </w:r>
      <w:r w:rsidR="00BE67FD">
        <w:t xml:space="preserve">ry state of reduced activity and can occur at any point during the life history of an insect. </w:t>
      </w:r>
      <w:r w:rsidR="00A103A1">
        <w:t>Alternatively,</w:t>
      </w:r>
      <w:r w:rsidR="00B364A1">
        <w:t xml:space="preserve"> diapause is a type of dormancy that pre-empts reduced availability of resources, is </w:t>
      </w:r>
      <w:r w:rsidR="00134ABA">
        <w:t>genetically programmed</w:t>
      </w:r>
      <w:r w:rsidR="00B364A1">
        <w:t>, and while diapause may occur at any point during an insects life history, the</w:t>
      </w:r>
      <w:r w:rsidR="007E62A7">
        <w:t xml:space="preserve"> life stage sensitive to the</w:t>
      </w:r>
      <w:r w:rsidR="00B364A1">
        <w:t xml:space="preserve"> initiation of diapause within a species is consistent </w:t>
      </w:r>
      <w:r w:rsidR="00B364A1">
        <w:fldChar w:fldCharType="begin" w:fldLock="1"/>
      </w:r>
      <w:r w:rsidR="00BB112A">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B364A1">
        <w:fldChar w:fldCharType="separate"/>
      </w:r>
      <w:r w:rsidR="00B364A1" w:rsidRPr="00B364A1">
        <w:rPr>
          <w:noProof/>
        </w:rPr>
        <w:t>(Bale and Hayward 2010)</w:t>
      </w:r>
      <w:r w:rsidR="00B364A1">
        <w:fldChar w:fldCharType="end"/>
      </w:r>
      <w:r w:rsidR="007E62A7">
        <w:t>. The genotype responsible for the pleiotropic effects of diapause</w:t>
      </w:r>
      <w:r w:rsidR="004126E7">
        <w:t xml:space="preserve"> varies from species to species but photoperiod (the hours of daylight in a 24-hour period)</w:t>
      </w:r>
      <w:r w:rsidR="007E62A7">
        <w:t xml:space="preserve"> </w:t>
      </w:r>
      <w:r w:rsidR="004126E7">
        <w:t xml:space="preserve">generally is both </w:t>
      </w:r>
      <w:r w:rsidR="007E62A7">
        <w:t>necessary and sufficient</w:t>
      </w:r>
      <w:r w:rsidR="004126E7">
        <w:t xml:space="preserve"> in </w:t>
      </w:r>
      <w:r w:rsidR="007E62A7">
        <w:t>to induce the diapausing phenotype</w:t>
      </w:r>
      <w:r w:rsidR="004126E7">
        <w:t xml:space="preserve"> across many species of insects</w:t>
      </w:r>
      <w:r w:rsidR="009E584C">
        <w:t xml:space="preserve"> </w:t>
      </w:r>
      <w:r w:rsidR="009E584C" w:rsidRPr="00454563">
        <w:rPr>
          <w:highlight w:val="yellow"/>
        </w:rPr>
        <w:t>(</w:t>
      </w:r>
      <w:r w:rsidR="00454563">
        <w:rPr>
          <w:highlight w:val="yellow"/>
        </w:rPr>
        <w:t>citation</w:t>
      </w:r>
      <w:r w:rsidR="009E584C" w:rsidRPr="00454563">
        <w:rPr>
          <w:highlight w:val="yellow"/>
        </w:rPr>
        <w:t>)</w:t>
      </w:r>
      <w:r w:rsidR="007E62A7">
        <w:t>.</w:t>
      </w:r>
      <w:r w:rsidR="00F00049">
        <w:t xml:space="preserve"> </w:t>
      </w:r>
      <w:r w:rsidR="00ED5814">
        <w:t>Because of its consistent nature and historical association with resource availability, i</w:t>
      </w:r>
      <w:r w:rsidR="00F00049">
        <w:t>nsects have synchronize</w:t>
      </w:r>
      <w:r w:rsidR="00377D5B">
        <w:t>d</w:t>
      </w:r>
      <w:r w:rsidR="00A70F78">
        <w:t xml:space="preserve"> their life histories with available resources </w:t>
      </w:r>
      <w:r w:rsidR="00F00049">
        <w:t>using</w:t>
      </w:r>
      <w:r w:rsidR="00ED5814">
        <w:t xml:space="preserve"> the annual changes in</w:t>
      </w:r>
      <w:r w:rsidR="00F00049">
        <w:t xml:space="preserve"> photoperiod </w:t>
      </w:r>
      <w:r w:rsidR="00ED5814">
        <w:t>as proxy for when t</w:t>
      </w:r>
      <w:r w:rsidR="00A70F78">
        <w:t xml:space="preserve">o end their growing seasons and </w:t>
      </w:r>
      <w:r w:rsidR="00ED5814">
        <w:t xml:space="preserve">prepare for diapause dormancy </w:t>
      </w:r>
      <w:r w:rsidR="00ED5814" w:rsidRPr="005647DF">
        <w:rPr>
          <w:highlight w:val="yellow"/>
        </w:rPr>
        <w:t>(</w:t>
      </w:r>
      <w:r w:rsidR="00ED5814">
        <w:rPr>
          <w:highlight w:val="yellow"/>
        </w:rPr>
        <w:t>citations</w:t>
      </w:r>
      <w:r w:rsidR="00ED5814" w:rsidRPr="005647DF">
        <w:rPr>
          <w:highlight w:val="yellow"/>
        </w:rPr>
        <w:t>)</w:t>
      </w:r>
      <w:r w:rsidR="00ED5814">
        <w:t>.</w:t>
      </w:r>
      <w:r w:rsidR="00F00049">
        <w:t xml:space="preserve"> </w:t>
      </w:r>
      <w:r w:rsidR="00A70F78">
        <w:t>During the critical photoperiod</w:t>
      </w:r>
      <w:r w:rsidR="00F00049">
        <w:t xml:space="preserve">, the genetically determined point during a species’ </w:t>
      </w:r>
      <w:r w:rsidR="00017B26">
        <w:t>life history when they are sensitive to photoperiod</w:t>
      </w:r>
      <w:r w:rsidR="00F00049">
        <w:t xml:space="preserve">, </w:t>
      </w:r>
      <w:r w:rsidR="00A70F78">
        <w:t xml:space="preserve">a </w:t>
      </w:r>
      <w:r w:rsidR="00F00049">
        <w:t xml:space="preserve">species </w:t>
      </w:r>
      <w:r w:rsidR="00A70F78">
        <w:t xml:space="preserve">is competent to respond to the changes in photoperiod </w:t>
      </w:r>
      <w:r w:rsidR="00017B26">
        <w:t xml:space="preserve">by shifting </w:t>
      </w:r>
      <w:r w:rsidR="00F00049">
        <w:t>away from direct develop</w:t>
      </w:r>
      <w:r w:rsidR="00017B26">
        <w:t>ment and towards diapause dormancy</w:t>
      </w:r>
      <w:r w:rsidR="00A70F78">
        <w:t xml:space="preserve"> </w:t>
      </w:r>
      <w:r w:rsidR="00A70F78" w:rsidRPr="00A70F78">
        <w:rPr>
          <w:highlight w:val="yellow"/>
        </w:rPr>
        <w:t>(</w:t>
      </w:r>
      <w:r w:rsidR="00A70F78">
        <w:rPr>
          <w:highlight w:val="yellow"/>
        </w:rPr>
        <w:t>citations</w:t>
      </w:r>
      <w:r w:rsidR="00A70F78" w:rsidRPr="00A70F78">
        <w:rPr>
          <w:highlight w:val="yellow"/>
        </w:rPr>
        <w:t>)</w:t>
      </w:r>
      <w:r w:rsidR="00F00049">
        <w:t xml:space="preserve">. </w:t>
      </w:r>
      <w:r w:rsidR="004126E7">
        <w:t>The diapause</w:t>
      </w:r>
      <w:r w:rsidR="009D44DA">
        <w:t xml:space="preserve"> dormancy</w:t>
      </w:r>
      <w:r w:rsidR="004126E7">
        <w:t xml:space="preserve"> phenotype generally includes suppressed rates of metabolism, metamorphosis, and reproduction </w:t>
      </w:r>
      <w:r w:rsidR="004126E7" w:rsidRPr="005647DF">
        <w:rPr>
          <w:highlight w:val="yellow"/>
        </w:rPr>
        <w:t>(</w:t>
      </w:r>
      <w:r w:rsidR="004126E7">
        <w:rPr>
          <w:highlight w:val="yellow"/>
        </w:rPr>
        <w:t>citations</w:t>
      </w:r>
      <w:r w:rsidR="004126E7" w:rsidRPr="005647DF">
        <w:rPr>
          <w:highlight w:val="yellow"/>
        </w:rPr>
        <w:t>)</w:t>
      </w:r>
      <w:r w:rsidR="004126E7">
        <w:t>. Accumulating enough resources</w:t>
      </w:r>
      <w:r w:rsidR="00A70F78">
        <w:t>,</w:t>
      </w:r>
      <w:r w:rsidR="004126E7">
        <w:t xml:space="preserve"> prior to the</w:t>
      </w:r>
      <w:r w:rsidR="00A70F78">
        <w:t>ir environmental</w:t>
      </w:r>
      <w:r w:rsidR="004126E7">
        <w:t xml:space="preserve"> decline</w:t>
      </w:r>
      <w:r w:rsidR="00A70F78">
        <w:t>,</w:t>
      </w:r>
      <w:r w:rsidR="004126E7">
        <w:t xml:space="preserve"> is paramount </w:t>
      </w:r>
      <w:r w:rsidR="00D116C6">
        <w:t xml:space="preserve">if </w:t>
      </w:r>
      <w:r w:rsidR="00B06804">
        <w:t>an</w:t>
      </w:r>
      <w:r w:rsidR="004126E7">
        <w:t xml:space="preserve"> </w:t>
      </w:r>
      <w:r w:rsidR="00D116C6">
        <w:t xml:space="preserve">insect is to survive the energetic </w:t>
      </w:r>
      <w:r w:rsidR="00D116C6">
        <w:lastRenderedPageBreak/>
        <w:t xml:space="preserve">demands of diapause. </w:t>
      </w:r>
    </w:p>
    <w:p w14:paraId="4AFBFA3E" w14:textId="0F04BE35" w:rsidR="00FA73B6" w:rsidRDefault="00D116C6" w:rsidP="00C75212">
      <w:pPr>
        <w:spacing w:line="480" w:lineRule="auto"/>
      </w:pPr>
      <w:r>
        <w:rPr>
          <w:b/>
        </w:rPr>
        <w:t xml:space="preserve">Storing Energy: </w:t>
      </w:r>
      <w:r w:rsidR="00645C09">
        <w:t>A</w:t>
      </w:r>
      <w:r w:rsidR="00D6143C">
        <w:t>s summer</w:t>
      </w:r>
      <w:r w:rsidR="00645C09">
        <w:t>s</w:t>
      </w:r>
      <w:r w:rsidR="00D6143C">
        <w:t xml:space="preserve"> begin to </w:t>
      </w:r>
      <w:r w:rsidR="00645C09">
        <w:t xml:space="preserve">extend </w:t>
      </w:r>
      <w:r w:rsidR="00645C09">
        <w:t xml:space="preserve">further </w:t>
      </w:r>
      <w:r w:rsidR="00D6143C">
        <w:t>into fall and winter, d</w:t>
      </w:r>
      <w:r w:rsidR="003368CB">
        <w:t xml:space="preserve">iapausing insects, </w:t>
      </w:r>
      <w:r w:rsidR="00B9139F">
        <w:t>those at the proper developmental stage</w:t>
      </w:r>
      <w:r w:rsidR="00645C09">
        <w:t xml:space="preserve"> and physiologically </w:t>
      </w:r>
      <w:r w:rsidR="00B9139F">
        <w:t>sensitive to photoperiod,</w:t>
      </w:r>
      <w:r w:rsidR="00FA3A7C">
        <w:t xml:space="preserve"> </w:t>
      </w:r>
      <w:r w:rsidR="00D6143C">
        <w:t xml:space="preserve">begin to initialize genetic programming that influences how they allocate resources they take in from their environment </w:t>
      </w:r>
      <w:r w:rsidR="00596AA3">
        <w:fldChar w:fldCharType="begin" w:fldLock="1"/>
      </w:r>
      <w:r w:rsidR="007A4142">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596AA3">
        <w:fldChar w:fldCharType="separate"/>
      </w:r>
      <w:r w:rsidR="00596AA3" w:rsidRPr="00596AA3">
        <w:rPr>
          <w:noProof/>
        </w:rPr>
        <w:t>(Bale and Hayward 2010)</w:t>
      </w:r>
      <w:r w:rsidR="00596AA3">
        <w:fldChar w:fldCharType="end"/>
      </w:r>
      <w:r w:rsidR="00596AA3">
        <w:t>.</w:t>
      </w:r>
      <w:r w:rsidR="007300D1">
        <w:t xml:space="preserve"> In some insects, like the </w:t>
      </w:r>
      <w:r w:rsidR="007300D1" w:rsidRPr="007300D1">
        <w:rPr>
          <w:highlight w:val="yellow"/>
        </w:rPr>
        <w:t>(</w:t>
      </w:r>
      <w:r w:rsidR="007300D1">
        <w:rPr>
          <w:highlight w:val="yellow"/>
        </w:rPr>
        <w:t>insect citation</w:t>
      </w:r>
      <w:r w:rsidR="007300D1" w:rsidRPr="007300D1">
        <w:rPr>
          <w:highlight w:val="yellow"/>
        </w:rPr>
        <w:t>)</w:t>
      </w:r>
      <w:r w:rsidR="007300D1">
        <w:t xml:space="preserve">, diapause preparation does not alter the amount of resources accumulated from its environment, instead consumed resources are directed away from reproductive tissues and somatic tissue development and toward storage </w:t>
      </w:r>
      <w:r w:rsidR="007300D1" w:rsidRPr="007300D1">
        <w:rPr>
          <w:highlight w:val="yellow"/>
        </w:rPr>
        <w:t>(</w:t>
      </w:r>
      <w:r w:rsidR="007300D1">
        <w:rPr>
          <w:highlight w:val="yellow"/>
        </w:rPr>
        <w:t>citation</w:t>
      </w:r>
      <w:r w:rsidR="007300D1" w:rsidRPr="007300D1">
        <w:rPr>
          <w:highlight w:val="yellow"/>
        </w:rPr>
        <w:t>)</w:t>
      </w:r>
      <w:r w:rsidR="007300D1">
        <w:t>.</w:t>
      </w:r>
      <w:r w:rsidR="00B9139F">
        <w:t xml:space="preserve"> </w:t>
      </w:r>
      <w:r w:rsidR="00435A6E">
        <w:t xml:space="preserve">The genes controlling the </w:t>
      </w:r>
      <w:r w:rsidR="00D07985">
        <w:t>initiation</w:t>
      </w:r>
      <w:r w:rsidR="00435A6E">
        <w:t xml:space="preserve"> of traits related to</w:t>
      </w:r>
      <w:r w:rsidR="007300D1">
        <w:t xml:space="preserve"> the</w:t>
      </w:r>
      <w:r w:rsidR="00435A6E">
        <w:t xml:space="preserve"> diapause phenotype in most species </w:t>
      </w:r>
      <w:r w:rsidR="00D07985">
        <w:t>represents a</w:t>
      </w:r>
      <w:r w:rsidR="00435A6E">
        <w:t xml:space="preserve"> black box</w:t>
      </w:r>
      <w:r w:rsidR="00B9139F">
        <w:t xml:space="preserve"> </w:t>
      </w:r>
      <w:r w:rsidR="00D07985">
        <w:t>that require</w:t>
      </w:r>
      <w:r w:rsidR="007300D1">
        <w:t>s</w:t>
      </w:r>
      <w:r w:rsidR="00D07985">
        <w:t xml:space="preserve"> more investigation </w:t>
      </w:r>
      <w:r w:rsidR="007300D1">
        <w:t>to understand the mechanisms by which these genes</w:t>
      </w:r>
      <w:r w:rsidR="00D07985">
        <w:t xml:space="preserve"> function to initiate the many aspects of the diapause phenotype, downstream of their activation by photoperiod. The resulting phenotype generated from these genes is</w:t>
      </w:r>
      <w:r w:rsidR="00832B9B">
        <w:t>, generally,</w:t>
      </w:r>
      <w:r w:rsidR="00D07985">
        <w:t xml:space="preserve"> a combination of external and internal changes in character state, a phenotype that exists as a spectrum but is specific within a single species</w:t>
      </w:r>
      <w:r w:rsidR="00832B9B">
        <w:t xml:space="preserve"> </w:t>
      </w:r>
      <w:r w:rsidR="00832B9B" w:rsidRPr="00832B9B">
        <w:rPr>
          <w:highlight w:val="yellow"/>
        </w:rPr>
        <w:t>(citation)</w:t>
      </w:r>
      <w:r w:rsidR="00D07985">
        <w:t xml:space="preserve">. </w:t>
      </w:r>
      <w:r w:rsidR="004A3B38">
        <w:t xml:space="preserve">For </w:t>
      </w:r>
      <w:r w:rsidR="00D51D28">
        <w:t xml:space="preserve">some insects, diapause is a </w:t>
      </w:r>
      <w:r w:rsidR="00832B9B">
        <w:t>protective</w:t>
      </w:r>
      <w:r w:rsidR="00D51D28">
        <w:t xml:space="preserve"> state, during which, metabolic rates are drastically reduced </w:t>
      </w:r>
      <w:r w:rsidR="00832B9B">
        <w:t>to</w:t>
      </w:r>
      <w:r w:rsidR="00D51D28">
        <w:t xml:space="preserve"> conserve energy and maintain physiological processes</w:t>
      </w:r>
      <w:r w:rsidR="00832B9B">
        <w:t xml:space="preserve"> necessary to surviving diapause and thriving</w:t>
      </w:r>
      <w:r w:rsidR="00D51D28">
        <w:t xml:space="preserve"> post-diapause</w:t>
      </w:r>
      <w:r w:rsidR="00832B9B">
        <w:t xml:space="preserve"> </w:t>
      </w:r>
      <w:r w:rsidR="00832B9B" w:rsidRPr="00832B9B">
        <w:rPr>
          <w:highlight w:val="yellow"/>
        </w:rPr>
        <w:t>(</w:t>
      </w:r>
      <w:r w:rsidR="00832B9B">
        <w:rPr>
          <w:highlight w:val="yellow"/>
        </w:rPr>
        <w:t>citation</w:t>
      </w:r>
      <w:r w:rsidR="00832B9B" w:rsidRPr="00832B9B">
        <w:rPr>
          <w:highlight w:val="yellow"/>
        </w:rPr>
        <w:t>)</w:t>
      </w:r>
      <w:r w:rsidR="00D51D28">
        <w:t>. For these insects, high energy biological molecules are the</w:t>
      </w:r>
      <w:r w:rsidR="00633E68">
        <w:t xml:space="preserve"> substrate that power the biological reactions allow these insects to thrive both during and after diapause</w:t>
      </w:r>
      <w:r w:rsidR="00832B9B">
        <w:t>, and they must be stored prior to the onset of diapause</w:t>
      </w:r>
      <w:r w:rsidR="00FA73B6">
        <w:t xml:space="preserve"> </w:t>
      </w:r>
      <w:r w:rsidR="00FA73B6" w:rsidRPr="00FA73B6">
        <w:rPr>
          <w:highlight w:val="yellow"/>
        </w:rPr>
        <w:t>(citation)</w:t>
      </w:r>
      <w:r w:rsidR="00633E68">
        <w:t>.</w:t>
      </w:r>
      <w:r w:rsidR="00FA73B6">
        <w:t xml:space="preserve"> </w:t>
      </w:r>
      <w:r w:rsidR="005745C5">
        <w:t xml:space="preserve">While there are few exceptions, insects preparing for diapause, experience a steep increase in the amount of lipids, specifically triglycerides, and multimeric proteins produced and stored by the fat body. These molecules are biologically multifunctional </w:t>
      </w:r>
      <w:r w:rsidR="005745C5">
        <w:lastRenderedPageBreak/>
        <w:t xml:space="preserve">and function as more than energy reservoirs. Triglycerides, and other lipids, are used to stabilize membranes, insulate tissues to prevent cold injury, slow or prevent </w:t>
      </w:r>
      <w:r w:rsidR="00970B3D">
        <w:t>desiccation</w:t>
      </w:r>
      <w:r w:rsidR="005745C5">
        <w:t>, can be degraded into carbohydrates for energy or used as a precursor for steroids</w:t>
      </w:r>
      <w:r w:rsidR="00422CB8">
        <w:t xml:space="preserve"> and other signaling molecules</w:t>
      </w:r>
      <w:r w:rsidR="005745C5">
        <w:t>.</w:t>
      </w:r>
      <w:r w:rsidR="00422CB8">
        <w:t xml:space="preserve"> Stored proteins function as a biological reservoir of amino acids and under the right conditions, stored proteins can be reconfigured or its amino acids incorporated into other metabolically important molecular tools, that can then be exploited metabolically. </w:t>
      </w:r>
      <w:r w:rsidR="001F634B">
        <w:t xml:space="preserve">These molecules have been observed to occur in high concentrations at the outset of diapause in </w:t>
      </w:r>
      <w:r w:rsidR="001F634B" w:rsidRPr="001F634B">
        <w:rPr>
          <w:highlight w:val="yellow"/>
        </w:rPr>
        <w:t>(insect, insect, insect)</w:t>
      </w:r>
      <w:r w:rsidR="00135180">
        <w:t xml:space="preserve"> </w:t>
      </w:r>
      <w:r w:rsidR="00135180" w:rsidRPr="00135180">
        <w:rPr>
          <w:highlight w:val="yellow"/>
        </w:rPr>
        <w:t>(citation)</w:t>
      </w:r>
      <w:r w:rsidR="00135180">
        <w:t xml:space="preserve">. Tracking the movement of these molecules using radiolabeled atoms, researchers show triglyceride carbons incorporated into </w:t>
      </w:r>
      <w:r w:rsidR="00135180" w:rsidRPr="00135180">
        <w:rPr>
          <w:highlight w:val="yellow"/>
        </w:rPr>
        <w:t>(</w:t>
      </w:r>
      <w:bookmarkStart w:id="0" w:name="_GoBack"/>
      <w:bookmarkEnd w:id="0"/>
      <w:r w:rsidR="00135180" w:rsidRPr="00135180">
        <w:rPr>
          <w:highlight w:val="yellow"/>
        </w:rPr>
        <w:t>tissue, tissue, tissue)</w:t>
      </w:r>
      <w:r w:rsidR="00135180">
        <w:t xml:space="preserve"> and amino acids from stored proteins incorporated into </w:t>
      </w:r>
      <w:r w:rsidR="00135180" w:rsidRPr="00135180">
        <w:rPr>
          <w:highlight w:val="yellow"/>
        </w:rPr>
        <w:t>(tissue, tissue, tissue)</w:t>
      </w:r>
      <w:r w:rsidR="00135180">
        <w:t xml:space="preserve"> </w:t>
      </w:r>
      <w:r w:rsidR="00135180" w:rsidRPr="00135180">
        <w:rPr>
          <w:highlight w:val="yellow"/>
        </w:rPr>
        <w:t>(citation)</w:t>
      </w:r>
      <w:r w:rsidR="00422CB8">
        <w:t>.</w:t>
      </w:r>
      <w:r w:rsidR="00694411">
        <w:t xml:space="preserve"> Diverting resources away from direct development and into storage is a risky endeavor</w:t>
      </w:r>
      <w:r w:rsidR="00287756">
        <w:t xml:space="preserve">, one, if properly synchronized, </w:t>
      </w:r>
      <w:r w:rsidR="00694411">
        <w:t xml:space="preserve">could result in huge gains </w:t>
      </w:r>
      <w:r w:rsidR="00287756">
        <w:t>if</w:t>
      </w:r>
      <w:r w:rsidR="00694411">
        <w:t xml:space="preserve"> properly synchronized with resource depletion. </w:t>
      </w:r>
    </w:p>
    <w:p w14:paraId="7154488A" w14:textId="77CB5998" w:rsidR="00287756" w:rsidRDefault="00287756" w:rsidP="00C75212">
      <w:pPr>
        <w:spacing w:line="480" w:lineRule="auto"/>
      </w:pPr>
      <w:r>
        <w:tab/>
        <w:t xml:space="preserve"> The ways by which insects may compensate longer growing seasons </w:t>
      </w:r>
      <w:r w:rsidR="00801D80">
        <w:t>and less predictable climate…</w:t>
      </w:r>
    </w:p>
    <w:p w14:paraId="49483C83" w14:textId="7A5ECB11" w:rsidR="0073563E" w:rsidRDefault="00B9139F" w:rsidP="00422CB8">
      <w:pPr>
        <w:spacing w:line="480" w:lineRule="auto"/>
        <w:ind w:firstLine="720"/>
      </w:pPr>
      <w:r>
        <w:t>Photop</w:t>
      </w:r>
      <w:r w:rsidR="005745C5">
        <w:t xml:space="preserve">eriod sensitivity in some taxa </w:t>
      </w:r>
      <w:r>
        <w:t xml:space="preserve">in certain taxa that are sensitive to photoperiod during the larval stages of their life history  </w:t>
      </w:r>
      <w:r w:rsidR="00D6143C">
        <w:t xml:space="preserve"> </w:t>
      </w:r>
      <w:r w:rsidR="007E7B09">
        <w:t>The pattern of photoperiod is regular and predictable across latitudes.</w:t>
      </w:r>
      <w:r w:rsidR="0073563E">
        <w:t xml:space="preserve"> </w:t>
      </w:r>
      <w:r w:rsidR="00BC6C7A">
        <w:t xml:space="preserve">Ecologically, this regular pattern in changes in daylight hours sets up predictable species gradients (clines). Species of insects </w:t>
      </w:r>
      <w:r w:rsidR="0073563E">
        <w:t>that inhabit different clines,</w:t>
      </w:r>
    </w:p>
    <w:p w14:paraId="613BD4DB" w14:textId="6448C8FB" w:rsidR="0073563E" w:rsidRDefault="003368CB" w:rsidP="003368CB">
      <w:pPr>
        <w:spacing w:line="480" w:lineRule="auto"/>
        <w:ind w:firstLine="720"/>
      </w:pPr>
      <w:r>
        <w:t>The consequences</w:t>
      </w:r>
      <w:r w:rsidR="0073563E">
        <w:t xml:space="preserve"> of increased temperatures on insect phenotypes can be estimated by understanding the direct relationship between latitudinal changes in temperature, photoperiod, and how insect respond to these changes physiologically.</w:t>
      </w:r>
    </w:p>
    <w:p w14:paraId="04AE8922" w14:textId="77777777" w:rsidR="009D44DA" w:rsidRPr="0073563E" w:rsidRDefault="009D44DA" w:rsidP="009D44DA">
      <w:pPr>
        <w:spacing w:line="480" w:lineRule="auto"/>
      </w:pPr>
    </w:p>
    <w:p w14:paraId="3C91368A" w14:textId="77777777" w:rsidR="00746552" w:rsidRDefault="005633A6" w:rsidP="005633A6">
      <w:pPr>
        <w:spacing w:line="480" w:lineRule="auto"/>
        <w:rPr>
          <w:color w:val="000000" w:themeColor="text1"/>
        </w:rPr>
      </w:pPr>
      <w:r>
        <w:rPr>
          <w:b/>
          <w:color w:val="000000" w:themeColor="text1"/>
        </w:rPr>
        <w:t xml:space="preserve">European Corn Borer: </w:t>
      </w:r>
      <w:r w:rsidR="00DB16BF" w:rsidRPr="00A20DD7">
        <w:rPr>
          <w:color w:val="000000" w:themeColor="text1"/>
        </w:rPr>
        <w:t>Predictable seasonal climates and global food security are tenuously bound making a comprehensive approach to dealing with these changes imperative. Farmers and growers must be able to make short-term and long-term</w:t>
      </w:r>
      <w:r w:rsidR="003368CB">
        <w:rPr>
          <w:color w:val="000000" w:themeColor="text1"/>
        </w:rPr>
        <w:t xml:space="preserve"> management decisions concerning methods, timing, and tools to utilize </w:t>
      </w:r>
      <w:r w:rsidR="00DB16BF" w:rsidRPr="00A20DD7">
        <w:rPr>
          <w:color w:val="000000" w:themeColor="text1"/>
        </w:rPr>
        <w:t xml:space="preserve">when </w:t>
      </w:r>
      <w:r w:rsidR="003368CB">
        <w:rPr>
          <w:color w:val="000000" w:themeColor="text1"/>
        </w:rPr>
        <w:t xml:space="preserve">planning pest control strategies and climate patterns are an important part of that calculus. with </w:t>
      </w:r>
      <w:r w:rsidR="00DB16BF" w:rsidRPr="00A20DD7">
        <w:rPr>
          <w:color w:val="000000" w:themeColor="text1"/>
        </w:rPr>
        <w:t xml:space="preserve">based upon how the climate affects those populations. </w:t>
      </w:r>
    </w:p>
    <w:p w14:paraId="7B8B274D" w14:textId="77777777" w:rsidR="00746552" w:rsidRDefault="00746552" w:rsidP="005633A6">
      <w:pPr>
        <w:spacing w:line="480" w:lineRule="auto"/>
        <w:rPr>
          <w:color w:val="000000" w:themeColor="text1"/>
        </w:rPr>
      </w:pPr>
    </w:p>
    <w:p w14:paraId="61EE8593" w14:textId="29E61A49" w:rsidR="00491FB1" w:rsidRPr="00A20DD7" w:rsidRDefault="00DB16BF" w:rsidP="005633A6">
      <w:pPr>
        <w:spacing w:line="480" w:lineRule="auto"/>
        <w:rPr>
          <w:color w:val="000000" w:themeColor="text1"/>
        </w:rPr>
      </w:pPr>
      <w:r w:rsidRPr="00A20DD7">
        <w:rPr>
          <w:color w:val="000000" w:themeColor="text1"/>
        </w:rPr>
        <w:t xml:space="preserve">Here in the United States, 92 percent of all the corn acreage is planted with a genetically engineered corn crop that expresses </w:t>
      </w:r>
      <w:r w:rsidRPr="00A20DD7">
        <w:rPr>
          <w:i/>
          <w:color w:val="000000" w:themeColor="text1"/>
        </w:rPr>
        <w:t xml:space="preserve">Bacillus </w:t>
      </w:r>
      <w:proofErr w:type="spellStart"/>
      <w:r w:rsidRPr="00A20DD7">
        <w:rPr>
          <w:i/>
          <w:color w:val="000000" w:themeColor="text1"/>
        </w:rPr>
        <w:t>thurengensis</w:t>
      </w:r>
      <w:proofErr w:type="spellEnd"/>
      <w:r w:rsidRPr="00A20DD7">
        <w:rPr>
          <w:i/>
          <w:color w:val="000000" w:themeColor="text1"/>
        </w:rPr>
        <w:t xml:space="preserve"> </w:t>
      </w:r>
      <w:r w:rsidRPr="00A20DD7">
        <w:rPr>
          <w:color w:val="000000" w:themeColor="text1"/>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001026F4" w:rsidRPr="00A20DD7">
        <w:rPr>
          <w:color w:val="000000" w:themeColor="text1"/>
        </w:rPr>
        <w:fldChar w:fldCharType="begin" w:fldLock="1"/>
      </w:r>
      <w:r w:rsidR="00C83A27" w:rsidRPr="00A20DD7">
        <w:rPr>
          <w:color w:val="000000" w:themeColor="text1"/>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001026F4" w:rsidRPr="00A20DD7">
        <w:rPr>
          <w:color w:val="000000" w:themeColor="text1"/>
        </w:rPr>
        <w:fldChar w:fldCharType="separate"/>
      </w:r>
      <w:r w:rsidR="001026F4" w:rsidRPr="00A20DD7">
        <w:rPr>
          <w:noProof/>
          <w:color w:val="000000" w:themeColor="text1"/>
        </w:rPr>
        <w:t>(Fernandez-Cornejo et al. 2014)</w:t>
      </w:r>
      <w:r w:rsidR="001026F4" w:rsidRPr="00A20DD7">
        <w:rPr>
          <w:color w:val="000000" w:themeColor="text1"/>
        </w:rPr>
        <w:fldChar w:fldCharType="end"/>
      </w:r>
      <w:r w:rsidR="001026F4" w:rsidRPr="00A20DD7">
        <w:rPr>
          <w:color w:val="000000" w:themeColor="text1"/>
        </w:rPr>
        <w:t>.</w:t>
      </w:r>
      <w:r w:rsidRPr="00A20DD7">
        <w:rPr>
          <w:color w:val="000000" w:themeColor="text1"/>
        </w:rPr>
        <w:t xml:space="preserve"> “Studies detailing diapause-associated changes in intermediary metabolism and feeding physiology are needed across taxa with different diapause strategies to expand our understanding of the metabolic processes underlying </w:t>
      </w:r>
      <w:proofErr w:type="spellStart"/>
      <w:r w:rsidRPr="00A20DD7">
        <w:rPr>
          <w:color w:val="000000" w:themeColor="text1"/>
        </w:rPr>
        <w:t>prediapause</w:t>
      </w:r>
      <w:proofErr w:type="spellEnd"/>
      <w:r w:rsidRPr="00A20DD7">
        <w:rPr>
          <w:color w:val="000000" w:themeColor="text1"/>
        </w:rPr>
        <w:t xml:space="preserve"> reserve accumulation. The goal in this area is to under- stand the underlying neurological and endocrine signaling mechanisms that regulate diapause-associated shifts in feeding patterns and intermediary metabolism.”  (unfinished)</w:t>
      </w:r>
    </w:p>
    <w:p w14:paraId="168730F8" w14:textId="77777777" w:rsidR="00491FB1" w:rsidRDefault="00491FB1">
      <w:pPr>
        <w:spacing w:line="480" w:lineRule="auto"/>
      </w:pPr>
    </w:p>
    <w:p w14:paraId="5B6E6864" w14:textId="77777777" w:rsidR="00491FB1" w:rsidRDefault="00DB16BF">
      <w:pPr>
        <w:spacing w:line="480" w:lineRule="auto"/>
        <w:rPr>
          <w:b/>
        </w:rPr>
      </w:pPr>
      <w:r>
        <w:rPr>
          <w:b/>
        </w:rPr>
        <w:t>OBJECTIVE</w:t>
      </w:r>
    </w:p>
    <w:p w14:paraId="35A7BD6A" w14:textId="10078EBF" w:rsidR="00491FB1" w:rsidRDefault="00DB16BF">
      <w:pPr>
        <w:spacing w:line="480" w:lineRule="auto"/>
        <w:ind w:firstLine="720"/>
      </w:pPr>
      <w:r>
        <w:lastRenderedPageBreak/>
        <w:t xml:space="preserve">The objective of this study will be to quantify and compare energy </w:t>
      </w:r>
      <w:r w:rsidR="005633A6">
        <w:t xml:space="preserve">stores </w:t>
      </w:r>
      <w:r>
        <w:t>between</w:t>
      </w:r>
      <w:r w:rsidR="009168C1">
        <w:t xml:space="preserve"> </w:t>
      </w:r>
      <w:r>
        <w:t xml:space="preserve">two </w:t>
      </w:r>
      <w:r w:rsidR="005633A6">
        <w:t>genotypically</w:t>
      </w:r>
      <w:r>
        <w:t xml:space="preserve"> different strains of </w:t>
      </w:r>
      <w:r>
        <w:rPr>
          <w:i/>
        </w:rPr>
        <w:t xml:space="preserve">Ostrinia nubilalis, </w:t>
      </w:r>
      <w:r>
        <w:t>the European corn borer. Further, European corn borer (ECB) destined for</w:t>
      </w:r>
      <w:r w:rsidR="009168C1">
        <w:t xml:space="preserve"> diapause</w:t>
      </w:r>
      <w:r>
        <w:t xml:space="preserv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007A2D48">
        <w:fldChar w:fldCharType="begin" w:fldLock="1"/>
      </w:r>
      <w:r w:rsidR="00AF5A19">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007A2D48">
        <w:fldChar w:fldCharType="separate"/>
      </w:r>
      <w:r w:rsidR="007A2D48" w:rsidRPr="007A2D48">
        <w:rPr>
          <w:noProof/>
        </w:rPr>
        <w:t>(Denlinger 2008)</w:t>
      </w:r>
      <w:r w:rsidR="007A2D48">
        <w:fldChar w:fldCharType="end"/>
      </w:r>
      <w:r>
        <w:t xml:space="preserve">. </w:t>
      </w:r>
    </w:p>
    <w:p w14:paraId="4E719945" w14:textId="7711B904" w:rsidR="00570FA3" w:rsidRDefault="00570FA3">
      <w:pPr>
        <w:spacing w:line="480" w:lineRule="auto"/>
        <w:ind w:firstLine="720"/>
        <w:rPr>
          <w:b/>
        </w:rPr>
      </w:pPr>
      <w:r>
        <w:t xml:space="preserve">These Higher than average temperatures can lead to increased feeding, mating, and generation output. </w:t>
      </w:r>
      <w:r w:rsidRPr="0046643A">
        <w:rPr>
          <w:highlight w:val="yellow"/>
        </w:rPr>
        <w:t>(</w:t>
      </w:r>
      <w:r>
        <w:rPr>
          <w:highlight w:val="yellow"/>
        </w:rPr>
        <w:t>example in corn</w:t>
      </w:r>
      <w:r w:rsidRPr="0046643A">
        <w:rPr>
          <w:highlight w:val="yellow"/>
        </w:rPr>
        <w:t>)</w:t>
      </w:r>
      <w:r>
        <w:t xml:space="preserve"> With climate being unpredictable and allow some insect pests to produce more generations during the season and Crop pests are able to produce more generations not only extend the growing season for plants it also extend </w:t>
      </w:r>
      <w:proofErr w:type="gramStart"/>
      <w:r>
        <w:t>the  amplify</w:t>
      </w:r>
      <w:proofErr w:type="gramEnd"/>
      <w:r>
        <w:t xml:space="preserve"> the destructive effects of insect pests can  is amplified and insect move into new regions or as   especially those invasions that hold ecological or agricultural importance. </w:t>
      </w:r>
      <w:r w:rsidRPr="009F2040">
        <w:rPr>
          <w:highlight w:val="yellow"/>
        </w:rPr>
        <w:t>(define invasions in significant terms and provide an agricultural example in corn).</w:t>
      </w:r>
      <w:r>
        <w:t xml:space="preserve"> The largest threat posed by corn insect pests is in part a function of population turnover.</w:t>
      </w:r>
    </w:p>
    <w:p w14:paraId="7F1A535C" w14:textId="36510420" w:rsidR="00491FB1" w:rsidRDefault="00DB16BF">
      <w:pPr>
        <w:spacing w:line="480" w:lineRule="auto"/>
        <w:ind w:firstLine="720"/>
      </w:pPr>
      <w:r>
        <w:t xml:space="preserve">I hypothesize that the amount of energy a European corn borer stores in preparation for the additional stress of diapause, </w:t>
      </w:r>
      <w:r w:rsidR="005633A6">
        <w:t>can be a direct proxy in understanding</w:t>
      </w:r>
      <w:r>
        <w:t xml:space="preserve"> how it performs during diapause. Specifically, diapause destined individuals will increase their storage of triglycerides and storage proteins</w:t>
      </w:r>
      <w:r w:rsidR="005633A6">
        <w:t xml:space="preserve"> at a specific rate, in relation </w:t>
      </w:r>
      <w:r>
        <w:t xml:space="preserve">to the length of time they will spend in diapause. The ECB strain preparing for a long period of diapause will store more energy than their shorter diapausing and diapause avoiding counterpart. Diapausing ECB may be storing </w:t>
      </w:r>
      <w:r>
        <w:lastRenderedPageBreak/>
        <w:t xml:space="preserve">energy in different ratios than diapause avoiders. Higher levels of triglycerides may be used to supplement water and protect against desiccation while higher protein stores could be used to rebuild damaged or depleted enzymes. </w:t>
      </w:r>
    </w:p>
    <w:p w14:paraId="2FFCF80B" w14:textId="77777777" w:rsidR="00491FB1" w:rsidRDefault="00DB16BF">
      <w:pPr>
        <w:spacing w:line="480" w:lineRule="auto"/>
        <w:ind w:firstLine="720"/>
      </w:pPr>
      <w:r>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w:t>
      </w:r>
      <w:proofErr w:type="spellStart"/>
      <w:proofErr w:type="gramStart"/>
      <w:r>
        <w:t>hours:dark</w:t>
      </w:r>
      <w:proofErr w:type="spellEnd"/>
      <w:proofErr w:type="gramEnd"/>
      <w:r>
        <w:t xml:space="preserve">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end I will</w:t>
      </w:r>
    </w:p>
    <w:p w14:paraId="16C48F25" w14:textId="77777777" w:rsidR="00491FB1" w:rsidRDefault="00DB16BF">
      <w:pPr>
        <w:spacing w:line="480" w:lineRule="auto"/>
        <w:ind w:firstLine="720"/>
      </w:pPr>
      <w: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w:t>
      </w:r>
      <w:r>
        <w:lastRenderedPageBreak/>
        <w:t xml:space="preserve">the same photoperiodic and thermal cues in the laboratory, their specific response can be reproducibly observed but the physiological link between genotype and phenotype has not yet been described. </w:t>
      </w:r>
    </w:p>
    <w:p w14:paraId="0DB44D6B" w14:textId="05C58D98" w:rsidR="00491FB1" w:rsidRDefault="00DB16BF">
      <w:pPr>
        <w:spacing w:line="480" w:lineRule="auto"/>
        <w:ind w:firstLine="720"/>
      </w:pPr>
      <w:r>
        <w:t xml:space="preserve">Approximately, $10 billion dollars is spent annually on chemical insecticides to control the damaging effects of insect pests </w:t>
      </w:r>
      <w:r w:rsidR="006B6DC0">
        <w:fldChar w:fldCharType="begin" w:fldLock="1"/>
      </w:r>
      <w:r w:rsidR="00F03898">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006B6DC0">
        <w:fldChar w:fldCharType="separate"/>
      </w:r>
      <w:r w:rsidR="006B6DC0" w:rsidRPr="006B6DC0">
        <w:rPr>
          <w:noProof/>
        </w:rPr>
        <w:t>(Pimentel 2005)</w:t>
      </w:r>
      <w:r w:rsidR="006B6DC0">
        <w:fldChar w:fldCharType="end"/>
      </w:r>
      <w:r>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Pr>
          <w:i/>
        </w:rPr>
        <w:t xml:space="preserve">. </w:t>
      </w:r>
      <w: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590AC694" w14:textId="77777777" w:rsidR="00491FB1" w:rsidRDefault="00DB16BF">
      <w:pPr>
        <w:spacing w:line="480" w:lineRule="auto"/>
        <w:ind w:firstLine="720"/>
      </w:pPr>
      <w:r>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0D710B43" w14:textId="77777777" w:rsidR="00491FB1" w:rsidRDefault="00491FB1">
      <w:pPr>
        <w:spacing w:line="480" w:lineRule="auto"/>
        <w:rPr>
          <w:b/>
        </w:rPr>
      </w:pPr>
    </w:p>
    <w:p w14:paraId="44C9C79B" w14:textId="77777777" w:rsidR="00491FB1" w:rsidRDefault="00DB16BF">
      <w:pPr>
        <w:spacing w:line="480" w:lineRule="auto"/>
        <w:rPr>
          <w:b/>
        </w:rPr>
      </w:pPr>
      <w:r>
        <w:rPr>
          <w:b/>
        </w:rPr>
        <w:t>PROPOSED METHODOLOGY</w:t>
      </w:r>
    </w:p>
    <w:p w14:paraId="0BFB5CFA" w14:textId="77777777" w:rsidR="00491FB1" w:rsidRDefault="00DB16BF">
      <w:pPr>
        <w:spacing w:line="480" w:lineRule="auto"/>
      </w:pPr>
      <w:r>
        <w:rPr>
          <w:b/>
        </w:rPr>
        <w:lastRenderedPageBreak/>
        <w:t xml:space="preserve">Origin and Husbandry of European Corn Corer. </w:t>
      </w:r>
      <w:r>
        <w:t xml:space="preserve">The univoltine (UZ) and bivoltine (BE) strains of European corn borer (ECB) were generously provided courtesy of Dr. </w:t>
      </w:r>
      <w:proofErr w:type="spellStart"/>
      <w:r>
        <w:t>Dopman</w:t>
      </w:r>
      <w:proofErr w:type="spellEnd"/>
      <w:r>
        <w:t xml:space="preserve"> laboratory at Tufts University. These laboratory reared colonies were established in the year (__) as larvae. These laboratory colonies will be continuously reared at 26C and a day cycle regimen of 16 hours of light and 8 hours of dark. These larvae have been sibling mated since their capture in (__) and throughout the course of these experiments. To compare the differences in energy storage between diapause destined and diapause avoiding larvae, newly hatched larvae from each colony will be reared at 23 C and under two different lighting treatments. Larvae reared at 23 C with 12 hours of light and 12 hours of dark will diapause and larvae reared at 23 C with 16 hours of light and 8 hours of dark will avoid diapause (_). Those diapause destined larvae from UZ and BE colonies will be labeled UZ12 and BE12 respectively. Those UZ and BE colony larvae reared under diapause avoiding conditions will be labeled UZ16 and BE16 respectively. Under these conditions larvae will be reared gregariously from hatching, through the 4</w:t>
      </w:r>
      <w:r>
        <w:rPr>
          <w:vertAlign w:val="superscript"/>
        </w:rPr>
        <w:t>th</w:t>
      </w:r>
      <w:r>
        <w:t xml:space="preserve"> instar.</w:t>
      </w:r>
    </w:p>
    <w:p w14:paraId="452AAA3A" w14:textId="77777777" w:rsidR="00491FB1" w:rsidRDefault="00491FB1">
      <w:pPr>
        <w:spacing w:line="480" w:lineRule="auto"/>
        <w:rPr>
          <w:b/>
        </w:rPr>
      </w:pPr>
    </w:p>
    <w:p w14:paraId="10D150E2" w14:textId="531FB1BD" w:rsidR="00491FB1" w:rsidRDefault="00DB16BF">
      <w:pPr>
        <w:spacing w:line="480" w:lineRule="auto"/>
      </w:pPr>
      <w:r>
        <w:rPr>
          <w:b/>
        </w:rPr>
        <w:t xml:space="preserve">Sampling Wandering Larvae. </w:t>
      </w:r>
      <w:r>
        <w:t xml:space="preserve">Wandering larvae will be sampled using a modified version of the framework put forth in the 1982 study by </w:t>
      </w:r>
      <w:proofErr w:type="spellStart"/>
      <w:r>
        <w:t>Gelman</w:t>
      </w:r>
      <w:proofErr w:type="spellEnd"/>
      <w:r>
        <w:t xml:space="preserve"> and Hayes. For the purposes of this experiment, the wandering stage of ECB will be determined developmentally as the stage when the larvae stop feeding, the contents of their gut is cleared, and they search for refuge in preparation for either diapause or pupation. Feeding caseation, gut clearing, and seeking refuge will each be used as proxies for the beginning of the wondering stage. A 5</w:t>
      </w:r>
      <w:r>
        <w:rPr>
          <w:vertAlign w:val="superscript"/>
        </w:rPr>
        <w:t>th</w:t>
      </w:r>
      <w:r>
        <w:t xml:space="preserve"> instar larva will be individually placed into an arena with food and allowed to eat ad libitum for 5 consecutive days. </w:t>
      </w:r>
      <w:r>
        <w:lastRenderedPageBreak/>
        <w:t>Starting on the 5</w:t>
      </w:r>
      <w:r>
        <w:rPr>
          <w:vertAlign w:val="superscript"/>
        </w:rPr>
        <w:t>th</w:t>
      </w:r>
      <w:r>
        <w:t xml:space="preserve"> day, the burrowing larva will still be provided with food ad libitum, but every 24 hours it will be separated from the food source and placed at the opposite end of the arena. Feeding cessation will be determined by the larva not returning to the food source, or the larva not eating the food source. Gut clearing will be determined when frass production is replaced by the production of liquid from the anus or there are no anal exudates. Seeking refuge will be determined by the larva walking around the arena or the larva producing a sealed silken gallery. Any combination of these behaviors will be categorized as “wandering”</w:t>
      </w:r>
      <w:r w:rsidR="00381365">
        <w:fldChar w:fldCharType="begin" w:fldLock="1"/>
      </w:r>
      <w:r w:rsidR="00F24431">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00381365">
        <w:fldChar w:fldCharType="separate"/>
      </w:r>
      <w:r w:rsidR="00381365" w:rsidRPr="00381365">
        <w:rPr>
          <w:noProof/>
        </w:rPr>
        <w:t>(Gelman and Hayes 1982)</w:t>
      </w:r>
      <w:r w:rsidR="00381365">
        <w:fldChar w:fldCharType="end"/>
      </w:r>
      <w:r>
        <w:t>. Once the developmental stage is determined to be wandering, each larval sample will be weighed, hemolymph will be extracted for protein analysis, and the larva will then be freeze dried for lipid analysis. Larvae samples will be analyzed in cohorts of 9 for protein and lipid analysis.</w:t>
      </w:r>
    </w:p>
    <w:p w14:paraId="4918B176" w14:textId="77777777" w:rsidR="00491FB1" w:rsidRDefault="00491FB1">
      <w:pPr>
        <w:spacing w:line="480" w:lineRule="auto"/>
        <w:rPr>
          <w:b/>
        </w:rPr>
      </w:pPr>
    </w:p>
    <w:p w14:paraId="535CE105" w14:textId="1028FEE1" w:rsidR="00491FB1" w:rsidRDefault="00DB16BF">
      <w:pPr>
        <w:spacing w:line="480" w:lineRule="auto"/>
      </w:pPr>
      <w:r>
        <w:rPr>
          <w:b/>
        </w:rPr>
        <w:t xml:space="preserve">Protein Extraction and Quantification: </w:t>
      </w:r>
      <w:r>
        <w:t xml:space="preserve">The hemolymph from each sample larvae will be extracted and the concentration of the total protein content in the extracted hemolymph will be measured. Extracting the lymph fluid will be done through a small incision along the cuticle of the prologs </w:t>
      </w:r>
      <w:r w:rsidR="00F24431">
        <w:fldChar w:fldCharType="begin" w:fldLock="1"/>
      </w:r>
      <w:r w:rsidR="00F24431">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"Biochrm. Phystol", "id" : "ITEM-1", "issued" : { "date-parts" : [ [ "1983" ] ] }, "page" : "367-375", "title" : "HAEMOLYMPH ECDYSTEROID TITERS OF DIAPAUSE-AND NONDIAPAUSE-BOUND FIFTH INSTARS AND PUPAE OF THE EUROPEAN CORN BORER, OSTRINIA NUZ3KALIS (HijBNER)", "type" : "article-journal", "volume" : "%A"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00F24431">
        <w:fldChar w:fldCharType="separate"/>
      </w:r>
      <w:r w:rsidR="00F24431" w:rsidRPr="00F24431">
        <w:rPr>
          <w:noProof/>
        </w:rPr>
        <w:t>(Gelman and Woods 1983)</w:t>
      </w:r>
      <w:r w:rsidR="00F24431">
        <w:fldChar w:fldCharType="end"/>
      </w:r>
      <w:r>
        <w:t xml:space="preserve">. Approximately 12 µL lymph fluid will be gathered into a pipet tip and stored into a </w:t>
      </w:r>
      <w:proofErr w:type="spellStart"/>
      <w:r>
        <w:t>microcentrifuge</w:t>
      </w:r>
      <w:proofErr w:type="spellEnd"/>
      <w:r>
        <w:t xml:space="preserve"> tube containing 500 µL of 1x PBS and 5 µL of Halt™ protease inhibitor. Sample larvae will be separated into cohorts and the protein concentration of those samples will be quantified using the Bradford protein assay. A cohort will consist of two larvae from each of the four treatment groups (UZ16, BE16, UZ12, and BE12). The Bradford assay utilizes the color shifting property of </w:t>
      </w:r>
      <w:proofErr w:type="spellStart"/>
      <w:r>
        <w:t>Coomassie</w:t>
      </w:r>
      <w:proofErr w:type="spellEnd"/>
      <w:r>
        <w:t xml:space="preserve"> Blue when it is bound to </w:t>
      </w:r>
      <w:r>
        <w:lastRenderedPageBreak/>
        <w:t>protein, the shifted color absorbs light at 595nm. The amount of light this molecule absorbs can be quantified. Bovine serum albumin dilutions of known concentration will be quantified using the Bradford assay. The measured absorbance of these dilutions of known protein concentration can be used to produce a linear relationship between absorbance and protein concentration. Dilutions of the lymph fluid of unknown concentration will be simultaneously quantified using the Bradford assay. The absorbance values at these dilutions will be compared to the dilutions of known concentration using linear regression.</w:t>
      </w:r>
    </w:p>
    <w:p w14:paraId="2D315EE6" w14:textId="77777777" w:rsidR="00491FB1" w:rsidRDefault="00491FB1">
      <w:pPr>
        <w:spacing w:line="480" w:lineRule="auto"/>
      </w:pPr>
    </w:p>
    <w:p w14:paraId="5A126E7A" w14:textId="77777777" w:rsidR="00491FB1" w:rsidRDefault="00DB16BF">
      <w:pPr>
        <w:spacing w:line="480" w:lineRule="auto"/>
      </w:pPr>
      <w:r>
        <w:rPr>
          <w:b/>
        </w:rPr>
        <w:t xml:space="preserve">Protein Separation and Identification: </w:t>
      </w:r>
      <w:r>
        <w:t xml:space="preserve">The extracted hemolymph proteins will be separated along a size gradient using sodium dodecyl sulfate-polyacrylamide gel electrophoresis (SDS-PAGE). Once the protein concentration has been quantified using the Bradford analysis, a known concentration of protein will be added to each well in the gel and a 100mV electrical current applied to the gel for approximately two hours. These conditions will separate the proteins along a mass gradient and once separated, the migrated proteins will be stained with Bio-Safe™ </w:t>
      </w:r>
      <w:proofErr w:type="spellStart"/>
      <w:r>
        <w:t>Coomassie</w:t>
      </w:r>
      <w:proofErr w:type="spellEnd"/>
      <w:r>
        <w:t xml:space="preserve"> Stain, photographed, and the relative protein densities will be compared against a protein standard. The character of these protein will be determined using 2D-electrophoresis. </w:t>
      </w:r>
    </w:p>
    <w:p w14:paraId="10251EC2" w14:textId="77777777" w:rsidR="00491FB1" w:rsidRDefault="00DB16BF">
      <w:pPr>
        <w:spacing w:line="480" w:lineRule="auto"/>
      </w:pPr>
      <w:r>
        <w:t>The separated proteins will then be identified using the facilities</w:t>
      </w:r>
      <w:r>
        <w:rPr>
          <w:b/>
        </w:rPr>
        <w:t xml:space="preserve"> </w:t>
      </w:r>
    </w:p>
    <w:p w14:paraId="7B19A32F" w14:textId="77777777" w:rsidR="00491FB1" w:rsidRDefault="00491FB1">
      <w:pPr>
        <w:spacing w:line="480" w:lineRule="auto"/>
        <w:rPr>
          <w:b/>
        </w:rPr>
      </w:pPr>
    </w:p>
    <w:p w14:paraId="21963072" w14:textId="3918F713" w:rsidR="00491FB1" w:rsidRDefault="00DB16BF">
      <w:pPr>
        <w:spacing w:line="480" w:lineRule="auto"/>
      </w:pPr>
      <w:r>
        <w:rPr>
          <w:b/>
        </w:rPr>
        <w:t xml:space="preserve">Triglyceride Extraction and Esterification: </w:t>
      </w:r>
      <w:r>
        <w:t xml:space="preserve">Preparation for the extraction and esterification will begin with separating the larvae into cohorts. A cohort will consist of five larvae from each of </w:t>
      </w:r>
      <w:r>
        <w:lastRenderedPageBreak/>
        <w:t xml:space="preserve">the four treatment groups (UZ16, BE16, UZ12, and BE12) and four null samples. The null samples will serve to characterize the background effects of the extraction method. To capture the efficiency of the extraction and esterification method, </w:t>
      </w:r>
      <w:r>
        <w:rPr>
          <w:highlight w:val="yellow"/>
        </w:rPr>
        <w:t>(_)</w:t>
      </w:r>
      <w:r>
        <w:t xml:space="preserve"> will be used as a spike-in standard. Two of the four null samples will receive a known amount of the spike-in standard. By comparing the weight of the spike-in at the start of the extraction process to the recovery amount after the chromatographic analysis (explained later) a percent yield can be calculated. Before the triglycerides can be extracted or esterified, the dry weight of the larvae will need to be obtained after a period of lyophilizing. Dryness will be assumed when a larva does not lose more than 1% of its mass over a 24-hour period. The total lipid content of each of these larvae will then be extracted using a modification of the 1957 </w:t>
      </w:r>
      <w:proofErr w:type="spellStart"/>
      <w:r>
        <w:t>Folch</w:t>
      </w:r>
      <w:proofErr w:type="spellEnd"/>
      <w:r>
        <w:t xml:space="preserve"> and Sloane Stanley method </w:t>
      </w:r>
      <w:r w:rsidR="00F24431">
        <w:fldChar w:fldCharType="begin" w:fldLock="1"/>
      </w:r>
      <w:r w:rsidR="00CA5BAD">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00F24431">
        <w:fldChar w:fldCharType="separate"/>
      </w:r>
      <w:r w:rsidR="00F24431" w:rsidRPr="00F24431">
        <w:rPr>
          <w:noProof/>
        </w:rPr>
        <w:t>(Folch et al. 1957)</w:t>
      </w:r>
      <w:r w:rsidR="00F24431">
        <w:fldChar w:fldCharType="end"/>
      </w:r>
      <w:r>
        <w:t xml:space="preserve">. This modified method will allow for the partitioning of lipids using solvents of different densities. Each larva will be pulverized in a 2:1 solution of dichloromethane and methanol at a rate of 20:1 solution volume to larva volume. The dichloromethane will discriminately solubilize the less polar lipids that make up the larvae and methanol will trap the more polar molecules. To reduce any oxidative effects of oxygen, 0.05mg/mL of BHT (butylated </w:t>
      </w:r>
      <w:proofErr w:type="spellStart"/>
      <w:r>
        <w:t>hydroxytoluene</w:t>
      </w:r>
      <w:proofErr w:type="spellEnd"/>
      <w:r>
        <w:t xml:space="preserve">) will be added to methanol. The resulting solution is decanted and saved. Dichloromethane will then be added back to the pulverized tissue, the tissue will again be pulverized and the resulting dichloromethane solution decanted and saved. This process will be repeated a total of three times. The saved solution of dichloromethane and methanol should contain the target triglycerides, along with non-target lipids, more-polar compounds, and solid some tissue, these non-target species will need to be removed. A magnesium silicate solid </w:t>
      </w:r>
      <w:r>
        <w:lastRenderedPageBreak/>
        <w:t>phase extraction column (</w:t>
      </w:r>
      <w:proofErr w:type="spellStart"/>
      <w:r>
        <w:t>Florisil</w:t>
      </w:r>
      <w:proofErr w:type="spellEnd"/>
      <w:r>
        <w:t xml:space="preserve"> SPE) will be used to fractionate the extremely polar compounds and solid debris out of the saved solution. The strongly polar adsorbent will interact strongly with the extremely polar compounds in the saved solution and its tightly packed nature will impede the movement of solids through the column. The saved solution will be placed onto the </w:t>
      </w:r>
      <w:proofErr w:type="spellStart"/>
      <w:r>
        <w:t>Florisil</w:t>
      </w:r>
      <w:proofErr w:type="spellEnd"/>
      <w:r>
        <w:t xml:space="preserve"> SPE column and the column will be rinsed with dichloromethane and methanol at rates of 1:0, 95:5, 9:1, 1:1, and 0:1 resulting in a rinsed lipid mixture. The rinsed lipid mixture will be dried under nitrogen gas and the weight recorded. To separate the more-polar lipids away from neutral triglycerides, a 2:1 mixture of dichloromethane and methanol will be added back to the dry rinsed lipids. To form an interface layer between the dichloromethane and methanol in the rinsed lipid mixture, water will be added to the solution at a rate of 20% the solutions volume and the aqueous solvent decanted and discarded. To ensure the dichloromethane layer is water free, the layer will be dried first using sodium sulfate crystals then again under nitrogen gas. This neutral lipid extract will be weighed and the extract saved.</w:t>
      </w:r>
    </w:p>
    <w:p w14:paraId="19CD4E52" w14:textId="77777777" w:rsidR="00491FB1" w:rsidRDefault="00DB16BF">
      <w:pPr>
        <w:spacing w:line="480" w:lineRule="auto"/>
        <w:ind w:firstLine="720"/>
      </w:pPr>
      <w:r>
        <w:t xml:space="preserve">After extraction, the triglycerides in the neutral lipid extract will be converted into their respective fatty acid methyl esters (FAME). To accomplish this conversion, the neutral lipid extract will be methylated via base-catalyzed esterification (AOCS, Cyber lipid, Christie, </w:t>
      </w:r>
      <w:proofErr w:type="spellStart"/>
      <w:r>
        <w:t>Ichikara</w:t>
      </w:r>
      <w:proofErr w:type="spellEnd"/>
      <w:r>
        <w:t xml:space="preserve">, bumble bee paper, unpublished work J. Beck lab). The neutral lipid extract will be heated in a solution of 10M </w:t>
      </w:r>
      <w:proofErr w:type="spellStart"/>
      <w:r>
        <w:t>methanolic</w:t>
      </w:r>
      <w:proofErr w:type="spellEnd"/>
      <w:r>
        <w:t xml:space="preserve"> potassium hydroxide for 15 minutes, the solution is then vortexed and cooled on ice. While still on ice, 12M sulfuric acid will be added to the mixture, the mixture vortexed and heated. After heating the mixture, exactly 1 mL of hexanes will be added, the </w:t>
      </w:r>
      <w:r>
        <w:lastRenderedPageBreak/>
        <w:t>solution will be vortexed, and the hexanes layer decanted for a total of 3 mL of hexanes. Finally, the 3mL FAME solution will be decanted into a vial containing hydroscopic sodium sulfate to remove any water introduced into the solution. The dry FAME solution will be stored at -80C until chromatographic analysis.</w:t>
      </w:r>
    </w:p>
    <w:p w14:paraId="74426F83" w14:textId="77777777" w:rsidR="00491FB1" w:rsidRDefault="00491FB1">
      <w:pPr>
        <w:spacing w:line="480" w:lineRule="auto"/>
        <w:rPr>
          <w:b/>
        </w:rPr>
      </w:pPr>
    </w:p>
    <w:p w14:paraId="33BCD89F" w14:textId="77777777" w:rsidR="00491FB1" w:rsidRDefault="00DB16BF">
      <w:pPr>
        <w:spacing w:line="480" w:lineRule="auto"/>
      </w:pPr>
      <w:r>
        <w:rPr>
          <w:b/>
        </w:rPr>
        <w:t>Triglyceride Identification and Quantification:</w:t>
      </w:r>
      <w:r>
        <w:t xml:space="preserve"> Using an Agilent 7980B gas-liquid chromatographer coupled with flame ionization detection (GC-FID), derivatized triglycerides will be identified and quantified. GC-FID is a method to compare the extracted esterified triglycerides to a standard mixture of esterified fatty acids of a known concentration. To identify each of the compounds in the FAME sample extract, the compounds in the mixture will be separated on a 30-meter capillary column lined with a highly polar liquid substrate, DB-WAX. The amount of time each compound spends interacting with the substrate will be recorded as its retention time and the intensity of the ionization detected will be recorded as its abundance. Each molecule in the FAME sample extract will interact with the column for a specific amount of time and that retention time will be used to identify that compound. The quantity of that compound when ignited by the flame ionizer will be recorded an abundance value. This process will be repeated using a commercially validated standard mixture of esterified lipids of known concentration and identity. The measured retention times and abundance of the compounds in the FAME sample extract will be compared to the retention times and abundance of the compounds in the standardized mixture. Comparisons of retention time and abundance will be used to estimate the identity and the concentration of the esterified triglycerides in the extract </w:t>
      </w:r>
      <w:r>
        <w:lastRenderedPageBreak/>
        <w:t>respectively.</w:t>
      </w:r>
    </w:p>
    <w:p w14:paraId="6ECF121E" w14:textId="77777777" w:rsidR="00491FB1" w:rsidRDefault="00491FB1">
      <w:pPr>
        <w:spacing w:line="480" w:lineRule="auto"/>
        <w:rPr>
          <w:b/>
        </w:rPr>
      </w:pPr>
    </w:p>
    <w:p w14:paraId="18F6F83F" w14:textId="77777777" w:rsidR="00491FB1" w:rsidRDefault="00DB16BF">
      <w:pPr>
        <w:spacing w:line="480" w:lineRule="auto"/>
        <w:rPr>
          <w:color w:val="FF0000"/>
        </w:rPr>
      </w:pPr>
      <w:r>
        <w:rPr>
          <w:b/>
          <w:color w:val="FF0000"/>
        </w:rPr>
        <w:t xml:space="preserve">Data Analysis: </w:t>
      </w:r>
      <w:r>
        <w:rPr>
          <w:color w:val="FF0000"/>
        </w:rPr>
        <w:t xml:space="preserve">Data will be analyzed in batches and the resulting data will be analyzed using multivariate analysis. This will allow for many variables to be compared and reduced simultaneously. </w:t>
      </w:r>
    </w:p>
    <w:p w14:paraId="559E395D" w14:textId="77777777" w:rsidR="00491FB1" w:rsidRDefault="00DB16BF">
      <w:pPr>
        <w:rPr>
          <w:color w:val="FF0000"/>
        </w:rPr>
      </w:pPr>
      <w:r>
        <w:rPr>
          <w:color w:val="FF0000"/>
        </w:rPr>
        <w:t>Sample size will be determined using the power analysis formula. (http://www.statmethods.net/stats/power.html) NOVA</w:t>
      </w:r>
    </w:p>
    <w:p w14:paraId="320B92A2" w14:textId="77777777" w:rsidR="00491FB1" w:rsidRDefault="00DB16BF">
      <w:pPr>
        <w:rPr>
          <w:color w:val="FF0000"/>
        </w:rPr>
      </w:pPr>
      <w:r>
        <w:rPr>
          <w:color w:val="FF0000"/>
        </w:rPr>
        <w:t>For a one-way analysis of variance use</w:t>
      </w:r>
    </w:p>
    <w:p w14:paraId="01050F45" w14:textId="77777777" w:rsidR="00491FB1" w:rsidRDefault="00DB16BF">
      <w:pPr>
        <w:rPr>
          <w:color w:val="FF0000"/>
        </w:rPr>
      </w:pPr>
      <w:proofErr w:type="spellStart"/>
      <w:proofErr w:type="gramStart"/>
      <w:r>
        <w:rPr>
          <w:color w:val="FF0000"/>
        </w:rPr>
        <w:t>pwr.anova</w:t>
      </w:r>
      <w:proofErr w:type="gramEnd"/>
      <w:r>
        <w:rPr>
          <w:color w:val="FF0000"/>
        </w:rPr>
        <w:t>.test</w:t>
      </w:r>
      <w:proofErr w:type="spellEnd"/>
      <w:r>
        <w:rPr>
          <w:color w:val="FF0000"/>
        </w:rPr>
        <w:t xml:space="preserve">(k = , n = , f = , </w:t>
      </w:r>
      <w:proofErr w:type="spellStart"/>
      <w:r>
        <w:rPr>
          <w:color w:val="FF0000"/>
        </w:rPr>
        <w:t>sig.level</w:t>
      </w:r>
      <w:proofErr w:type="spellEnd"/>
      <w:r>
        <w:rPr>
          <w:color w:val="FF0000"/>
        </w:rPr>
        <w:t xml:space="preserve"> = , power = )</w:t>
      </w:r>
    </w:p>
    <w:p w14:paraId="3A27894E" w14:textId="77777777" w:rsidR="00491FB1" w:rsidRDefault="00DB16BF">
      <w:pPr>
        <w:rPr>
          <w:color w:val="FF0000"/>
        </w:rPr>
      </w:pPr>
      <w:r>
        <w:rPr>
          <w:color w:val="FF0000"/>
        </w:rPr>
        <w:t>where k is the number of groups and n is the common sample size in each group.</w:t>
      </w:r>
    </w:p>
    <w:p w14:paraId="19CB5ADE" w14:textId="77777777" w:rsidR="00491FB1" w:rsidRDefault="00DB16BF">
      <w:pPr>
        <w:rPr>
          <w:color w:val="FF0000"/>
        </w:rPr>
      </w:pPr>
      <w:r>
        <w:rPr>
          <w:color w:val="FF0000"/>
        </w:rPr>
        <w:t>For a one-way ANOVA effect size is measured by f where</w:t>
      </w:r>
    </w:p>
    <w:p w14:paraId="604758E2" w14:textId="3F0D1812" w:rsidR="00EC435C" w:rsidRDefault="00DB16BF" w:rsidP="00C83A27">
      <w:pPr>
        <w:rPr>
          <w:color w:val="FF0000"/>
          <w:sz w:val="20"/>
          <w:szCs w:val="20"/>
        </w:rPr>
      </w:pPr>
      <w:r>
        <w:rPr>
          <w:noProof/>
        </w:rPr>
        <w:drawing>
          <wp:inline distT="0" distB="0" distL="0" distR="0" wp14:anchorId="597F3EBF" wp14:editId="0196F8C9">
            <wp:extent cx="4530090" cy="1187450"/>
            <wp:effectExtent l="0" t="0" r="0" b="0"/>
            <wp:docPr id="1" name="image2.png" descr="ohen f"/>
            <wp:cNvGraphicFramePr/>
            <a:graphic xmlns:a="http://schemas.openxmlformats.org/drawingml/2006/main">
              <a:graphicData uri="http://schemas.openxmlformats.org/drawingml/2006/picture">
                <pic:pic xmlns:pic="http://schemas.openxmlformats.org/drawingml/2006/picture">
                  <pic:nvPicPr>
                    <pic:cNvPr id="0" name="image2.png" descr="ohen f"/>
                    <pic:cNvPicPr preferRelativeResize="0"/>
                  </pic:nvPicPr>
                  <pic:blipFill>
                    <a:blip r:embed="rId8" cstate="print"/>
                    <a:srcRect/>
                    <a:stretch>
                      <a:fillRect/>
                    </a:stretch>
                  </pic:blipFill>
                  <pic:spPr>
                    <a:xfrm>
                      <a:off x="0" y="0"/>
                      <a:ext cx="4530090" cy="1187450"/>
                    </a:xfrm>
                    <a:prstGeom prst="rect">
                      <a:avLst/>
                    </a:prstGeom>
                    <a:ln/>
                  </pic:spPr>
                </pic:pic>
              </a:graphicData>
            </a:graphic>
          </wp:inline>
        </w:drawing>
      </w:r>
      <w:r>
        <w:rPr>
          <w:color w:val="FF0000"/>
        </w:rPr>
        <w:br/>
        <w:t>Cohen suggests that f values of 0.1, 0.25, and 0.4 represent small, medium, and large effect sizes respectively.</w:t>
      </w:r>
    </w:p>
    <w:p w14:paraId="4F4E6A67" w14:textId="77777777" w:rsidR="00C83A27" w:rsidRDefault="00C83A27" w:rsidP="00C83A27">
      <w:pPr>
        <w:rPr>
          <w:b/>
          <w:color w:val="000000" w:themeColor="text1"/>
          <w:sz w:val="20"/>
          <w:szCs w:val="20"/>
        </w:rPr>
      </w:pPr>
    </w:p>
    <w:p w14:paraId="7D9BFE2C" w14:textId="77777777" w:rsidR="005633A6" w:rsidRDefault="005633A6" w:rsidP="00C83A27">
      <w:pPr>
        <w:rPr>
          <w:b/>
          <w:color w:val="000000" w:themeColor="text1"/>
          <w:sz w:val="20"/>
          <w:szCs w:val="20"/>
        </w:rPr>
      </w:pPr>
    </w:p>
    <w:p w14:paraId="6472C948" w14:textId="77777777" w:rsidR="005633A6" w:rsidRDefault="005633A6" w:rsidP="00C83A27">
      <w:pPr>
        <w:rPr>
          <w:b/>
          <w:color w:val="000000" w:themeColor="text1"/>
          <w:sz w:val="20"/>
          <w:szCs w:val="20"/>
        </w:rPr>
      </w:pPr>
    </w:p>
    <w:p w14:paraId="22A0AD32" w14:textId="77777777" w:rsidR="005633A6" w:rsidRDefault="005633A6" w:rsidP="00C83A27">
      <w:pPr>
        <w:rPr>
          <w:b/>
          <w:color w:val="000000" w:themeColor="text1"/>
          <w:sz w:val="20"/>
          <w:szCs w:val="20"/>
        </w:rPr>
      </w:pPr>
    </w:p>
    <w:p w14:paraId="09210912" w14:textId="77777777" w:rsidR="005633A6" w:rsidRDefault="005633A6" w:rsidP="00C83A27">
      <w:pPr>
        <w:rPr>
          <w:b/>
          <w:color w:val="000000" w:themeColor="text1"/>
          <w:sz w:val="20"/>
          <w:szCs w:val="20"/>
        </w:rPr>
      </w:pPr>
    </w:p>
    <w:p w14:paraId="5365A9F7" w14:textId="77777777" w:rsidR="005633A6" w:rsidRDefault="005633A6" w:rsidP="00C83A27">
      <w:pPr>
        <w:rPr>
          <w:b/>
          <w:color w:val="000000" w:themeColor="text1"/>
          <w:sz w:val="20"/>
          <w:szCs w:val="20"/>
        </w:rPr>
      </w:pPr>
    </w:p>
    <w:p w14:paraId="7E364BEF" w14:textId="77777777" w:rsidR="005633A6" w:rsidRDefault="005633A6" w:rsidP="00C83A27">
      <w:pPr>
        <w:rPr>
          <w:b/>
          <w:color w:val="000000" w:themeColor="text1"/>
          <w:sz w:val="20"/>
          <w:szCs w:val="20"/>
        </w:rPr>
      </w:pPr>
    </w:p>
    <w:p w14:paraId="0A54FFF8" w14:textId="5284E4E8" w:rsidR="00C83A27" w:rsidRDefault="00C83A27" w:rsidP="00C83A27">
      <w:pPr>
        <w:rPr>
          <w:b/>
          <w:color w:val="000000" w:themeColor="text1"/>
          <w:sz w:val="20"/>
          <w:szCs w:val="20"/>
        </w:rPr>
      </w:pPr>
      <w:r>
        <w:rPr>
          <w:b/>
          <w:color w:val="000000" w:themeColor="text1"/>
          <w:sz w:val="20"/>
          <w:szCs w:val="20"/>
        </w:rPr>
        <w:t>REFERENCES:</w:t>
      </w:r>
    </w:p>
    <w:p w14:paraId="0E54CE42" w14:textId="77777777" w:rsidR="00C83A27" w:rsidRPr="00C83A27" w:rsidRDefault="00C83A27" w:rsidP="00C83A27">
      <w:pPr>
        <w:rPr>
          <w:b/>
          <w:color w:val="000000" w:themeColor="text1"/>
          <w:sz w:val="20"/>
          <w:szCs w:val="20"/>
        </w:rPr>
      </w:pPr>
    </w:p>
    <w:p w14:paraId="71947312" w14:textId="547A79A2" w:rsidR="007A4142" w:rsidRPr="007A4142" w:rsidRDefault="00C83A27" w:rsidP="007A4142">
      <w:pPr>
        <w:autoSpaceDE w:val="0"/>
        <w:autoSpaceDN w:val="0"/>
        <w:adjustRightInd w:val="0"/>
        <w:ind w:left="480" w:hanging="480"/>
        <w:rPr>
          <w:rFonts w:eastAsia="Times New Roman" w:cs="Times New Roman"/>
          <w:noProof/>
          <w:sz w:val="20"/>
        </w:rPr>
      </w:pPr>
      <w:r>
        <w:rPr>
          <w:color w:val="FF0000"/>
          <w:sz w:val="20"/>
          <w:szCs w:val="20"/>
        </w:rPr>
        <w:fldChar w:fldCharType="begin" w:fldLock="1"/>
      </w:r>
      <w:r>
        <w:rPr>
          <w:color w:val="FF0000"/>
          <w:sz w:val="20"/>
          <w:szCs w:val="20"/>
        </w:rPr>
        <w:instrText xml:space="preserve">ADDIN Mendeley Bibliography CSL_BIBLIOGRAPHY </w:instrText>
      </w:r>
      <w:r>
        <w:rPr>
          <w:color w:val="FF0000"/>
          <w:sz w:val="20"/>
          <w:szCs w:val="20"/>
        </w:rPr>
        <w:fldChar w:fldCharType="separate"/>
      </w:r>
      <w:r w:rsidR="007A4142" w:rsidRPr="007A4142">
        <w:rPr>
          <w:rFonts w:eastAsia="Times New Roman" w:cs="Times New Roman"/>
          <w:b/>
          <w:bCs/>
          <w:noProof/>
          <w:sz w:val="20"/>
        </w:rPr>
        <w:t>Agrawal, A. A.</w:t>
      </w:r>
      <w:r w:rsidR="007A4142" w:rsidRPr="007A4142">
        <w:rPr>
          <w:rFonts w:eastAsia="Times New Roman" w:cs="Times New Roman"/>
          <w:noProof/>
          <w:sz w:val="20"/>
        </w:rPr>
        <w:t xml:space="preserve"> </w:t>
      </w:r>
      <w:r w:rsidR="007A4142" w:rsidRPr="007A4142">
        <w:rPr>
          <w:rFonts w:eastAsia="Times New Roman" w:cs="Times New Roman"/>
          <w:b/>
          <w:bCs/>
          <w:noProof/>
          <w:sz w:val="20"/>
        </w:rPr>
        <w:t>2001</w:t>
      </w:r>
      <w:r w:rsidR="007A4142" w:rsidRPr="007A4142">
        <w:rPr>
          <w:rFonts w:eastAsia="Times New Roman" w:cs="Times New Roman"/>
          <w:noProof/>
          <w:sz w:val="20"/>
        </w:rPr>
        <w:t>. Phenotypic Plasticity in the Interactions and Evolution of Species. Science (80-. ). 294: 321–326.</w:t>
      </w:r>
    </w:p>
    <w:p w14:paraId="670F60B7" w14:textId="77777777" w:rsidR="007A4142" w:rsidRPr="007A4142" w:rsidRDefault="007A4142" w:rsidP="007A4142">
      <w:pPr>
        <w:autoSpaceDE w:val="0"/>
        <w:autoSpaceDN w:val="0"/>
        <w:adjustRightInd w:val="0"/>
        <w:ind w:left="480" w:hanging="480"/>
        <w:rPr>
          <w:rFonts w:eastAsia="Times New Roman" w:cs="Times New Roman"/>
          <w:noProof/>
          <w:sz w:val="20"/>
        </w:rPr>
      </w:pPr>
      <w:r w:rsidRPr="007A4142">
        <w:rPr>
          <w:rFonts w:eastAsia="Times New Roman" w:cs="Times New Roman"/>
          <w:b/>
          <w:bCs/>
          <w:noProof/>
          <w:sz w:val="20"/>
        </w:rPr>
        <w:t>Bale, J. S., and S. A. L. Hayward</w:t>
      </w:r>
      <w:r w:rsidRPr="007A4142">
        <w:rPr>
          <w:rFonts w:eastAsia="Times New Roman" w:cs="Times New Roman"/>
          <w:noProof/>
          <w:sz w:val="20"/>
        </w:rPr>
        <w:t xml:space="preserve">. </w:t>
      </w:r>
      <w:r w:rsidRPr="007A4142">
        <w:rPr>
          <w:rFonts w:eastAsia="Times New Roman" w:cs="Times New Roman"/>
          <w:b/>
          <w:bCs/>
          <w:noProof/>
          <w:sz w:val="20"/>
        </w:rPr>
        <w:t>2010</w:t>
      </w:r>
      <w:r w:rsidRPr="007A4142">
        <w:rPr>
          <w:rFonts w:eastAsia="Times New Roman" w:cs="Times New Roman"/>
          <w:noProof/>
          <w:sz w:val="20"/>
        </w:rPr>
        <w:t>. Insect overwintering in a changing climate. J. Exp. Biol. 213: 980–994.</w:t>
      </w:r>
    </w:p>
    <w:p w14:paraId="53FE2AF7" w14:textId="77777777" w:rsidR="007A4142" w:rsidRPr="007A4142" w:rsidRDefault="007A4142" w:rsidP="007A4142">
      <w:pPr>
        <w:autoSpaceDE w:val="0"/>
        <w:autoSpaceDN w:val="0"/>
        <w:adjustRightInd w:val="0"/>
        <w:ind w:left="480" w:hanging="480"/>
        <w:rPr>
          <w:rFonts w:eastAsia="Times New Roman" w:cs="Times New Roman"/>
          <w:noProof/>
          <w:sz w:val="20"/>
        </w:rPr>
      </w:pPr>
      <w:r w:rsidRPr="007A4142">
        <w:rPr>
          <w:rFonts w:eastAsia="Times New Roman" w:cs="Times New Roman"/>
          <w:b/>
          <w:bCs/>
          <w:noProof/>
          <w:sz w:val="20"/>
        </w:rPr>
        <w:t>Bale, J. S., G. J. Masters, I. D. Hodkinson, C. Awmack, T. M. Bezemer, V. K. Brown, J. Butterfield, A. Buse, J. C. Coulson, J. Farrar, J. E. G. Good, R. Harrington, S. Hartley, T. H. Jones, R. L. Lindroth, M. C. Press, I. Symrnioudis, A. D. Watt, and J. B. Whittaker</w:t>
      </w:r>
      <w:r w:rsidRPr="007A4142">
        <w:rPr>
          <w:rFonts w:eastAsia="Times New Roman" w:cs="Times New Roman"/>
          <w:noProof/>
          <w:sz w:val="20"/>
        </w:rPr>
        <w:t xml:space="preserve">. </w:t>
      </w:r>
      <w:r w:rsidRPr="007A4142">
        <w:rPr>
          <w:rFonts w:eastAsia="Times New Roman" w:cs="Times New Roman"/>
          <w:b/>
          <w:bCs/>
          <w:noProof/>
          <w:sz w:val="20"/>
        </w:rPr>
        <w:t>2002</w:t>
      </w:r>
      <w:r w:rsidRPr="007A4142">
        <w:rPr>
          <w:rFonts w:eastAsia="Times New Roman" w:cs="Times New Roman"/>
          <w:noProof/>
          <w:sz w:val="20"/>
        </w:rPr>
        <w:t>. Herbivory in global climate change research: Direct effects of rising temperature on insect herbivores. Glob. Chang. Biol. 8: 1–16.</w:t>
      </w:r>
    </w:p>
    <w:p w14:paraId="58C32171" w14:textId="77777777" w:rsidR="007A4142" w:rsidRPr="007A4142" w:rsidRDefault="007A4142" w:rsidP="007A4142">
      <w:pPr>
        <w:autoSpaceDE w:val="0"/>
        <w:autoSpaceDN w:val="0"/>
        <w:adjustRightInd w:val="0"/>
        <w:ind w:left="480" w:hanging="480"/>
        <w:rPr>
          <w:rFonts w:eastAsia="Times New Roman" w:cs="Times New Roman"/>
          <w:noProof/>
          <w:sz w:val="20"/>
        </w:rPr>
      </w:pPr>
      <w:r w:rsidRPr="007A4142">
        <w:rPr>
          <w:rFonts w:eastAsia="Times New Roman" w:cs="Times New Roman"/>
          <w:b/>
          <w:bCs/>
          <w:noProof/>
          <w:sz w:val="20"/>
        </w:rPr>
        <w:t>Bradshaw, W. E., and C. M. Holzapfel</w:t>
      </w:r>
      <w:r w:rsidRPr="007A4142">
        <w:rPr>
          <w:rFonts w:eastAsia="Times New Roman" w:cs="Times New Roman"/>
          <w:noProof/>
          <w:sz w:val="20"/>
        </w:rPr>
        <w:t xml:space="preserve">. </w:t>
      </w:r>
      <w:r w:rsidRPr="007A4142">
        <w:rPr>
          <w:rFonts w:eastAsia="Times New Roman" w:cs="Times New Roman"/>
          <w:b/>
          <w:bCs/>
          <w:noProof/>
          <w:sz w:val="20"/>
        </w:rPr>
        <w:t>2001</w:t>
      </w:r>
      <w:r w:rsidRPr="007A4142">
        <w:rPr>
          <w:rFonts w:eastAsia="Times New Roman" w:cs="Times New Roman"/>
          <w:noProof/>
          <w:sz w:val="20"/>
        </w:rPr>
        <w:t>. Genetic shift in photoperiodic response correlated with global warming. Proc. Natl. Acad. Sci. 98: 14509–14511.</w:t>
      </w:r>
    </w:p>
    <w:p w14:paraId="50E6D27A" w14:textId="77777777" w:rsidR="007A4142" w:rsidRPr="007A4142" w:rsidRDefault="007A4142" w:rsidP="007A4142">
      <w:pPr>
        <w:autoSpaceDE w:val="0"/>
        <w:autoSpaceDN w:val="0"/>
        <w:adjustRightInd w:val="0"/>
        <w:ind w:left="480" w:hanging="480"/>
        <w:rPr>
          <w:rFonts w:eastAsia="Times New Roman" w:cs="Times New Roman"/>
          <w:noProof/>
          <w:sz w:val="20"/>
        </w:rPr>
      </w:pPr>
      <w:r w:rsidRPr="007A4142">
        <w:rPr>
          <w:rFonts w:eastAsia="Times New Roman" w:cs="Times New Roman"/>
          <w:b/>
          <w:bCs/>
          <w:noProof/>
          <w:sz w:val="20"/>
        </w:rPr>
        <w:t>Bradshaw, W. E., and C. M. Holzapfel</w:t>
      </w:r>
      <w:r w:rsidRPr="007A4142">
        <w:rPr>
          <w:rFonts w:eastAsia="Times New Roman" w:cs="Times New Roman"/>
          <w:noProof/>
          <w:sz w:val="20"/>
        </w:rPr>
        <w:t xml:space="preserve">. </w:t>
      </w:r>
      <w:r w:rsidRPr="007A4142">
        <w:rPr>
          <w:rFonts w:eastAsia="Times New Roman" w:cs="Times New Roman"/>
          <w:b/>
          <w:bCs/>
          <w:noProof/>
          <w:sz w:val="20"/>
        </w:rPr>
        <w:t>2008</w:t>
      </w:r>
      <w:r w:rsidRPr="007A4142">
        <w:rPr>
          <w:rFonts w:eastAsia="Times New Roman" w:cs="Times New Roman"/>
          <w:noProof/>
          <w:sz w:val="20"/>
        </w:rPr>
        <w:t>. Genetic response to rapid climate change: It’s seasonal timing that matters. Mol. Ecol. 17: 157–166.</w:t>
      </w:r>
    </w:p>
    <w:p w14:paraId="422577C6" w14:textId="77777777" w:rsidR="007A4142" w:rsidRPr="007A4142" w:rsidRDefault="007A4142" w:rsidP="007A4142">
      <w:pPr>
        <w:autoSpaceDE w:val="0"/>
        <w:autoSpaceDN w:val="0"/>
        <w:adjustRightInd w:val="0"/>
        <w:ind w:left="480" w:hanging="480"/>
        <w:rPr>
          <w:rFonts w:eastAsia="Times New Roman" w:cs="Times New Roman"/>
          <w:noProof/>
          <w:sz w:val="20"/>
        </w:rPr>
      </w:pPr>
      <w:r w:rsidRPr="007A4142">
        <w:rPr>
          <w:rFonts w:eastAsia="Times New Roman" w:cs="Times New Roman"/>
          <w:b/>
          <w:bCs/>
          <w:noProof/>
          <w:sz w:val="20"/>
        </w:rPr>
        <w:t>Bradshaw, W., and C. Holzapfel</w:t>
      </w:r>
      <w:r w:rsidRPr="007A4142">
        <w:rPr>
          <w:rFonts w:eastAsia="Times New Roman" w:cs="Times New Roman"/>
          <w:noProof/>
          <w:sz w:val="20"/>
        </w:rPr>
        <w:t xml:space="preserve">. </w:t>
      </w:r>
      <w:r w:rsidRPr="007A4142">
        <w:rPr>
          <w:rFonts w:eastAsia="Times New Roman" w:cs="Times New Roman"/>
          <w:b/>
          <w:bCs/>
          <w:noProof/>
          <w:sz w:val="20"/>
        </w:rPr>
        <w:t>2006</w:t>
      </w:r>
      <w:r w:rsidRPr="007A4142">
        <w:rPr>
          <w:rFonts w:eastAsia="Times New Roman" w:cs="Times New Roman"/>
          <w:noProof/>
          <w:sz w:val="20"/>
        </w:rPr>
        <w:t>. Evolutionary Response to Rapid Climate Change. Science (80-. ). 312: 1477–</w:t>
      </w:r>
      <w:r w:rsidRPr="007A4142">
        <w:rPr>
          <w:rFonts w:eastAsia="Times New Roman" w:cs="Times New Roman"/>
          <w:noProof/>
          <w:sz w:val="20"/>
        </w:rPr>
        <w:lastRenderedPageBreak/>
        <w:t>1478.</w:t>
      </w:r>
    </w:p>
    <w:p w14:paraId="3270BE86" w14:textId="77777777" w:rsidR="007A4142" w:rsidRPr="007A4142" w:rsidRDefault="007A4142" w:rsidP="007A4142">
      <w:pPr>
        <w:autoSpaceDE w:val="0"/>
        <w:autoSpaceDN w:val="0"/>
        <w:adjustRightInd w:val="0"/>
        <w:ind w:left="480" w:hanging="480"/>
        <w:rPr>
          <w:rFonts w:eastAsia="Times New Roman" w:cs="Times New Roman"/>
          <w:noProof/>
          <w:sz w:val="20"/>
        </w:rPr>
      </w:pPr>
      <w:r w:rsidRPr="007A4142">
        <w:rPr>
          <w:rFonts w:eastAsia="Times New Roman" w:cs="Times New Roman"/>
          <w:b/>
          <w:bCs/>
          <w:noProof/>
          <w:sz w:val="20"/>
        </w:rPr>
        <w:t>Breed, G. A., S. Stichter, and E. E. Crone</w:t>
      </w:r>
      <w:r w:rsidRPr="007A4142">
        <w:rPr>
          <w:rFonts w:eastAsia="Times New Roman" w:cs="Times New Roman"/>
          <w:noProof/>
          <w:sz w:val="20"/>
        </w:rPr>
        <w:t xml:space="preserve">. </w:t>
      </w:r>
      <w:r w:rsidRPr="007A4142">
        <w:rPr>
          <w:rFonts w:eastAsia="Times New Roman" w:cs="Times New Roman"/>
          <w:b/>
          <w:bCs/>
          <w:noProof/>
          <w:sz w:val="20"/>
        </w:rPr>
        <w:t>2012</w:t>
      </w:r>
      <w:r w:rsidRPr="007A4142">
        <w:rPr>
          <w:rFonts w:eastAsia="Times New Roman" w:cs="Times New Roman"/>
          <w:noProof/>
          <w:sz w:val="20"/>
        </w:rPr>
        <w:t>. Climate-driven changes in northeastern US butterfly communities. Nat. Clim. Chang. 3: 142–145.</w:t>
      </w:r>
    </w:p>
    <w:p w14:paraId="2A49DB1F" w14:textId="77777777" w:rsidR="007A4142" w:rsidRPr="007A4142" w:rsidRDefault="007A4142" w:rsidP="007A4142">
      <w:pPr>
        <w:autoSpaceDE w:val="0"/>
        <w:autoSpaceDN w:val="0"/>
        <w:adjustRightInd w:val="0"/>
        <w:ind w:left="480" w:hanging="480"/>
        <w:rPr>
          <w:rFonts w:eastAsia="Times New Roman" w:cs="Times New Roman"/>
          <w:noProof/>
          <w:sz w:val="20"/>
        </w:rPr>
      </w:pPr>
      <w:r w:rsidRPr="007A4142">
        <w:rPr>
          <w:rFonts w:eastAsia="Times New Roman" w:cs="Times New Roman"/>
          <w:b/>
          <w:bCs/>
          <w:noProof/>
          <w:sz w:val="20"/>
        </w:rPr>
        <w:t>DeLucia, E. H., C. L. Casteel, P. D. Nabity, and B. F. O’Neill</w:t>
      </w:r>
      <w:r w:rsidRPr="007A4142">
        <w:rPr>
          <w:rFonts w:eastAsia="Times New Roman" w:cs="Times New Roman"/>
          <w:noProof/>
          <w:sz w:val="20"/>
        </w:rPr>
        <w:t xml:space="preserve">. </w:t>
      </w:r>
      <w:r w:rsidRPr="007A4142">
        <w:rPr>
          <w:rFonts w:eastAsia="Times New Roman" w:cs="Times New Roman"/>
          <w:b/>
          <w:bCs/>
          <w:noProof/>
          <w:sz w:val="20"/>
        </w:rPr>
        <w:t>2008</w:t>
      </w:r>
      <w:r w:rsidRPr="007A4142">
        <w:rPr>
          <w:rFonts w:eastAsia="Times New Roman" w:cs="Times New Roman"/>
          <w:noProof/>
          <w:sz w:val="20"/>
        </w:rPr>
        <w:t>. Insects take a bigger bite out of plants in a warmer, higher carbon dioxide world. Proc. Natl. Acad. Sci. 105: 1781–1782.</w:t>
      </w:r>
    </w:p>
    <w:p w14:paraId="6E67EFD4" w14:textId="77777777" w:rsidR="007A4142" w:rsidRPr="007A4142" w:rsidRDefault="007A4142" w:rsidP="007A4142">
      <w:pPr>
        <w:autoSpaceDE w:val="0"/>
        <w:autoSpaceDN w:val="0"/>
        <w:adjustRightInd w:val="0"/>
        <w:ind w:left="480" w:hanging="480"/>
        <w:rPr>
          <w:rFonts w:eastAsia="Times New Roman" w:cs="Times New Roman"/>
          <w:noProof/>
          <w:sz w:val="20"/>
        </w:rPr>
      </w:pPr>
      <w:r w:rsidRPr="007A4142">
        <w:rPr>
          <w:rFonts w:eastAsia="Times New Roman" w:cs="Times New Roman"/>
          <w:b/>
          <w:bCs/>
          <w:noProof/>
          <w:sz w:val="20"/>
        </w:rPr>
        <w:t>Denlinger, D. L.</w:t>
      </w:r>
      <w:r w:rsidRPr="007A4142">
        <w:rPr>
          <w:rFonts w:eastAsia="Times New Roman" w:cs="Times New Roman"/>
          <w:noProof/>
          <w:sz w:val="20"/>
        </w:rPr>
        <w:t xml:space="preserve"> </w:t>
      </w:r>
      <w:r w:rsidRPr="007A4142">
        <w:rPr>
          <w:rFonts w:eastAsia="Times New Roman" w:cs="Times New Roman"/>
          <w:b/>
          <w:bCs/>
          <w:noProof/>
          <w:sz w:val="20"/>
        </w:rPr>
        <w:t>2008</w:t>
      </w:r>
      <w:r w:rsidRPr="007A4142">
        <w:rPr>
          <w:rFonts w:eastAsia="Times New Roman" w:cs="Times New Roman"/>
          <w:noProof/>
          <w:sz w:val="20"/>
        </w:rPr>
        <w:t>. Why study diapause? Entomol. Res. 38: 1–9.</w:t>
      </w:r>
    </w:p>
    <w:p w14:paraId="2468815E" w14:textId="77777777" w:rsidR="007A4142" w:rsidRPr="007A4142" w:rsidRDefault="007A4142" w:rsidP="007A4142">
      <w:pPr>
        <w:autoSpaceDE w:val="0"/>
        <w:autoSpaceDN w:val="0"/>
        <w:adjustRightInd w:val="0"/>
        <w:ind w:left="480" w:hanging="480"/>
        <w:rPr>
          <w:rFonts w:eastAsia="Times New Roman" w:cs="Times New Roman"/>
          <w:noProof/>
          <w:sz w:val="20"/>
        </w:rPr>
      </w:pPr>
      <w:r w:rsidRPr="007A4142">
        <w:rPr>
          <w:rFonts w:eastAsia="Times New Roman" w:cs="Times New Roman"/>
          <w:b/>
          <w:bCs/>
          <w:noProof/>
          <w:sz w:val="20"/>
        </w:rPr>
        <w:t>Fernandez-Cornejo, J., R. Nehring, C. Osteen, S. Wechsler, A. Martin, and A. Vialou</w:t>
      </w:r>
      <w:r w:rsidRPr="007A4142">
        <w:rPr>
          <w:rFonts w:eastAsia="Times New Roman" w:cs="Times New Roman"/>
          <w:noProof/>
          <w:sz w:val="20"/>
        </w:rPr>
        <w:t xml:space="preserve">. </w:t>
      </w:r>
      <w:r w:rsidRPr="007A4142">
        <w:rPr>
          <w:rFonts w:eastAsia="Times New Roman" w:cs="Times New Roman"/>
          <w:b/>
          <w:bCs/>
          <w:noProof/>
          <w:sz w:val="20"/>
        </w:rPr>
        <w:t>2014</w:t>
      </w:r>
      <w:r w:rsidRPr="007A4142">
        <w:rPr>
          <w:rFonts w:eastAsia="Times New Roman" w:cs="Times New Roman"/>
          <w:noProof/>
          <w:sz w:val="20"/>
        </w:rPr>
        <w:t>. Pesticide Use in U.S. Agriculture: 21 Selected Crops, 1960-2008.</w:t>
      </w:r>
    </w:p>
    <w:p w14:paraId="5837B59C" w14:textId="77777777" w:rsidR="007A4142" w:rsidRPr="007A4142" w:rsidRDefault="007A4142" w:rsidP="007A4142">
      <w:pPr>
        <w:autoSpaceDE w:val="0"/>
        <w:autoSpaceDN w:val="0"/>
        <w:adjustRightInd w:val="0"/>
        <w:ind w:left="480" w:hanging="480"/>
        <w:rPr>
          <w:rFonts w:eastAsia="Times New Roman" w:cs="Times New Roman"/>
          <w:noProof/>
          <w:sz w:val="20"/>
        </w:rPr>
      </w:pPr>
      <w:r w:rsidRPr="007A4142">
        <w:rPr>
          <w:rFonts w:eastAsia="Times New Roman" w:cs="Times New Roman"/>
          <w:b/>
          <w:bCs/>
          <w:noProof/>
          <w:sz w:val="20"/>
        </w:rPr>
        <w:t>Folch, J., M. Lees, and G. H. S. Stanley</w:t>
      </w:r>
      <w:r w:rsidRPr="007A4142">
        <w:rPr>
          <w:rFonts w:eastAsia="Times New Roman" w:cs="Times New Roman"/>
          <w:noProof/>
          <w:sz w:val="20"/>
        </w:rPr>
        <w:t xml:space="preserve">. </w:t>
      </w:r>
      <w:r w:rsidRPr="007A4142">
        <w:rPr>
          <w:rFonts w:eastAsia="Times New Roman" w:cs="Times New Roman"/>
          <w:b/>
          <w:bCs/>
          <w:noProof/>
          <w:sz w:val="20"/>
        </w:rPr>
        <w:t>1957</w:t>
      </w:r>
      <w:r w:rsidRPr="007A4142">
        <w:rPr>
          <w:rFonts w:eastAsia="Times New Roman" w:cs="Times New Roman"/>
          <w:noProof/>
          <w:sz w:val="20"/>
        </w:rPr>
        <w:t>. A simple method for the isolation and purification of total lipids from animal tissues. J Biol Chem.</w:t>
      </w:r>
    </w:p>
    <w:p w14:paraId="6C3EFFEE" w14:textId="77777777" w:rsidR="007A4142" w:rsidRPr="007A4142" w:rsidRDefault="007A4142" w:rsidP="007A4142">
      <w:pPr>
        <w:autoSpaceDE w:val="0"/>
        <w:autoSpaceDN w:val="0"/>
        <w:adjustRightInd w:val="0"/>
        <w:ind w:left="480" w:hanging="480"/>
        <w:rPr>
          <w:rFonts w:eastAsia="Times New Roman" w:cs="Times New Roman"/>
          <w:noProof/>
          <w:sz w:val="20"/>
        </w:rPr>
      </w:pPr>
      <w:r w:rsidRPr="007A4142">
        <w:rPr>
          <w:rFonts w:eastAsia="Times New Roman" w:cs="Times New Roman"/>
          <w:b/>
          <w:bCs/>
          <w:noProof/>
          <w:sz w:val="20"/>
        </w:rPr>
        <w:t>Gelman, D. B., and D. K. Hayes</w:t>
      </w:r>
      <w:r w:rsidRPr="007A4142">
        <w:rPr>
          <w:rFonts w:eastAsia="Times New Roman" w:cs="Times New Roman"/>
          <w:noProof/>
          <w:sz w:val="20"/>
        </w:rPr>
        <w:t xml:space="preserve">. </w:t>
      </w:r>
      <w:r w:rsidRPr="007A4142">
        <w:rPr>
          <w:rFonts w:eastAsia="Times New Roman" w:cs="Times New Roman"/>
          <w:b/>
          <w:bCs/>
          <w:noProof/>
          <w:sz w:val="20"/>
        </w:rPr>
        <w:t>1982</w:t>
      </w:r>
      <w:r w:rsidRPr="007A4142">
        <w:rPr>
          <w:rFonts w:eastAsia="Times New Roman" w:cs="Times New Roman"/>
          <w:noProof/>
          <w:sz w:val="20"/>
        </w:rPr>
        <w:t>. Methods and Markers for Synchronizing Maturation of Fifth-Stage Larvae and Pupae of the European Corn Borer , Ostrinia nubilalis. Ann. Entomol. Soc. 75: 485–493.</w:t>
      </w:r>
    </w:p>
    <w:p w14:paraId="47ED3AA2" w14:textId="77777777" w:rsidR="007A4142" w:rsidRPr="007A4142" w:rsidRDefault="007A4142" w:rsidP="007A4142">
      <w:pPr>
        <w:autoSpaceDE w:val="0"/>
        <w:autoSpaceDN w:val="0"/>
        <w:adjustRightInd w:val="0"/>
        <w:ind w:left="480" w:hanging="480"/>
        <w:rPr>
          <w:rFonts w:eastAsia="Times New Roman" w:cs="Times New Roman"/>
          <w:noProof/>
          <w:sz w:val="20"/>
        </w:rPr>
      </w:pPr>
      <w:r w:rsidRPr="007A4142">
        <w:rPr>
          <w:rFonts w:eastAsia="Times New Roman" w:cs="Times New Roman"/>
          <w:b/>
          <w:bCs/>
          <w:noProof/>
          <w:sz w:val="20"/>
        </w:rPr>
        <w:t>Gelman, D. B., and C. W. Woods</w:t>
      </w:r>
      <w:r w:rsidRPr="007A4142">
        <w:rPr>
          <w:rFonts w:eastAsia="Times New Roman" w:cs="Times New Roman"/>
          <w:noProof/>
          <w:sz w:val="20"/>
        </w:rPr>
        <w:t xml:space="preserve">. </w:t>
      </w:r>
      <w:r w:rsidRPr="007A4142">
        <w:rPr>
          <w:rFonts w:eastAsia="Times New Roman" w:cs="Times New Roman"/>
          <w:b/>
          <w:bCs/>
          <w:noProof/>
          <w:sz w:val="20"/>
        </w:rPr>
        <w:t>1983</w:t>
      </w:r>
      <w:r w:rsidRPr="007A4142">
        <w:rPr>
          <w:rFonts w:eastAsia="Times New Roman" w:cs="Times New Roman"/>
          <w:noProof/>
          <w:sz w:val="20"/>
        </w:rPr>
        <w:t>. HAEMOLYMPH ECDYSTEROID TITERS OF DIAPAUSE-AND NONDIAPAUSE-BOUND FIFTH INSTARS AND PUPAE OF THE EUROPEAN CORN BORER, OSTRINIA NUZ3KALIS (HijBNER). Biochrm. Phystol. %A: 367–375.</w:t>
      </w:r>
    </w:p>
    <w:p w14:paraId="72EF255A" w14:textId="77777777" w:rsidR="007A4142" w:rsidRPr="007A4142" w:rsidRDefault="007A4142" w:rsidP="007A4142">
      <w:pPr>
        <w:autoSpaceDE w:val="0"/>
        <w:autoSpaceDN w:val="0"/>
        <w:adjustRightInd w:val="0"/>
        <w:ind w:left="480" w:hanging="480"/>
        <w:rPr>
          <w:rFonts w:eastAsia="Times New Roman" w:cs="Times New Roman"/>
          <w:noProof/>
          <w:sz w:val="20"/>
        </w:rPr>
      </w:pPr>
      <w:r w:rsidRPr="007A4142">
        <w:rPr>
          <w:rFonts w:eastAsia="Times New Roman" w:cs="Times New Roman"/>
          <w:b/>
          <w:bCs/>
          <w:noProof/>
          <w:sz w:val="20"/>
        </w:rPr>
        <w:t>Hahn, D. A., and D. L. Denlinger</w:t>
      </w:r>
      <w:r w:rsidRPr="007A4142">
        <w:rPr>
          <w:rFonts w:eastAsia="Times New Roman" w:cs="Times New Roman"/>
          <w:noProof/>
          <w:sz w:val="20"/>
        </w:rPr>
        <w:t xml:space="preserve">. </w:t>
      </w:r>
      <w:r w:rsidRPr="007A4142">
        <w:rPr>
          <w:rFonts w:eastAsia="Times New Roman" w:cs="Times New Roman"/>
          <w:b/>
          <w:bCs/>
          <w:noProof/>
          <w:sz w:val="20"/>
        </w:rPr>
        <w:t>2011</w:t>
      </w:r>
      <w:r w:rsidRPr="007A4142">
        <w:rPr>
          <w:rFonts w:eastAsia="Times New Roman" w:cs="Times New Roman"/>
          <w:noProof/>
          <w:sz w:val="20"/>
        </w:rPr>
        <w:t>. Energetics of Insect Diapause. Annu. Rev. Entomol. 56: 103–121.</w:t>
      </w:r>
    </w:p>
    <w:p w14:paraId="5B78D8FE" w14:textId="77777777" w:rsidR="007A4142" w:rsidRPr="007A4142" w:rsidRDefault="007A4142" w:rsidP="007A4142">
      <w:pPr>
        <w:autoSpaceDE w:val="0"/>
        <w:autoSpaceDN w:val="0"/>
        <w:adjustRightInd w:val="0"/>
        <w:ind w:left="480" w:hanging="480"/>
        <w:rPr>
          <w:rFonts w:eastAsia="Times New Roman" w:cs="Times New Roman"/>
          <w:noProof/>
          <w:sz w:val="20"/>
        </w:rPr>
      </w:pPr>
      <w:r w:rsidRPr="007A4142">
        <w:rPr>
          <w:rFonts w:eastAsia="Times New Roman" w:cs="Times New Roman"/>
          <w:b/>
          <w:bCs/>
          <w:noProof/>
          <w:sz w:val="20"/>
        </w:rPr>
        <w:t>Høye, T. T., E. Post, H. Meltofte, N. M. Schmidt, and M. C. Forchhammer</w:t>
      </w:r>
      <w:r w:rsidRPr="007A4142">
        <w:rPr>
          <w:rFonts w:eastAsia="Times New Roman" w:cs="Times New Roman"/>
          <w:noProof/>
          <w:sz w:val="20"/>
        </w:rPr>
        <w:t xml:space="preserve">. </w:t>
      </w:r>
      <w:r w:rsidRPr="007A4142">
        <w:rPr>
          <w:rFonts w:eastAsia="Times New Roman" w:cs="Times New Roman"/>
          <w:b/>
          <w:bCs/>
          <w:noProof/>
          <w:sz w:val="20"/>
        </w:rPr>
        <w:t>2007</w:t>
      </w:r>
      <w:r w:rsidRPr="007A4142">
        <w:rPr>
          <w:rFonts w:eastAsia="Times New Roman" w:cs="Times New Roman"/>
          <w:noProof/>
          <w:sz w:val="20"/>
        </w:rPr>
        <w:t>. Rapid advancement of spring in the High Arctic. Curr. Biol.</w:t>
      </w:r>
    </w:p>
    <w:p w14:paraId="4629664F" w14:textId="77777777" w:rsidR="007A4142" w:rsidRPr="007A4142" w:rsidRDefault="007A4142" w:rsidP="007A4142">
      <w:pPr>
        <w:autoSpaceDE w:val="0"/>
        <w:autoSpaceDN w:val="0"/>
        <w:adjustRightInd w:val="0"/>
        <w:ind w:left="480" w:hanging="480"/>
        <w:rPr>
          <w:rFonts w:eastAsia="Times New Roman" w:cs="Times New Roman"/>
          <w:noProof/>
          <w:sz w:val="20"/>
        </w:rPr>
      </w:pPr>
      <w:r w:rsidRPr="007A4142">
        <w:rPr>
          <w:rFonts w:eastAsia="Times New Roman" w:cs="Times New Roman"/>
          <w:b/>
          <w:bCs/>
          <w:noProof/>
          <w:sz w:val="20"/>
        </w:rPr>
        <w:t>Lee, C. E. E.</w:t>
      </w:r>
      <w:r w:rsidRPr="007A4142">
        <w:rPr>
          <w:rFonts w:eastAsia="Times New Roman" w:cs="Times New Roman"/>
          <w:noProof/>
          <w:sz w:val="20"/>
        </w:rPr>
        <w:t xml:space="preserve"> </w:t>
      </w:r>
      <w:r w:rsidRPr="007A4142">
        <w:rPr>
          <w:rFonts w:eastAsia="Times New Roman" w:cs="Times New Roman"/>
          <w:b/>
          <w:bCs/>
          <w:noProof/>
          <w:sz w:val="20"/>
        </w:rPr>
        <w:t>2002</w:t>
      </w:r>
      <w:r w:rsidRPr="007A4142">
        <w:rPr>
          <w:rFonts w:eastAsia="Times New Roman" w:cs="Times New Roman"/>
          <w:noProof/>
          <w:sz w:val="20"/>
        </w:rPr>
        <w:t>. Evolutionary genetics of invasive species. Trends Ecol. Evol. 17: 386–391.</w:t>
      </w:r>
    </w:p>
    <w:p w14:paraId="3D46BCF7" w14:textId="77777777" w:rsidR="007A4142" w:rsidRPr="007A4142" w:rsidRDefault="007A4142" w:rsidP="007A4142">
      <w:pPr>
        <w:autoSpaceDE w:val="0"/>
        <w:autoSpaceDN w:val="0"/>
        <w:adjustRightInd w:val="0"/>
        <w:ind w:left="480" w:hanging="480"/>
        <w:rPr>
          <w:rFonts w:eastAsia="Times New Roman" w:cs="Times New Roman"/>
          <w:noProof/>
          <w:sz w:val="20"/>
        </w:rPr>
      </w:pPr>
      <w:r w:rsidRPr="007A4142">
        <w:rPr>
          <w:rFonts w:eastAsia="Times New Roman" w:cs="Times New Roman"/>
          <w:b/>
          <w:bCs/>
          <w:noProof/>
          <w:sz w:val="20"/>
        </w:rPr>
        <w:t>Melorose, J., R. Perroy, and S. Careas</w:t>
      </w:r>
      <w:r w:rsidRPr="007A4142">
        <w:rPr>
          <w:rFonts w:eastAsia="Times New Roman" w:cs="Times New Roman"/>
          <w:noProof/>
          <w:sz w:val="20"/>
        </w:rPr>
        <w:t xml:space="preserve">. </w:t>
      </w:r>
      <w:r w:rsidRPr="007A4142">
        <w:rPr>
          <w:rFonts w:eastAsia="Times New Roman" w:cs="Times New Roman"/>
          <w:b/>
          <w:bCs/>
          <w:noProof/>
          <w:sz w:val="20"/>
        </w:rPr>
        <w:t>2015</w:t>
      </w:r>
      <w:r w:rsidRPr="007A4142">
        <w:rPr>
          <w:rFonts w:eastAsia="Times New Roman" w:cs="Times New Roman"/>
          <w:noProof/>
          <w:sz w:val="20"/>
        </w:rPr>
        <w:t>. World Population Prospects: The 2015 Revision, Key Findings and Advance Tables. Working Paper No. ESA/P/WP.241., United Nations, Dep. Econ. Soc. Aff. Popul. Div.</w:t>
      </w:r>
    </w:p>
    <w:p w14:paraId="5DCC2885" w14:textId="77777777" w:rsidR="007A4142" w:rsidRPr="007A4142" w:rsidRDefault="007A4142" w:rsidP="007A4142">
      <w:pPr>
        <w:autoSpaceDE w:val="0"/>
        <w:autoSpaceDN w:val="0"/>
        <w:adjustRightInd w:val="0"/>
        <w:ind w:left="480" w:hanging="480"/>
        <w:rPr>
          <w:rFonts w:eastAsia="Times New Roman" w:cs="Times New Roman"/>
          <w:noProof/>
          <w:sz w:val="20"/>
        </w:rPr>
      </w:pPr>
      <w:r w:rsidRPr="007A4142">
        <w:rPr>
          <w:rFonts w:eastAsia="Times New Roman" w:cs="Times New Roman"/>
          <w:b/>
          <w:bCs/>
          <w:noProof/>
          <w:sz w:val="20"/>
        </w:rPr>
        <w:t>NOAA National Centers for Environmental Information</w:t>
      </w:r>
      <w:r w:rsidRPr="007A4142">
        <w:rPr>
          <w:rFonts w:eastAsia="Times New Roman" w:cs="Times New Roman"/>
          <w:noProof/>
          <w:sz w:val="20"/>
        </w:rPr>
        <w:t xml:space="preserve">. </w:t>
      </w:r>
      <w:r w:rsidRPr="007A4142">
        <w:rPr>
          <w:rFonts w:eastAsia="Times New Roman" w:cs="Times New Roman"/>
          <w:b/>
          <w:bCs/>
          <w:noProof/>
          <w:sz w:val="20"/>
        </w:rPr>
        <w:t>2017</w:t>
      </w:r>
      <w:r w:rsidRPr="007A4142">
        <w:rPr>
          <w:rFonts w:eastAsia="Times New Roman" w:cs="Times New Roman"/>
          <w:noProof/>
          <w:sz w:val="20"/>
        </w:rPr>
        <w:t>. State of the Climate: Global Climate Report for Annual 2016. (https://www.ncdc.noaa.gov/sotc/national/201613).</w:t>
      </w:r>
    </w:p>
    <w:p w14:paraId="7C3B5985" w14:textId="77777777" w:rsidR="007A4142" w:rsidRPr="007A4142" w:rsidRDefault="007A4142" w:rsidP="007A4142">
      <w:pPr>
        <w:autoSpaceDE w:val="0"/>
        <w:autoSpaceDN w:val="0"/>
        <w:adjustRightInd w:val="0"/>
        <w:ind w:left="480" w:hanging="480"/>
        <w:rPr>
          <w:rFonts w:eastAsia="Times New Roman" w:cs="Times New Roman"/>
          <w:noProof/>
          <w:sz w:val="20"/>
        </w:rPr>
      </w:pPr>
      <w:r w:rsidRPr="007A4142">
        <w:rPr>
          <w:rFonts w:eastAsia="Times New Roman" w:cs="Times New Roman"/>
          <w:b/>
          <w:bCs/>
          <w:noProof/>
          <w:sz w:val="20"/>
        </w:rPr>
        <w:t>Overpeck, J.</w:t>
      </w:r>
      <w:r w:rsidRPr="007A4142">
        <w:rPr>
          <w:rFonts w:eastAsia="Times New Roman" w:cs="Times New Roman"/>
          <w:noProof/>
          <w:sz w:val="20"/>
        </w:rPr>
        <w:t xml:space="preserve"> </w:t>
      </w:r>
      <w:r w:rsidRPr="007A4142">
        <w:rPr>
          <w:rFonts w:eastAsia="Times New Roman" w:cs="Times New Roman"/>
          <w:b/>
          <w:bCs/>
          <w:noProof/>
          <w:sz w:val="20"/>
        </w:rPr>
        <w:t>1997</w:t>
      </w:r>
      <w:r w:rsidRPr="007A4142">
        <w:rPr>
          <w:rFonts w:eastAsia="Times New Roman" w:cs="Times New Roman"/>
          <w:noProof/>
          <w:sz w:val="20"/>
        </w:rPr>
        <w:t>. Arctic Environmental Change of the Last Four Centuries. Science (80-. ). 278: 1251–1256.</w:t>
      </w:r>
    </w:p>
    <w:p w14:paraId="0BE6300A" w14:textId="77777777" w:rsidR="007A4142" w:rsidRPr="007A4142" w:rsidRDefault="007A4142" w:rsidP="007A4142">
      <w:pPr>
        <w:autoSpaceDE w:val="0"/>
        <w:autoSpaceDN w:val="0"/>
        <w:adjustRightInd w:val="0"/>
        <w:ind w:left="480" w:hanging="480"/>
        <w:rPr>
          <w:rFonts w:eastAsia="Times New Roman" w:cs="Times New Roman"/>
          <w:noProof/>
          <w:sz w:val="20"/>
        </w:rPr>
      </w:pPr>
      <w:r w:rsidRPr="007A4142">
        <w:rPr>
          <w:rFonts w:eastAsia="Times New Roman" w:cs="Times New Roman"/>
          <w:b/>
          <w:bCs/>
          <w:noProof/>
          <w:sz w:val="20"/>
        </w:rPr>
        <w:t>Parmesan, C., N. Ryrholm, C. Stefanescu, J. K. Hill, C. D. Thomas, H. Descimon, B. Huntley, L. Kaila, J. Kullberg, T. Tammaru, W. J. Tennent, J. a Thomas, and M. Warren</w:t>
      </w:r>
      <w:r w:rsidRPr="007A4142">
        <w:rPr>
          <w:rFonts w:eastAsia="Times New Roman" w:cs="Times New Roman"/>
          <w:noProof/>
          <w:sz w:val="20"/>
        </w:rPr>
        <w:t xml:space="preserve">. </w:t>
      </w:r>
      <w:r w:rsidRPr="007A4142">
        <w:rPr>
          <w:rFonts w:eastAsia="Times New Roman" w:cs="Times New Roman"/>
          <w:b/>
          <w:bCs/>
          <w:noProof/>
          <w:sz w:val="20"/>
        </w:rPr>
        <w:t>1999</w:t>
      </w:r>
      <w:r w:rsidRPr="007A4142">
        <w:rPr>
          <w:rFonts w:eastAsia="Times New Roman" w:cs="Times New Roman"/>
          <w:noProof/>
          <w:sz w:val="20"/>
        </w:rPr>
        <w:t>. Poleward shifts in geographical ranges of butterfly species associated with regional warming. Nature. 399: 579–583.</w:t>
      </w:r>
    </w:p>
    <w:p w14:paraId="18CDB8B1" w14:textId="77777777" w:rsidR="007A4142" w:rsidRPr="007A4142" w:rsidRDefault="007A4142" w:rsidP="007A4142">
      <w:pPr>
        <w:autoSpaceDE w:val="0"/>
        <w:autoSpaceDN w:val="0"/>
        <w:adjustRightInd w:val="0"/>
        <w:ind w:left="480" w:hanging="480"/>
        <w:rPr>
          <w:rFonts w:eastAsia="Times New Roman" w:cs="Times New Roman"/>
          <w:noProof/>
          <w:sz w:val="20"/>
        </w:rPr>
      </w:pPr>
      <w:r w:rsidRPr="007A4142">
        <w:rPr>
          <w:rFonts w:eastAsia="Times New Roman" w:cs="Times New Roman"/>
          <w:b/>
          <w:bCs/>
          <w:noProof/>
          <w:sz w:val="20"/>
        </w:rPr>
        <w:t>Philippi, T., and J. Seger</w:t>
      </w:r>
      <w:r w:rsidRPr="007A4142">
        <w:rPr>
          <w:rFonts w:eastAsia="Times New Roman" w:cs="Times New Roman"/>
          <w:noProof/>
          <w:sz w:val="20"/>
        </w:rPr>
        <w:t xml:space="preserve">. </w:t>
      </w:r>
      <w:r w:rsidRPr="007A4142">
        <w:rPr>
          <w:rFonts w:eastAsia="Times New Roman" w:cs="Times New Roman"/>
          <w:b/>
          <w:bCs/>
          <w:noProof/>
          <w:sz w:val="20"/>
        </w:rPr>
        <w:t>1989</w:t>
      </w:r>
      <w:r w:rsidRPr="007A4142">
        <w:rPr>
          <w:rFonts w:eastAsia="Times New Roman" w:cs="Times New Roman"/>
          <w:noProof/>
          <w:sz w:val="20"/>
        </w:rPr>
        <w:t>. Hedging one’s evolutionary bets, revisited. Trends Ecol. Evol. 4: 41–44.</w:t>
      </w:r>
    </w:p>
    <w:p w14:paraId="2733159A" w14:textId="77777777" w:rsidR="007A4142" w:rsidRPr="007A4142" w:rsidRDefault="007A4142" w:rsidP="007A4142">
      <w:pPr>
        <w:autoSpaceDE w:val="0"/>
        <w:autoSpaceDN w:val="0"/>
        <w:adjustRightInd w:val="0"/>
        <w:ind w:left="480" w:hanging="480"/>
        <w:rPr>
          <w:rFonts w:eastAsia="Times New Roman" w:cs="Times New Roman"/>
          <w:noProof/>
          <w:sz w:val="20"/>
        </w:rPr>
      </w:pPr>
      <w:r w:rsidRPr="007A4142">
        <w:rPr>
          <w:rFonts w:eastAsia="Times New Roman" w:cs="Times New Roman"/>
          <w:b/>
          <w:bCs/>
          <w:noProof/>
          <w:sz w:val="20"/>
        </w:rPr>
        <w:t>Phillips, B. L., G. P. Brown, J. M. J. Travis, and R. Shine</w:t>
      </w:r>
      <w:r w:rsidRPr="007A4142">
        <w:rPr>
          <w:rFonts w:eastAsia="Times New Roman" w:cs="Times New Roman"/>
          <w:noProof/>
          <w:sz w:val="20"/>
        </w:rPr>
        <w:t xml:space="preserve">. </w:t>
      </w:r>
      <w:r w:rsidRPr="007A4142">
        <w:rPr>
          <w:rFonts w:eastAsia="Times New Roman" w:cs="Times New Roman"/>
          <w:b/>
          <w:bCs/>
          <w:noProof/>
          <w:sz w:val="20"/>
        </w:rPr>
        <w:t>2008</w:t>
      </w:r>
      <w:r w:rsidRPr="007A4142">
        <w:rPr>
          <w:rFonts w:eastAsia="Times New Roman" w:cs="Times New Roman"/>
          <w:noProof/>
          <w:sz w:val="20"/>
        </w:rPr>
        <w:t>. Reid’s Paradox Revisited: The Evolution of Dispersal Kernels during Range Expansion. Am. Nat. 172: S34–S48.</w:t>
      </w:r>
    </w:p>
    <w:p w14:paraId="6DD06A5E" w14:textId="77777777" w:rsidR="007A4142" w:rsidRPr="007A4142" w:rsidRDefault="007A4142" w:rsidP="007A4142">
      <w:pPr>
        <w:autoSpaceDE w:val="0"/>
        <w:autoSpaceDN w:val="0"/>
        <w:adjustRightInd w:val="0"/>
        <w:ind w:left="480" w:hanging="480"/>
        <w:rPr>
          <w:rFonts w:eastAsia="Times New Roman" w:cs="Times New Roman"/>
          <w:noProof/>
          <w:sz w:val="20"/>
        </w:rPr>
      </w:pPr>
      <w:r w:rsidRPr="007A4142">
        <w:rPr>
          <w:rFonts w:eastAsia="Times New Roman" w:cs="Times New Roman"/>
          <w:b/>
          <w:bCs/>
          <w:noProof/>
          <w:sz w:val="20"/>
        </w:rPr>
        <w:t>Pimentel, D.</w:t>
      </w:r>
      <w:r w:rsidRPr="007A4142">
        <w:rPr>
          <w:rFonts w:eastAsia="Times New Roman" w:cs="Times New Roman"/>
          <w:noProof/>
          <w:sz w:val="20"/>
        </w:rPr>
        <w:t xml:space="preserve"> </w:t>
      </w:r>
      <w:r w:rsidRPr="007A4142">
        <w:rPr>
          <w:rFonts w:eastAsia="Times New Roman" w:cs="Times New Roman"/>
          <w:b/>
          <w:bCs/>
          <w:noProof/>
          <w:sz w:val="20"/>
        </w:rPr>
        <w:t>2005</w:t>
      </w:r>
      <w:r w:rsidRPr="007A4142">
        <w:rPr>
          <w:rFonts w:eastAsia="Times New Roman" w:cs="Times New Roman"/>
          <w:noProof/>
          <w:sz w:val="20"/>
        </w:rPr>
        <w:t>. Environmental and economic costs of the application of pesticides primarily in the United States In Integrated Pest Management: Innovation-Development Process. Environ. Dev. Sustain. 7: 229–252.</w:t>
      </w:r>
    </w:p>
    <w:p w14:paraId="6F8D858B" w14:textId="77777777" w:rsidR="007A4142" w:rsidRPr="007A4142" w:rsidRDefault="007A4142" w:rsidP="007A4142">
      <w:pPr>
        <w:autoSpaceDE w:val="0"/>
        <w:autoSpaceDN w:val="0"/>
        <w:adjustRightInd w:val="0"/>
        <w:ind w:left="480" w:hanging="480"/>
        <w:rPr>
          <w:rFonts w:eastAsia="Times New Roman" w:cs="Times New Roman"/>
          <w:noProof/>
          <w:sz w:val="20"/>
        </w:rPr>
      </w:pPr>
      <w:r w:rsidRPr="007A4142">
        <w:rPr>
          <w:rFonts w:eastAsia="Times New Roman" w:cs="Times New Roman"/>
          <w:b/>
          <w:bCs/>
          <w:noProof/>
          <w:sz w:val="20"/>
        </w:rPr>
        <w:t>Pimentel, D., and M. Burgess</w:t>
      </w:r>
      <w:r w:rsidRPr="007A4142">
        <w:rPr>
          <w:rFonts w:eastAsia="Times New Roman" w:cs="Times New Roman"/>
          <w:noProof/>
          <w:sz w:val="20"/>
        </w:rPr>
        <w:t xml:space="preserve">. </w:t>
      </w:r>
      <w:r w:rsidRPr="007A4142">
        <w:rPr>
          <w:rFonts w:eastAsia="Times New Roman" w:cs="Times New Roman"/>
          <w:b/>
          <w:bCs/>
          <w:noProof/>
          <w:sz w:val="20"/>
        </w:rPr>
        <w:t>2005</w:t>
      </w:r>
      <w:r w:rsidRPr="007A4142">
        <w:rPr>
          <w:rFonts w:eastAsia="Times New Roman" w:cs="Times New Roman"/>
          <w:noProof/>
          <w:sz w:val="20"/>
        </w:rPr>
        <w:t>. Environmental and economic costs of the application of pesticides primarily in the United States. Integr. Pest Manag. 3: 47–71.</w:t>
      </w:r>
    </w:p>
    <w:p w14:paraId="234906D4" w14:textId="77777777" w:rsidR="007A4142" w:rsidRPr="007A4142" w:rsidRDefault="007A4142" w:rsidP="007A4142">
      <w:pPr>
        <w:autoSpaceDE w:val="0"/>
        <w:autoSpaceDN w:val="0"/>
        <w:adjustRightInd w:val="0"/>
        <w:ind w:left="480" w:hanging="480"/>
        <w:rPr>
          <w:rFonts w:eastAsia="Times New Roman" w:cs="Times New Roman"/>
          <w:noProof/>
          <w:sz w:val="20"/>
        </w:rPr>
      </w:pPr>
      <w:r w:rsidRPr="007A4142">
        <w:rPr>
          <w:rFonts w:eastAsia="Times New Roman" w:cs="Times New Roman"/>
          <w:b/>
          <w:bCs/>
          <w:noProof/>
          <w:sz w:val="20"/>
        </w:rPr>
        <w:t>Price, T. D., and D. Sol</w:t>
      </w:r>
      <w:r w:rsidRPr="007A4142">
        <w:rPr>
          <w:rFonts w:eastAsia="Times New Roman" w:cs="Times New Roman"/>
          <w:noProof/>
          <w:sz w:val="20"/>
        </w:rPr>
        <w:t xml:space="preserve">. </w:t>
      </w:r>
      <w:r w:rsidRPr="007A4142">
        <w:rPr>
          <w:rFonts w:eastAsia="Times New Roman" w:cs="Times New Roman"/>
          <w:b/>
          <w:bCs/>
          <w:noProof/>
          <w:sz w:val="20"/>
        </w:rPr>
        <w:t>2008</w:t>
      </w:r>
      <w:r w:rsidRPr="007A4142">
        <w:rPr>
          <w:rFonts w:eastAsia="Times New Roman" w:cs="Times New Roman"/>
          <w:noProof/>
          <w:sz w:val="20"/>
        </w:rPr>
        <w:t>. Introduction: Genetics of Colonizing Species. Am. Nat. 172: S1–S3.</w:t>
      </w:r>
    </w:p>
    <w:p w14:paraId="4397CB0E" w14:textId="77777777" w:rsidR="007A4142" w:rsidRPr="007A4142" w:rsidRDefault="007A4142" w:rsidP="007A4142">
      <w:pPr>
        <w:autoSpaceDE w:val="0"/>
        <w:autoSpaceDN w:val="0"/>
        <w:adjustRightInd w:val="0"/>
        <w:ind w:left="480" w:hanging="480"/>
        <w:rPr>
          <w:rFonts w:eastAsia="Times New Roman" w:cs="Times New Roman"/>
          <w:noProof/>
          <w:sz w:val="20"/>
        </w:rPr>
      </w:pPr>
      <w:r w:rsidRPr="007A4142">
        <w:rPr>
          <w:rFonts w:eastAsia="Times New Roman" w:cs="Times New Roman"/>
          <w:b/>
          <w:bCs/>
          <w:noProof/>
          <w:sz w:val="20"/>
        </w:rPr>
        <w:t>Scriber, J. M.</w:t>
      </w:r>
      <w:r w:rsidRPr="007A4142">
        <w:rPr>
          <w:rFonts w:eastAsia="Times New Roman" w:cs="Times New Roman"/>
          <w:noProof/>
          <w:sz w:val="20"/>
        </w:rPr>
        <w:t xml:space="preserve"> </w:t>
      </w:r>
      <w:r w:rsidRPr="007A4142">
        <w:rPr>
          <w:rFonts w:eastAsia="Times New Roman" w:cs="Times New Roman"/>
          <w:b/>
          <w:bCs/>
          <w:noProof/>
          <w:sz w:val="20"/>
        </w:rPr>
        <w:t>2014</w:t>
      </w:r>
      <w:r w:rsidRPr="007A4142">
        <w:rPr>
          <w:rFonts w:eastAsia="Times New Roman" w:cs="Times New Roman"/>
          <w:noProof/>
          <w:sz w:val="20"/>
        </w:rPr>
        <w:t>. Climate-driven reshuffling of species and genes: Potential conservation roles for species translocations and recombinant hybrid genotypes, Insects.</w:t>
      </w:r>
    </w:p>
    <w:p w14:paraId="3155C256" w14:textId="77777777" w:rsidR="007A4142" w:rsidRPr="007A4142" w:rsidRDefault="007A4142" w:rsidP="007A4142">
      <w:pPr>
        <w:autoSpaceDE w:val="0"/>
        <w:autoSpaceDN w:val="0"/>
        <w:adjustRightInd w:val="0"/>
        <w:ind w:left="480" w:hanging="480"/>
        <w:rPr>
          <w:rFonts w:eastAsia="Times New Roman" w:cs="Times New Roman"/>
          <w:noProof/>
          <w:sz w:val="20"/>
        </w:rPr>
      </w:pPr>
      <w:r w:rsidRPr="007A4142">
        <w:rPr>
          <w:rFonts w:eastAsia="Times New Roman" w:cs="Times New Roman"/>
          <w:b/>
          <w:bCs/>
          <w:noProof/>
          <w:sz w:val="20"/>
        </w:rPr>
        <w:t>Stocker, and V. B. and P. M. M. (eds. . T.F., D. Qin, G.-K. Plattner, M. Tignor, S.K. Allen, J. Boschung, A. Nauels, Y. Xia</w:t>
      </w:r>
      <w:r w:rsidRPr="007A4142">
        <w:rPr>
          <w:rFonts w:eastAsia="Times New Roman" w:cs="Times New Roman"/>
          <w:noProof/>
          <w:sz w:val="20"/>
        </w:rPr>
        <w:t xml:space="preserve">. </w:t>
      </w:r>
      <w:r w:rsidRPr="007A4142">
        <w:rPr>
          <w:rFonts w:eastAsia="Times New Roman" w:cs="Times New Roman"/>
          <w:b/>
          <w:bCs/>
          <w:noProof/>
          <w:sz w:val="20"/>
        </w:rPr>
        <w:t>2015</w:t>
      </w:r>
      <w:r w:rsidRPr="007A4142">
        <w:rPr>
          <w:rFonts w:eastAsia="Times New Roman" w:cs="Times New Roman"/>
          <w:noProof/>
          <w:sz w:val="20"/>
        </w:rPr>
        <w:t>. Summary for Policymakers. Clim. Chang. 2013 - Phys. Sci. Basis. 1542: 1–30.</w:t>
      </w:r>
    </w:p>
    <w:p w14:paraId="420D2673" w14:textId="77777777" w:rsidR="007A4142" w:rsidRPr="007A4142" w:rsidRDefault="007A4142" w:rsidP="007A4142">
      <w:pPr>
        <w:autoSpaceDE w:val="0"/>
        <w:autoSpaceDN w:val="0"/>
        <w:adjustRightInd w:val="0"/>
        <w:ind w:left="480" w:hanging="480"/>
        <w:rPr>
          <w:rFonts w:eastAsia="Times New Roman" w:cs="Times New Roman"/>
          <w:noProof/>
          <w:sz w:val="20"/>
        </w:rPr>
      </w:pPr>
      <w:r w:rsidRPr="007A4142">
        <w:rPr>
          <w:rFonts w:eastAsia="Times New Roman" w:cs="Times New Roman"/>
          <w:b/>
          <w:bCs/>
          <w:noProof/>
          <w:sz w:val="20"/>
        </w:rPr>
        <w:t>Weinig, C.</w:t>
      </w:r>
      <w:r w:rsidRPr="007A4142">
        <w:rPr>
          <w:rFonts w:eastAsia="Times New Roman" w:cs="Times New Roman"/>
          <w:noProof/>
          <w:sz w:val="20"/>
        </w:rPr>
        <w:t xml:space="preserve"> </w:t>
      </w:r>
      <w:r w:rsidRPr="007A4142">
        <w:rPr>
          <w:rFonts w:eastAsia="Times New Roman" w:cs="Times New Roman"/>
          <w:b/>
          <w:bCs/>
          <w:noProof/>
          <w:sz w:val="20"/>
        </w:rPr>
        <w:t>2000</w:t>
      </w:r>
      <w:r w:rsidRPr="007A4142">
        <w:rPr>
          <w:rFonts w:eastAsia="Times New Roman" w:cs="Times New Roman"/>
          <w:noProof/>
          <w:sz w:val="20"/>
        </w:rPr>
        <w:t>. PLASTICITY VERSUS CANALIZATION: POPULATION DIFFERENCES IN THE TIMING OF SHADE-AVOIDANCE RESPONSES. Evolution (N. Y). 54: 441–451.</w:t>
      </w:r>
    </w:p>
    <w:p w14:paraId="0D88CF04" w14:textId="77777777" w:rsidR="007A4142" w:rsidRPr="007A4142" w:rsidRDefault="007A4142" w:rsidP="007A4142">
      <w:pPr>
        <w:autoSpaceDE w:val="0"/>
        <w:autoSpaceDN w:val="0"/>
        <w:adjustRightInd w:val="0"/>
        <w:ind w:left="480" w:hanging="480"/>
        <w:rPr>
          <w:noProof/>
          <w:sz w:val="20"/>
        </w:rPr>
      </w:pPr>
      <w:r w:rsidRPr="007A4142">
        <w:rPr>
          <w:rFonts w:eastAsia="Times New Roman" w:cs="Times New Roman"/>
          <w:b/>
          <w:bCs/>
          <w:noProof/>
          <w:sz w:val="20"/>
        </w:rPr>
        <w:t>Williams, C. M., H. A. L. Henry, and B. J. Sinclair</w:t>
      </w:r>
      <w:r w:rsidRPr="007A4142">
        <w:rPr>
          <w:rFonts w:eastAsia="Times New Roman" w:cs="Times New Roman"/>
          <w:noProof/>
          <w:sz w:val="20"/>
        </w:rPr>
        <w:t xml:space="preserve">. </w:t>
      </w:r>
      <w:r w:rsidRPr="007A4142">
        <w:rPr>
          <w:rFonts w:eastAsia="Times New Roman" w:cs="Times New Roman"/>
          <w:b/>
          <w:bCs/>
          <w:noProof/>
          <w:sz w:val="20"/>
        </w:rPr>
        <w:t>2015</w:t>
      </w:r>
      <w:r w:rsidRPr="007A4142">
        <w:rPr>
          <w:rFonts w:eastAsia="Times New Roman" w:cs="Times New Roman"/>
          <w:noProof/>
          <w:sz w:val="20"/>
        </w:rPr>
        <w:t>. Cold truths: How winter drives responses of terrestrial organisms to climate change. Biol. Rev. 90: 214–235.</w:t>
      </w:r>
    </w:p>
    <w:p w14:paraId="3746C36B" w14:textId="7DFE5CE5" w:rsidR="00C83A27" w:rsidRPr="00C83A27" w:rsidRDefault="00C83A27" w:rsidP="007A4142">
      <w:pPr>
        <w:autoSpaceDE w:val="0"/>
        <w:autoSpaceDN w:val="0"/>
        <w:adjustRightInd w:val="0"/>
        <w:ind w:left="480" w:hanging="480"/>
        <w:rPr>
          <w:color w:val="FF0000"/>
          <w:sz w:val="20"/>
          <w:szCs w:val="20"/>
        </w:rPr>
      </w:pPr>
      <w:r>
        <w:rPr>
          <w:color w:val="FF0000"/>
          <w:sz w:val="20"/>
          <w:szCs w:val="20"/>
        </w:rPr>
        <w:fldChar w:fldCharType="end"/>
      </w:r>
    </w:p>
    <w:sectPr w:rsidR="00C83A27" w:rsidRPr="00C83A27" w:rsidSect="00425A76">
      <w:footerReference w:type="default" r:id="rId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8992DB" w14:textId="77777777" w:rsidR="00566043" w:rsidRDefault="00566043">
      <w:r>
        <w:separator/>
      </w:r>
    </w:p>
  </w:endnote>
  <w:endnote w:type="continuationSeparator" w:id="0">
    <w:p w14:paraId="6BF6E650" w14:textId="77777777" w:rsidR="00566043" w:rsidRDefault="00566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491FB1" w:rsidRDefault="001360EE">
    <w:pPr>
      <w:tabs>
        <w:tab w:val="center" w:pos="4680"/>
        <w:tab w:val="right" w:pos="9360"/>
      </w:tabs>
      <w:jc w:val="center"/>
    </w:pPr>
    <w:r>
      <w:fldChar w:fldCharType="begin"/>
    </w:r>
    <w:r w:rsidR="00DB16BF">
      <w:instrText>PAGE</w:instrText>
    </w:r>
    <w:r>
      <w:fldChar w:fldCharType="separate"/>
    </w:r>
    <w:r w:rsidR="00801D80">
      <w:rPr>
        <w:noProof/>
      </w:rPr>
      <w:t>21</w:t>
    </w:r>
    <w:r>
      <w:fldChar w:fldCharType="end"/>
    </w:r>
  </w:p>
  <w:p w14:paraId="10AEF5E5" w14:textId="77777777" w:rsidR="00491FB1" w:rsidRDefault="00491FB1">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4905B7" w14:textId="77777777" w:rsidR="00566043" w:rsidRDefault="00566043">
      <w:r>
        <w:separator/>
      </w:r>
    </w:p>
  </w:footnote>
  <w:footnote w:type="continuationSeparator" w:id="0">
    <w:p w14:paraId="112CEA91" w14:textId="77777777" w:rsidR="00566043" w:rsidRDefault="0056604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11"/>
  </w:num>
  <w:num w:numId="5">
    <w:abstractNumId w:val="6"/>
  </w:num>
  <w:num w:numId="6">
    <w:abstractNumId w:val="10"/>
  </w:num>
  <w:num w:numId="7">
    <w:abstractNumId w:val="3"/>
  </w:num>
  <w:num w:numId="8">
    <w:abstractNumId w:val="9"/>
  </w:num>
  <w:num w:numId="9">
    <w:abstractNumId w:val="4"/>
  </w:num>
  <w:num w:numId="10">
    <w:abstractNumId w:val="5"/>
  </w:num>
  <w:num w:numId="11">
    <w:abstractNumId w:val="12"/>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47C8"/>
    <w:rsid w:val="0001098C"/>
    <w:rsid w:val="00014FCF"/>
    <w:rsid w:val="0001674C"/>
    <w:rsid w:val="00017B26"/>
    <w:rsid w:val="000206DE"/>
    <w:rsid w:val="00021E0D"/>
    <w:rsid w:val="0004287A"/>
    <w:rsid w:val="00052C23"/>
    <w:rsid w:val="00053D0B"/>
    <w:rsid w:val="00053F7D"/>
    <w:rsid w:val="00054C1B"/>
    <w:rsid w:val="0006088D"/>
    <w:rsid w:val="00072738"/>
    <w:rsid w:val="0007718D"/>
    <w:rsid w:val="00082B2A"/>
    <w:rsid w:val="00091515"/>
    <w:rsid w:val="000A1DC2"/>
    <w:rsid w:val="000A20A7"/>
    <w:rsid w:val="000A490E"/>
    <w:rsid w:val="000A6516"/>
    <w:rsid w:val="000C1EEF"/>
    <w:rsid w:val="000C5A4F"/>
    <w:rsid w:val="000D5369"/>
    <w:rsid w:val="000D54AB"/>
    <w:rsid w:val="000E2FB1"/>
    <w:rsid w:val="000E3D13"/>
    <w:rsid w:val="000E457B"/>
    <w:rsid w:val="000E5425"/>
    <w:rsid w:val="000F4EE0"/>
    <w:rsid w:val="00102657"/>
    <w:rsid w:val="001026F4"/>
    <w:rsid w:val="00113859"/>
    <w:rsid w:val="00114DD2"/>
    <w:rsid w:val="00115456"/>
    <w:rsid w:val="00130C93"/>
    <w:rsid w:val="00132B11"/>
    <w:rsid w:val="00134ABA"/>
    <w:rsid w:val="00135180"/>
    <w:rsid w:val="0013552C"/>
    <w:rsid w:val="001360EE"/>
    <w:rsid w:val="0014051F"/>
    <w:rsid w:val="0014660C"/>
    <w:rsid w:val="00151F9F"/>
    <w:rsid w:val="00153CAA"/>
    <w:rsid w:val="00154A04"/>
    <w:rsid w:val="00154AF3"/>
    <w:rsid w:val="00156C2C"/>
    <w:rsid w:val="00162A00"/>
    <w:rsid w:val="00163830"/>
    <w:rsid w:val="001672AF"/>
    <w:rsid w:val="00171598"/>
    <w:rsid w:val="00171E45"/>
    <w:rsid w:val="00174490"/>
    <w:rsid w:val="001817F2"/>
    <w:rsid w:val="001820A2"/>
    <w:rsid w:val="001859AC"/>
    <w:rsid w:val="001866FB"/>
    <w:rsid w:val="001932FC"/>
    <w:rsid w:val="00196150"/>
    <w:rsid w:val="001A396C"/>
    <w:rsid w:val="001A51A3"/>
    <w:rsid w:val="001B35F2"/>
    <w:rsid w:val="001D5B0F"/>
    <w:rsid w:val="001E6528"/>
    <w:rsid w:val="001E72D4"/>
    <w:rsid w:val="001F1643"/>
    <w:rsid w:val="001F522C"/>
    <w:rsid w:val="001F634B"/>
    <w:rsid w:val="002007D8"/>
    <w:rsid w:val="00202564"/>
    <w:rsid w:val="0020374B"/>
    <w:rsid w:val="00207E1A"/>
    <w:rsid w:val="00216D46"/>
    <w:rsid w:val="0021727C"/>
    <w:rsid w:val="0022421A"/>
    <w:rsid w:val="0023194A"/>
    <w:rsid w:val="00232C67"/>
    <w:rsid w:val="00240B85"/>
    <w:rsid w:val="00246504"/>
    <w:rsid w:val="00252436"/>
    <w:rsid w:val="00257A58"/>
    <w:rsid w:val="00266BAF"/>
    <w:rsid w:val="00270A77"/>
    <w:rsid w:val="002734B2"/>
    <w:rsid w:val="00276964"/>
    <w:rsid w:val="0028005C"/>
    <w:rsid w:val="0028642A"/>
    <w:rsid w:val="00287756"/>
    <w:rsid w:val="002A1291"/>
    <w:rsid w:val="002B4C30"/>
    <w:rsid w:val="002B57A0"/>
    <w:rsid w:val="002B750A"/>
    <w:rsid w:val="002C07DB"/>
    <w:rsid w:val="002C1F3E"/>
    <w:rsid w:val="002C21A4"/>
    <w:rsid w:val="002C76C2"/>
    <w:rsid w:val="002D1F95"/>
    <w:rsid w:val="00300029"/>
    <w:rsid w:val="00321C1E"/>
    <w:rsid w:val="003232E6"/>
    <w:rsid w:val="0032630E"/>
    <w:rsid w:val="00330DD4"/>
    <w:rsid w:val="00332CB3"/>
    <w:rsid w:val="00333238"/>
    <w:rsid w:val="003337E2"/>
    <w:rsid w:val="003368CB"/>
    <w:rsid w:val="0033708A"/>
    <w:rsid w:val="003407DC"/>
    <w:rsid w:val="00342CDE"/>
    <w:rsid w:val="0034488C"/>
    <w:rsid w:val="00352ED2"/>
    <w:rsid w:val="003532C5"/>
    <w:rsid w:val="00355CC8"/>
    <w:rsid w:val="00362788"/>
    <w:rsid w:val="00372031"/>
    <w:rsid w:val="00372CC2"/>
    <w:rsid w:val="00377D5B"/>
    <w:rsid w:val="00381365"/>
    <w:rsid w:val="0038307B"/>
    <w:rsid w:val="00384794"/>
    <w:rsid w:val="00390530"/>
    <w:rsid w:val="00392CD2"/>
    <w:rsid w:val="0039349E"/>
    <w:rsid w:val="00394680"/>
    <w:rsid w:val="003A0A49"/>
    <w:rsid w:val="003A4D4B"/>
    <w:rsid w:val="003A6FFA"/>
    <w:rsid w:val="003B70EA"/>
    <w:rsid w:val="003B7B43"/>
    <w:rsid w:val="003C5D15"/>
    <w:rsid w:val="003E641C"/>
    <w:rsid w:val="003F3ADB"/>
    <w:rsid w:val="003F49DE"/>
    <w:rsid w:val="003F69F8"/>
    <w:rsid w:val="00403FEA"/>
    <w:rsid w:val="00405472"/>
    <w:rsid w:val="0040602F"/>
    <w:rsid w:val="004126E7"/>
    <w:rsid w:val="0041393A"/>
    <w:rsid w:val="0041536A"/>
    <w:rsid w:val="00422CB8"/>
    <w:rsid w:val="004236DC"/>
    <w:rsid w:val="00423B05"/>
    <w:rsid w:val="00425A76"/>
    <w:rsid w:val="00435A6E"/>
    <w:rsid w:val="00453DF7"/>
    <w:rsid w:val="00454563"/>
    <w:rsid w:val="00455BA6"/>
    <w:rsid w:val="004565FA"/>
    <w:rsid w:val="00460EF8"/>
    <w:rsid w:val="00463E12"/>
    <w:rsid w:val="0046589E"/>
    <w:rsid w:val="0046643A"/>
    <w:rsid w:val="00475C5F"/>
    <w:rsid w:val="00485EBF"/>
    <w:rsid w:val="00491FB1"/>
    <w:rsid w:val="004A0708"/>
    <w:rsid w:val="004A3B38"/>
    <w:rsid w:val="004B2227"/>
    <w:rsid w:val="004B2FB1"/>
    <w:rsid w:val="004B4351"/>
    <w:rsid w:val="004B68CD"/>
    <w:rsid w:val="004D3295"/>
    <w:rsid w:val="004D4ECE"/>
    <w:rsid w:val="004D6420"/>
    <w:rsid w:val="004F31A5"/>
    <w:rsid w:val="005017CC"/>
    <w:rsid w:val="005042DB"/>
    <w:rsid w:val="00510F24"/>
    <w:rsid w:val="00511203"/>
    <w:rsid w:val="00524F2F"/>
    <w:rsid w:val="005259F9"/>
    <w:rsid w:val="00530C18"/>
    <w:rsid w:val="00534F29"/>
    <w:rsid w:val="005364F1"/>
    <w:rsid w:val="0054592D"/>
    <w:rsid w:val="00550774"/>
    <w:rsid w:val="00550E8A"/>
    <w:rsid w:val="00552917"/>
    <w:rsid w:val="00556B8D"/>
    <w:rsid w:val="005633A6"/>
    <w:rsid w:val="005647DF"/>
    <w:rsid w:val="00564F1B"/>
    <w:rsid w:val="00566043"/>
    <w:rsid w:val="00570FA3"/>
    <w:rsid w:val="005745C5"/>
    <w:rsid w:val="00581196"/>
    <w:rsid w:val="00582ABC"/>
    <w:rsid w:val="005875A9"/>
    <w:rsid w:val="00592640"/>
    <w:rsid w:val="00596AA3"/>
    <w:rsid w:val="00597028"/>
    <w:rsid w:val="005A0DC0"/>
    <w:rsid w:val="005B048C"/>
    <w:rsid w:val="005B22C5"/>
    <w:rsid w:val="005B2D0C"/>
    <w:rsid w:val="005B4F74"/>
    <w:rsid w:val="005B63E6"/>
    <w:rsid w:val="005C2520"/>
    <w:rsid w:val="005D05D5"/>
    <w:rsid w:val="005D1DAD"/>
    <w:rsid w:val="005D351F"/>
    <w:rsid w:val="005D3DC3"/>
    <w:rsid w:val="005D4C71"/>
    <w:rsid w:val="005D636A"/>
    <w:rsid w:val="005F2D84"/>
    <w:rsid w:val="006064C8"/>
    <w:rsid w:val="006133BC"/>
    <w:rsid w:val="006156FC"/>
    <w:rsid w:val="00620A09"/>
    <w:rsid w:val="00621157"/>
    <w:rsid w:val="006217F4"/>
    <w:rsid w:val="00623233"/>
    <w:rsid w:val="00624018"/>
    <w:rsid w:val="006266BE"/>
    <w:rsid w:val="00633E68"/>
    <w:rsid w:val="00645C09"/>
    <w:rsid w:val="00650CF6"/>
    <w:rsid w:val="006632B6"/>
    <w:rsid w:val="00675284"/>
    <w:rsid w:val="00675864"/>
    <w:rsid w:val="006776C8"/>
    <w:rsid w:val="00683314"/>
    <w:rsid w:val="00693BC3"/>
    <w:rsid w:val="00694411"/>
    <w:rsid w:val="006946C3"/>
    <w:rsid w:val="006966E8"/>
    <w:rsid w:val="006A01A3"/>
    <w:rsid w:val="006A182B"/>
    <w:rsid w:val="006A1A47"/>
    <w:rsid w:val="006A5606"/>
    <w:rsid w:val="006B6DC0"/>
    <w:rsid w:val="006B7A5A"/>
    <w:rsid w:val="006B7A8E"/>
    <w:rsid w:val="006C5A67"/>
    <w:rsid w:val="006D40D2"/>
    <w:rsid w:val="006E50DF"/>
    <w:rsid w:val="006E6459"/>
    <w:rsid w:val="006F148B"/>
    <w:rsid w:val="006F1DC5"/>
    <w:rsid w:val="006F34B0"/>
    <w:rsid w:val="006F55DB"/>
    <w:rsid w:val="006F6666"/>
    <w:rsid w:val="00702A40"/>
    <w:rsid w:val="00703AD6"/>
    <w:rsid w:val="00706A81"/>
    <w:rsid w:val="007229A4"/>
    <w:rsid w:val="007256AE"/>
    <w:rsid w:val="007300D1"/>
    <w:rsid w:val="007344DF"/>
    <w:rsid w:val="0073563E"/>
    <w:rsid w:val="00746552"/>
    <w:rsid w:val="00755596"/>
    <w:rsid w:val="00761B7A"/>
    <w:rsid w:val="00771A80"/>
    <w:rsid w:val="00785E3D"/>
    <w:rsid w:val="007A2D48"/>
    <w:rsid w:val="007A4142"/>
    <w:rsid w:val="007A4F27"/>
    <w:rsid w:val="007B3BC2"/>
    <w:rsid w:val="007B3C6E"/>
    <w:rsid w:val="007B5653"/>
    <w:rsid w:val="007C26A7"/>
    <w:rsid w:val="007C6AE1"/>
    <w:rsid w:val="007E62A7"/>
    <w:rsid w:val="007E6FEF"/>
    <w:rsid w:val="007E7B09"/>
    <w:rsid w:val="007F0B68"/>
    <w:rsid w:val="007F206C"/>
    <w:rsid w:val="007F65F3"/>
    <w:rsid w:val="0080022F"/>
    <w:rsid w:val="00801D80"/>
    <w:rsid w:val="0080369B"/>
    <w:rsid w:val="008052E4"/>
    <w:rsid w:val="008144E4"/>
    <w:rsid w:val="00815DF7"/>
    <w:rsid w:val="00816828"/>
    <w:rsid w:val="00822407"/>
    <w:rsid w:val="00823325"/>
    <w:rsid w:val="00824AEC"/>
    <w:rsid w:val="00832B9B"/>
    <w:rsid w:val="008330BA"/>
    <w:rsid w:val="0083592E"/>
    <w:rsid w:val="00835C3B"/>
    <w:rsid w:val="0085313E"/>
    <w:rsid w:val="00854F54"/>
    <w:rsid w:val="00861818"/>
    <w:rsid w:val="008622CB"/>
    <w:rsid w:val="00863EE3"/>
    <w:rsid w:val="00870A66"/>
    <w:rsid w:val="00871C73"/>
    <w:rsid w:val="00877DED"/>
    <w:rsid w:val="00887E83"/>
    <w:rsid w:val="008924C6"/>
    <w:rsid w:val="008A5881"/>
    <w:rsid w:val="008C1EA2"/>
    <w:rsid w:val="008C297E"/>
    <w:rsid w:val="008C3730"/>
    <w:rsid w:val="008C4F42"/>
    <w:rsid w:val="008D04E7"/>
    <w:rsid w:val="008E6387"/>
    <w:rsid w:val="008F5EA6"/>
    <w:rsid w:val="008F79A2"/>
    <w:rsid w:val="00901B1F"/>
    <w:rsid w:val="00910034"/>
    <w:rsid w:val="009168C1"/>
    <w:rsid w:val="00922A01"/>
    <w:rsid w:val="0092450F"/>
    <w:rsid w:val="00926235"/>
    <w:rsid w:val="0093629A"/>
    <w:rsid w:val="0094470B"/>
    <w:rsid w:val="009553B4"/>
    <w:rsid w:val="00962163"/>
    <w:rsid w:val="0096276A"/>
    <w:rsid w:val="0096759D"/>
    <w:rsid w:val="00970B3D"/>
    <w:rsid w:val="00975D13"/>
    <w:rsid w:val="00976082"/>
    <w:rsid w:val="00980D20"/>
    <w:rsid w:val="00983C00"/>
    <w:rsid w:val="009911B3"/>
    <w:rsid w:val="0099266F"/>
    <w:rsid w:val="00996124"/>
    <w:rsid w:val="00997E3B"/>
    <w:rsid w:val="009A36EB"/>
    <w:rsid w:val="009A4BD4"/>
    <w:rsid w:val="009B0F70"/>
    <w:rsid w:val="009C71D7"/>
    <w:rsid w:val="009D1022"/>
    <w:rsid w:val="009D44DA"/>
    <w:rsid w:val="009E584C"/>
    <w:rsid w:val="009E6E31"/>
    <w:rsid w:val="009F13B5"/>
    <w:rsid w:val="009F2040"/>
    <w:rsid w:val="009F7E37"/>
    <w:rsid w:val="00A00CB8"/>
    <w:rsid w:val="00A00D12"/>
    <w:rsid w:val="00A02C15"/>
    <w:rsid w:val="00A0490D"/>
    <w:rsid w:val="00A0741F"/>
    <w:rsid w:val="00A103A1"/>
    <w:rsid w:val="00A11578"/>
    <w:rsid w:val="00A16F25"/>
    <w:rsid w:val="00A20DD7"/>
    <w:rsid w:val="00A21DFD"/>
    <w:rsid w:val="00A24B82"/>
    <w:rsid w:val="00A37394"/>
    <w:rsid w:val="00A40329"/>
    <w:rsid w:val="00A465DE"/>
    <w:rsid w:val="00A51048"/>
    <w:rsid w:val="00A52C78"/>
    <w:rsid w:val="00A62318"/>
    <w:rsid w:val="00A63141"/>
    <w:rsid w:val="00A67FEE"/>
    <w:rsid w:val="00A70F78"/>
    <w:rsid w:val="00A71AD2"/>
    <w:rsid w:val="00A724AF"/>
    <w:rsid w:val="00A75FAF"/>
    <w:rsid w:val="00A7616D"/>
    <w:rsid w:val="00A77B05"/>
    <w:rsid w:val="00A86763"/>
    <w:rsid w:val="00A87FF4"/>
    <w:rsid w:val="00A9396E"/>
    <w:rsid w:val="00AA0985"/>
    <w:rsid w:val="00AB20EB"/>
    <w:rsid w:val="00AB338F"/>
    <w:rsid w:val="00AC48CC"/>
    <w:rsid w:val="00AD356D"/>
    <w:rsid w:val="00AD6167"/>
    <w:rsid w:val="00AE175C"/>
    <w:rsid w:val="00AE42ED"/>
    <w:rsid w:val="00AF5A19"/>
    <w:rsid w:val="00B034A0"/>
    <w:rsid w:val="00B06804"/>
    <w:rsid w:val="00B10C15"/>
    <w:rsid w:val="00B12308"/>
    <w:rsid w:val="00B33353"/>
    <w:rsid w:val="00B341BE"/>
    <w:rsid w:val="00B364A1"/>
    <w:rsid w:val="00B4396A"/>
    <w:rsid w:val="00B507F8"/>
    <w:rsid w:val="00B51E68"/>
    <w:rsid w:val="00B61DE9"/>
    <w:rsid w:val="00B62625"/>
    <w:rsid w:val="00B630FA"/>
    <w:rsid w:val="00B63461"/>
    <w:rsid w:val="00B64325"/>
    <w:rsid w:val="00B777EC"/>
    <w:rsid w:val="00B9139F"/>
    <w:rsid w:val="00BA2725"/>
    <w:rsid w:val="00BA6C16"/>
    <w:rsid w:val="00BB112A"/>
    <w:rsid w:val="00BB621D"/>
    <w:rsid w:val="00BB7602"/>
    <w:rsid w:val="00BC10D5"/>
    <w:rsid w:val="00BC46F4"/>
    <w:rsid w:val="00BC6C7A"/>
    <w:rsid w:val="00BC71F1"/>
    <w:rsid w:val="00BC7FB3"/>
    <w:rsid w:val="00BD7BDF"/>
    <w:rsid w:val="00BD7E4A"/>
    <w:rsid w:val="00BE4A85"/>
    <w:rsid w:val="00BE67FD"/>
    <w:rsid w:val="00BF57D7"/>
    <w:rsid w:val="00C13F30"/>
    <w:rsid w:val="00C2122A"/>
    <w:rsid w:val="00C235F5"/>
    <w:rsid w:val="00C3271A"/>
    <w:rsid w:val="00C5584C"/>
    <w:rsid w:val="00C62AD3"/>
    <w:rsid w:val="00C62BEA"/>
    <w:rsid w:val="00C64C45"/>
    <w:rsid w:val="00C663A1"/>
    <w:rsid w:val="00C66EF3"/>
    <w:rsid w:val="00C74A75"/>
    <w:rsid w:val="00C75212"/>
    <w:rsid w:val="00C83A27"/>
    <w:rsid w:val="00C86CF8"/>
    <w:rsid w:val="00C9423D"/>
    <w:rsid w:val="00CA5BAD"/>
    <w:rsid w:val="00CA73B9"/>
    <w:rsid w:val="00CB614C"/>
    <w:rsid w:val="00CD3DD5"/>
    <w:rsid w:val="00CD6AEC"/>
    <w:rsid w:val="00CE4A4D"/>
    <w:rsid w:val="00CE5265"/>
    <w:rsid w:val="00CE7D8E"/>
    <w:rsid w:val="00CF031A"/>
    <w:rsid w:val="00D01016"/>
    <w:rsid w:val="00D03388"/>
    <w:rsid w:val="00D07985"/>
    <w:rsid w:val="00D11592"/>
    <w:rsid w:val="00D116C6"/>
    <w:rsid w:val="00D12862"/>
    <w:rsid w:val="00D17072"/>
    <w:rsid w:val="00D21C0A"/>
    <w:rsid w:val="00D40D3B"/>
    <w:rsid w:val="00D42C66"/>
    <w:rsid w:val="00D44F99"/>
    <w:rsid w:val="00D51C18"/>
    <w:rsid w:val="00D51D28"/>
    <w:rsid w:val="00D55C3E"/>
    <w:rsid w:val="00D6143C"/>
    <w:rsid w:val="00D62084"/>
    <w:rsid w:val="00D6287F"/>
    <w:rsid w:val="00D659BC"/>
    <w:rsid w:val="00D84281"/>
    <w:rsid w:val="00D9032A"/>
    <w:rsid w:val="00D9225F"/>
    <w:rsid w:val="00DA05CB"/>
    <w:rsid w:val="00DB007A"/>
    <w:rsid w:val="00DB16BF"/>
    <w:rsid w:val="00DB5559"/>
    <w:rsid w:val="00DC14F7"/>
    <w:rsid w:val="00DC6092"/>
    <w:rsid w:val="00DD0FAB"/>
    <w:rsid w:val="00DE2AB9"/>
    <w:rsid w:val="00DE3903"/>
    <w:rsid w:val="00DE717B"/>
    <w:rsid w:val="00DE7B20"/>
    <w:rsid w:val="00DF3175"/>
    <w:rsid w:val="00E124ED"/>
    <w:rsid w:val="00E143D7"/>
    <w:rsid w:val="00E201DF"/>
    <w:rsid w:val="00E42EC3"/>
    <w:rsid w:val="00E44C4C"/>
    <w:rsid w:val="00E467F8"/>
    <w:rsid w:val="00E50BF2"/>
    <w:rsid w:val="00E51240"/>
    <w:rsid w:val="00E53734"/>
    <w:rsid w:val="00E60724"/>
    <w:rsid w:val="00E63B36"/>
    <w:rsid w:val="00E66AF8"/>
    <w:rsid w:val="00E67DD4"/>
    <w:rsid w:val="00E727E1"/>
    <w:rsid w:val="00E807A8"/>
    <w:rsid w:val="00E8165C"/>
    <w:rsid w:val="00E8190A"/>
    <w:rsid w:val="00E83A78"/>
    <w:rsid w:val="00E83E67"/>
    <w:rsid w:val="00E841FC"/>
    <w:rsid w:val="00E8432C"/>
    <w:rsid w:val="00E854D0"/>
    <w:rsid w:val="00E921E4"/>
    <w:rsid w:val="00E94DB3"/>
    <w:rsid w:val="00E95ACF"/>
    <w:rsid w:val="00E97B76"/>
    <w:rsid w:val="00EA008E"/>
    <w:rsid w:val="00EA3DF0"/>
    <w:rsid w:val="00EA503D"/>
    <w:rsid w:val="00EA5C41"/>
    <w:rsid w:val="00EB19DA"/>
    <w:rsid w:val="00EC0755"/>
    <w:rsid w:val="00EC435C"/>
    <w:rsid w:val="00EC744B"/>
    <w:rsid w:val="00ED1BB2"/>
    <w:rsid w:val="00ED5814"/>
    <w:rsid w:val="00F00049"/>
    <w:rsid w:val="00F03898"/>
    <w:rsid w:val="00F04CE5"/>
    <w:rsid w:val="00F07FC8"/>
    <w:rsid w:val="00F11428"/>
    <w:rsid w:val="00F13F4D"/>
    <w:rsid w:val="00F15A03"/>
    <w:rsid w:val="00F16E1F"/>
    <w:rsid w:val="00F20ABF"/>
    <w:rsid w:val="00F24431"/>
    <w:rsid w:val="00F24C71"/>
    <w:rsid w:val="00F34B4F"/>
    <w:rsid w:val="00F36AFC"/>
    <w:rsid w:val="00F50562"/>
    <w:rsid w:val="00F51302"/>
    <w:rsid w:val="00F554B1"/>
    <w:rsid w:val="00F61B7E"/>
    <w:rsid w:val="00F70AD2"/>
    <w:rsid w:val="00F721BD"/>
    <w:rsid w:val="00F75185"/>
    <w:rsid w:val="00F92137"/>
    <w:rsid w:val="00F948CD"/>
    <w:rsid w:val="00FA3A7C"/>
    <w:rsid w:val="00FA6B30"/>
    <w:rsid w:val="00FA73B6"/>
    <w:rsid w:val="00FA7EC5"/>
    <w:rsid w:val="00FB6E8C"/>
    <w:rsid w:val="00FB72A9"/>
    <w:rsid w:val="00FC474D"/>
    <w:rsid w:val="00FD1A33"/>
    <w:rsid w:val="00FD2CEA"/>
    <w:rsid w:val="00FD2E92"/>
    <w:rsid w:val="00FD3C38"/>
    <w:rsid w:val="00FD4C64"/>
    <w:rsid w:val="00FE1F23"/>
    <w:rsid w:val="00FE2040"/>
    <w:rsid w:val="00FE64AE"/>
    <w:rsid w:val="00FF67C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EF5618F-4AB3-554B-9F9B-FFD0DADDF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22807</Words>
  <Characters>130000</Characters>
  <Application>Microsoft Macintosh Word</Application>
  <DocSecurity>0</DocSecurity>
  <Lines>1083</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2</cp:revision>
  <dcterms:created xsi:type="dcterms:W3CDTF">2017-06-14T03:49:00Z</dcterms:created>
  <dcterms:modified xsi:type="dcterms:W3CDTF">2017-06-14T03:49:00Z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