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311B8427" w:rsidR="00BA7712" w:rsidRPr="0066780D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2100. [25, 26, 27]. As seasonal temperature</w:t>
      </w:r>
      <w:r w:rsidR="005E7908" w:rsidRPr="0066780D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increase warm summers will expand, cool winters will contract, and temperatures during the spring and fall will become less predictable [28, 29].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</w:t>
      </w:r>
      <w:r w:rsidR="008021BB">
        <w:rPr>
          <w:rFonts w:ascii="Times New Roman" w:eastAsia="Times New Roman" w:hAnsi="Times New Roman" w:cs="Times New Roman"/>
          <w:sz w:val="28"/>
          <w:szCs w:val="28"/>
        </w:rPr>
        <w:t>seasonal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 factors like temperature and photoperiod (daylight hours) because these factors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can affect the availability of nutrition, mates, and habitat.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unfavorable.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dwelling insects protect themselves from the unfavorable season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al variation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</w:t>
      </w:r>
      <w:r w:rsidR="008021BB">
        <w:rPr>
          <w:rFonts w:ascii="Times New Roman" w:eastAsia="Times New Roman" w:hAnsi="Times New Roman" w:cs="Times New Roman"/>
          <w:sz w:val="28"/>
          <w:szCs w:val="28"/>
        </w:rPr>
        <w:t xml:space="preserve">ir environment becomes unfavorable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[1]. </w:t>
      </w:r>
    </w:p>
    <w:p w14:paraId="0FFDDD29" w14:textId="4753C2CC" w:rsidR="00BD316B" w:rsidRPr="0066780D" w:rsidRDefault="00036C82" w:rsidP="0084162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[1].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>Increase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d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 energy storage in the form of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protein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been reported in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L.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decemlineata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Koopmanschap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1994) and southwestern corn borers (D.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15AAB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gossypiella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66780D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ulex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pipens</w:t>
      </w:r>
      <w:proofErr w:type="spellEnd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>These energy stores fuel their metabolism during diapause and after diapause these stored resources are redirected to accomplish adult functions</w:t>
      </w:r>
      <w:r w:rsidR="00C6257B">
        <w:rPr>
          <w:rFonts w:ascii="Times New Roman" w:eastAsia="Times New Roman" w:hAnsi="Times New Roman" w:cs="Times New Roman"/>
          <w:sz w:val="28"/>
          <w:szCs w:val="28"/>
        </w:rPr>
        <w:t xml:space="preserve"> and these stores are influenced by temperature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2FF0EF" w14:textId="5C9AE12D" w:rsidR="005A57F8" w:rsidRPr="0066780D" w:rsidRDefault="00B76C97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he thermal conditions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insects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experience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prior to diapause and during diapause affect </w:t>
      </w:r>
      <w:r w:rsidR="00A75593">
        <w:rPr>
          <w:rFonts w:ascii="Times New Roman" w:eastAsia="Times New Roman" w:hAnsi="Times New Roman" w:cs="Times New Roman"/>
          <w:sz w:val="28"/>
          <w:szCs w:val="28"/>
        </w:rPr>
        <w:t xml:space="preserve">nutrition storage and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their ability to survive diapause. Climate change is producing warmer and more variable temperatures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these changes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decrease the amount of nutrition insects accumulate or drain nutrient stores prematurely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[31, 32, 33, 4].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Insects e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xperiencing temperature variations with greater warm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periods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at the beginning of diapause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have been shown to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store less resources and deplete those resources faster than insects in thermally stable environments before the onset of winter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that experience warmer temperatures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during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diapause could also deplete their resources prematur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>e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ly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as demonstrated by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Thompson and Davis (1981)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 the moth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Diatrea</w:t>
      </w:r>
      <w:proofErr w:type="spellEnd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grandiosella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. When these insects were exposed to warmer temperatures during diapause the result was a significant depletion in lipid stores at the end of diapause.</w:t>
      </w:r>
    </w:p>
    <w:p w14:paraId="02129EBA" w14:textId="77777777" w:rsidR="00C6257B" w:rsidRDefault="00036C82" w:rsidP="00C6257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 addition to surviving diapause, after diapause ends insects must have enough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nutritional resources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other metabolic substrates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remaining to meet the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anabolic requirements for development, metamorphosis, repair, and post-diapause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activities like reproduction [3, 4].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A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study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Calliphora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vicina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as a model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explor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role of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in determining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duration of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the duration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of diapause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. L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 xml:space="preserve">were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provided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either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nutrition or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unrestricted access to nutrition during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diapause preparation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and the time spent in pupal diapause was compared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31ACD">
        <w:rPr>
          <w:rFonts w:ascii="Times New Roman" w:eastAsia="Times New Roman" w:hAnsi="Times New Roman" w:cs="Times New Roman"/>
          <w:sz w:val="28"/>
          <w:szCs w:val="28"/>
        </w:rPr>
        <w:t>The result was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diet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entered diapause with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less mass and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remained is diapause for a shorter period than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an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 unrestricted diet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[</w:t>
      </w:r>
      <w:r w:rsidR="009A7F4E" w:rsidRPr="008F7D17">
        <w:rPr>
          <w:rFonts w:ascii="Times New Roman" w:eastAsia="Times New Roman" w:hAnsi="Times New Roman" w:cs="Times New Roman"/>
          <w:sz w:val="28"/>
          <w:szCs w:val="28"/>
        </w:rPr>
        <w:t>44]</w:t>
      </w:r>
      <w:r w:rsidR="00BD316B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9688F7E" w14:textId="40DF07A7" w:rsidR="00BD316B" w:rsidRPr="008F7D17" w:rsidRDefault="008823FA" w:rsidP="00C6257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F7D17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 redirecting resources away from nutrient storage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and limit an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ability to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build up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 in the winter.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temperatures during diapause could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>al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favorable. For insects that manage to survive diapause with reduced resources could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spring without sufficient reserves </w:t>
      </w:r>
      <w:r w:rsidRPr="008F7D17">
        <w:rPr>
          <w:rFonts w:ascii="Times New Roman" w:eastAsia="Times New Roman" w:hAnsi="Times New Roman" w:cs="Times New Roman"/>
          <w:sz w:val="28"/>
          <w:szCs w:val="28"/>
        </w:rPr>
        <w:t xml:space="preserve">to become functional adults </w:t>
      </w:r>
      <w:bookmarkStart w:id="0" w:name="_GoBack"/>
      <w:bookmarkEnd w:id="0"/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limiting their ability to disperse, mate, and reproduce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301543CB" w:rsidR="00B31ACD" w:rsidRPr="00072F84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i/>
          <w:sz w:val="28"/>
          <w:szCs w:val="28"/>
        </w:rPr>
        <w:t>Ostrinia nubilalis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(European corn borer)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to understand how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climate change and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warmer winter temperatures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might affect nutrition storage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each genotype expresses different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diapause lengths. The "long-diapause" strain experiences a longer warmer diapause as it enters diapause earlier in the fall and exits diapause later in the spring. The opposite is true for the "short-diapause" strain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enters diapause later in the fall and exits diapause earlier in the spring.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the two strains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explain how insects might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 xml:space="preserve">prepare for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winter temperatures. </w:t>
      </w:r>
    </w:p>
    <w:p w14:paraId="2A2CA54F" w14:textId="77777777" w:rsidR="00B23EC3" w:rsidRDefault="00036C82" w:rsidP="00454E2C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If long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European corn borers are to survive </w:t>
      </w:r>
      <w:r w:rsidR="00390AF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warmer longer diapause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 would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 predict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these to store more nutrition during diapause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preparation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compared to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short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larvae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>. Comparing nutrition depletion between the two strains I predict the rate of depletion be similar between larvae regardless of diapause genotypes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>Lipid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 xml:space="preserve"> stores at the start of diapause and during diapause were measured and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larvae with the long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genotype were found to be larger and 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 xml:space="preserve">to contain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greater fat reserves compared to larvae with the short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diapause genotype.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F51264" w14:textId="3E64DD6F" w:rsidR="005875A3" w:rsidRPr="0066780D" w:rsidRDefault="008F013B" w:rsidP="005875A3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field, </w:t>
      </w:r>
      <w:r w:rsidR="00B23EC3">
        <w:rPr>
          <w:rFonts w:ascii="Times New Roman" w:eastAsia="Times New Roman" w:hAnsi="Times New Roman" w:cs="Times New Roman"/>
          <w:sz w:val="28"/>
          <w:szCs w:val="28"/>
        </w:rPr>
        <w:t>climate change could favor long-diapause genotype larvae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larger nutrition stores that can off-set the energy depletion effect of warmer temperatures and higher metabolic rates. While short-diapause larvae may be negatively impacted by climate change, their long-diapause counterparts could be positively impacted by warmer temperatures and European corn borers</w:t>
      </w:r>
      <w:r w:rsidR="00F932D7">
        <w:rPr>
          <w:rFonts w:ascii="Times New Roman" w:eastAsia="Times New Roman" w:hAnsi="Times New Roman" w:cs="Times New Roman"/>
          <w:sz w:val="28"/>
          <w:szCs w:val="28"/>
        </w:rPr>
        <w:t xml:space="preserve"> thrive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temperatures continue to rise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>the way</w:t>
      </w:r>
      <w:r w:rsidR="00DF17AF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manage nutrition storage ahead of diapause and during diapause could determine which insects will win or lose. </w:t>
      </w:r>
      <w:r w:rsidR="008021BB">
        <w:rPr>
          <w:rFonts w:ascii="Times New Roman" w:eastAsia="Times New Roman" w:hAnsi="Times New Roman" w:cs="Times New Roman"/>
          <w:sz w:val="28"/>
          <w:szCs w:val="28"/>
        </w:rPr>
        <w:t>e</w:t>
      </w:r>
    </w:p>
    <w:sectPr w:rsidR="005875A3" w:rsidRPr="0066780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306FE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00125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3B26"/>
    <w:rsid w:val="0026617D"/>
    <w:rsid w:val="002668CC"/>
    <w:rsid w:val="0026706E"/>
    <w:rsid w:val="00273764"/>
    <w:rsid w:val="002811EC"/>
    <w:rsid w:val="00285BEB"/>
    <w:rsid w:val="00293E72"/>
    <w:rsid w:val="00293F63"/>
    <w:rsid w:val="00296FB3"/>
    <w:rsid w:val="0029710D"/>
    <w:rsid w:val="002A3057"/>
    <w:rsid w:val="002B014D"/>
    <w:rsid w:val="002B506C"/>
    <w:rsid w:val="002D3366"/>
    <w:rsid w:val="002D62DE"/>
    <w:rsid w:val="002E2128"/>
    <w:rsid w:val="00300F5B"/>
    <w:rsid w:val="003053A5"/>
    <w:rsid w:val="00305690"/>
    <w:rsid w:val="0032128F"/>
    <w:rsid w:val="0032677B"/>
    <w:rsid w:val="00351535"/>
    <w:rsid w:val="00357B1E"/>
    <w:rsid w:val="00372716"/>
    <w:rsid w:val="00383B2E"/>
    <w:rsid w:val="00390AFD"/>
    <w:rsid w:val="003A2A95"/>
    <w:rsid w:val="003B4915"/>
    <w:rsid w:val="003C4675"/>
    <w:rsid w:val="003C74EA"/>
    <w:rsid w:val="003E532D"/>
    <w:rsid w:val="003F5F54"/>
    <w:rsid w:val="00413057"/>
    <w:rsid w:val="004452DF"/>
    <w:rsid w:val="00454E2C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4D51BC"/>
    <w:rsid w:val="00516FFE"/>
    <w:rsid w:val="00523137"/>
    <w:rsid w:val="00526251"/>
    <w:rsid w:val="00530747"/>
    <w:rsid w:val="00544C01"/>
    <w:rsid w:val="005519A9"/>
    <w:rsid w:val="0055589F"/>
    <w:rsid w:val="00565043"/>
    <w:rsid w:val="005846E7"/>
    <w:rsid w:val="0058592E"/>
    <w:rsid w:val="005875A3"/>
    <w:rsid w:val="005A48BC"/>
    <w:rsid w:val="005A57F8"/>
    <w:rsid w:val="005C34D3"/>
    <w:rsid w:val="005C530D"/>
    <w:rsid w:val="005D0AF1"/>
    <w:rsid w:val="005D6A8F"/>
    <w:rsid w:val="005D6E39"/>
    <w:rsid w:val="005E7908"/>
    <w:rsid w:val="005F2969"/>
    <w:rsid w:val="005F4179"/>
    <w:rsid w:val="006030DA"/>
    <w:rsid w:val="006121C5"/>
    <w:rsid w:val="00613C8A"/>
    <w:rsid w:val="006232CA"/>
    <w:rsid w:val="00626A16"/>
    <w:rsid w:val="006352B5"/>
    <w:rsid w:val="00635A16"/>
    <w:rsid w:val="006450D1"/>
    <w:rsid w:val="006460AA"/>
    <w:rsid w:val="00656FB6"/>
    <w:rsid w:val="00665110"/>
    <w:rsid w:val="0066780D"/>
    <w:rsid w:val="00677CF8"/>
    <w:rsid w:val="006838F4"/>
    <w:rsid w:val="00686418"/>
    <w:rsid w:val="006872C9"/>
    <w:rsid w:val="00693ABB"/>
    <w:rsid w:val="006A57F0"/>
    <w:rsid w:val="006B3A5D"/>
    <w:rsid w:val="006B7AB3"/>
    <w:rsid w:val="006C7860"/>
    <w:rsid w:val="006D7726"/>
    <w:rsid w:val="006E2CA7"/>
    <w:rsid w:val="006E3923"/>
    <w:rsid w:val="006F37B3"/>
    <w:rsid w:val="00706ACD"/>
    <w:rsid w:val="00724193"/>
    <w:rsid w:val="00732A36"/>
    <w:rsid w:val="00733CAA"/>
    <w:rsid w:val="007541D2"/>
    <w:rsid w:val="00761F42"/>
    <w:rsid w:val="00764C09"/>
    <w:rsid w:val="00765A4F"/>
    <w:rsid w:val="007943DB"/>
    <w:rsid w:val="007A422B"/>
    <w:rsid w:val="007A550B"/>
    <w:rsid w:val="007B0C46"/>
    <w:rsid w:val="007B223C"/>
    <w:rsid w:val="007F1342"/>
    <w:rsid w:val="007F3C6A"/>
    <w:rsid w:val="008021BB"/>
    <w:rsid w:val="00805741"/>
    <w:rsid w:val="00816D47"/>
    <w:rsid w:val="00840E25"/>
    <w:rsid w:val="00841624"/>
    <w:rsid w:val="00851070"/>
    <w:rsid w:val="00861264"/>
    <w:rsid w:val="00864DCB"/>
    <w:rsid w:val="008823FA"/>
    <w:rsid w:val="008974ED"/>
    <w:rsid w:val="008A1A23"/>
    <w:rsid w:val="008B7687"/>
    <w:rsid w:val="008B7B46"/>
    <w:rsid w:val="008C05B8"/>
    <w:rsid w:val="008C6B31"/>
    <w:rsid w:val="008D2A07"/>
    <w:rsid w:val="008F013B"/>
    <w:rsid w:val="008F1895"/>
    <w:rsid w:val="008F4017"/>
    <w:rsid w:val="008F5AEA"/>
    <w:rsid w:val="008F7D17"/>
    <w:rsid w:val="00901A16"/>
    <w:rsid w:val="00901C7C"/>
    <w:rsid w:val="00914D25"/>
    <w:rsid w:val="009212E4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A187A"/>
    <w:rsid w:val="009A228B"/>
    <w:rsid w:val="009A7F4E"/>
    <w:rsid w:val="009B21A9"/>
    <w:rsid w:val="009B4DA2"/>
    <w:rsid w:val="009B63B0"/>
    <w:rsid w:val="009C4494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502C5"/>
    <w:rsid w:val="00A67DCB"/>
    <w:rsid w:val="00A75593"/>
    <w:rsid w:val="00A80576"/>
    <w:rsid w:val="00A831EE"/>
    <w:rsid w:val="00AB5A2F"/>
    <w:rsid w:val="00AE790B"/>
    <w:rsid w:val="00AF51B1"/>
    <w:rsid w:val="00AF60FC"/>
    <w:rsid w:val="00B02021"/>
    <w:rsid w:val="00B037F4"/>
    <w:rsid w:val="00B23EC3"/>
    <w:rsid w:val="00B31ACD"/>
    <w:rsid w:val="00B46733"/>
    <w:rsid w:val="00B632BC"/>
    <w:rsid w:val="00B70221"/>
    <w:rsid w:val="00B739CC"/>
    <w:rsid w:val="00B76C97"/>
    <w:rsid w:val="00B7731D"/>
    <w:rsid w:val="00BA1EE6"/>
    <w:rsid w:val="00BA7712"/>
    <w:rsid w:val="00BA777A"/>
    <w:rsid w:val="00BB5E2B"/>
    <w:rsid w:val="00BC190D"/>
    <w:rsid w:val="00BC3897"/>
    <w:rsid w:val="00BD237B"/>
    <w:rsid w:val="00BD2BFA"/>
    <w:rsid w:val="00BD316B"/>
    <w:rsid w:val="00BD644A"/>
    <w:rsid w:val="00BD7E5C"/>
    <w:rsid w:val="00BE6EEE"/>
    <w:rsid w:val="00C07821"/>
    <w:rsid w:val="00C1451A"/>
    <w:rsid w:val="00C15AAB"/>
    <w:rsid w:val="00C17B37"/>
    <w:rsid w:val="00C221D6"/>
    <w:rsid w:val="00C23B37"/>
    <w:rsid w:val="00C26D32"/>
    <w:rsid w:val="00C559EE"/>
    <w:rsid w:val="00C6257B"/>
    <w:rsid w:val="00C6789B"/>
    <w:rsid w:val="00C83C5C"/>
    <w:rsid w:val="00C95F18"/>
    <w:rsid w:val="00CA681E"/>
    <w:rsid w:val="00CB0D32"/>
    <w:rsid w:val="00CC592F"/>
    <w:rsid w:val="00CD0E12"/>
    <w:rsid w:val="00CD165D"/>
    <w:rsid w:val="00CD2AA5"/>
    <w:rsid w:val="00CF1F65"/>
    <w:rsid w:val="00D206D6"/>
    <w:rsid w:val="00D25106"/>
    <w:rsid w:val="00D72D7E"/>
    <w:rsid w:val="00D74AE7"/>
    <w:rsid w:val="00D77648"/>
    <w:rsid w:val="00D82A45"/>
    <w:rsid w:val="00D848C1"/>
    <w:rsid w:val="00DB0AEC"/>
    <w:rsid w:val="00DB3439"/>
    <w:rsid w:val="00DB5701"/>
    <w:rsid w:val="00DE6204"/>
    <w:rsid w:val="00DF17AF"/>
    <w:rsid w:val="00DF73AB"/>
    <w:rsid w:val="00E01011"/>
    <w:rsid w:val="00E06E31"/>
    <w:rsid w:val="00E07678"/>
    <w:rsid w:val="00E20633"/>
    <w:rsid w:val="00E27DD0"/>
    <w:rsid w:val="00E37CD5"/>
    <w:rsid w:val="00E41D80"/>
    <w:rsid w:val="00E442FB"/>
    <w:rsid w:val="00E44983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81271"/>
    <w:rsid w:val="00F841C4"/>
    <w:rsid w:val="00F84A2F"/>
    <w:rsid w:val="00F932D7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A24D3-0D7E-CD4F-AC38-3B2D2C88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2019-01-16T17:03:00Z</dcterms:created>
  <dcterms:modified xsi:type="dcterms:W3CDTF">2019-01-16T17:21:00Z</dcterms:modified>
</cp:coreProperties>
</file>