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D8" w:rsidRDefault="001371D8" w:rsidP="003434FC">
      <w:pPr>
        <w:jc w:val="center"/>
      </w:pPr>
      <w:r>
        <w:t>CHAPTER I</w:t>
      </w:r>
    </w:p>
    <w:p w:rsidR="00EB5221" w:rsidRDefault="00780E96" w:rsidP="00780E96">
      <w:pPr>
        <w:pStyle w:val="Heading1"/>
        <w:rPr>
          <w:rFonts w:cs="Times New Roman"/>
        </w:rPr>
      </w:pPr>
      <w:r w:rsidRPr="008E5812">
        <w:rPr>
          <w:rFonts w:cs="Times New Roman"/>
        </w:rPr>
        <w:t>Introduction</w:t>
      </w:r>
    </w:p>
    <w:p w:rsidR="008D6AEB" w:rsidRDefault="008D6AEB" w:rsidP="008D6AEB">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8D6AEB" w:rsidRDefault="008D6AEB" w:rsidP="008D6AEB">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8D6AEB" w:rsidRDefault="008D6AEB" w:rsidP="008D6AEB">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Pr>
          <w:rFonts w:cs="Times New Roman"/>
        </w:rPr>
        <w:t>MOTIVATION</w:t>
      </w:r>
      <w:r>
        <w:fldChar w:fldCharType="end"/>
      </w:r>
      <w:r>
        <w:t xml:space="preserve"> chapter).</w:t>
      </w:r>
    </w:p>
    <w:p w:rsidR="008D6AEB" w:rsidRDefault="008D6AEB" w:rsidP="008D6AEB">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new features and improvements. The historical defect models discussed in the </w:t>
      </w:r>
      <w:r>
        <w:fldChar w:fldCharType="begin"/>
      </w:r>
      <w:r>
        <w:instrText xml:space="preserve"> REF _Ref419603835 \h </w:instrText>
      </w:r>
      <w:r>
        <w:fldChar w:fldCharType="separate"/>
      </w:r>
      <w:r>
        <w:rPr>
          <w:rFonts w:cs="Times New Roman"/>
        </w:rPr>
        <w:t>LITERATURE REVIEW</w:t>
      </w:r>
      <w:r>
        <w:fldChar w:fldCharType="end"/>
      </w:r>
      <w:r>
        <w:t xml:space="preserve"> chapter are limited in this respect, as they depend only on the past defects. </w:t>
      </w:r>
    </w:p>
    <w:p w:rsidR="008D6AEB" w:rsidRDefault="008D6AEB" w:rsidP="008D6AEB">
      <w:r>
        <w:t>An approach to defect prediction is presented using a multivariate time series model. This model can be applied for a proposed release, because predictions can be made using only information about proposed features and improvements.</w:t>
      </w:r>
    </w:p>
    <w:p w:rsidR="00501F3E" w:rsidRDefault="008D6AEB" w:rsidP="008E512C">
      <w:pPr>
        <w:sectPr w:rsidR="00501F3E" w:rsidSect="009C57A2">
          <w:headerReference w:type="default" r:id="rId9"/>
          <w:footerReference w:type="first" r:id="rId10"/>
          <w:pgSz w:w="12240" w:h="15840"/>
          <w:pgMar w:top="1440" w:right="1440" w:bottom="1440" w:left="2160" w:header="1440" w:footer="1440" w:gutter="0"/>
          <w:pgNumType w:start="1"/>
          <w:cols w:space="720"/>
          <w:titlePg/>
          <w:docGrid w:linePitch="360"/>
        </w:sectPr>
      </w:pPr>
      <w:r>
        <w:t xml:space="preserve">The paper is organized as follows. First, related work is presented in </w:t>
      </w:r>
      <w:r w:rsidR="007310F8">
        <w:t xml:space="preserve">the </w:t>
      </w:r>
      <w:r w:rsidR="007310F8">
        <w:fldChar w:fldCharType="begin"/>
      </w:r>
      <w:r w:rsidR="007310F8">
        <w:instrText xml:space="preserve"> REF _Ref419603835 \h </w:instrText>
      </w:r>
      <w:r w:rsidR="007310F8">
        <w:fldChar w:fldCharType="separate"/>
      </w:r>
      <w:r w:rsidR="007310F8">
        <w:rPr>
          <w:rFonts w:cs="Times New Roman"/>
        </w:rPr>
        <w:t>LITERATURE REVIEW</w:t>
      </w:r>
      <w:r w:rsidR="007310F8">
        <w:fldChar w:fldCharType="end"/>
      </w:r>
      <w:r w:rsidR="007310F8">
        <w:t xml:space="preserve"> s</w:t>
      </w:r>
      <w:r>
        <w:t xml:space="preserve">ection. Then, </w:t>
      </w:r>
      <w:r w:rsidR="007310F8">
        <w:t>f</w:t>
      </w:r>
      <w:r>
        <w:t xml:space="preserve">urther motivation for the use of a time series model for predicting defects is presented in </w:t>
      </w:r>
      <w:r w:rsidR="007310F8">
        <w:t xml:space="preserve">the </w:t>
      </w:r>
      <w:r w:rsidR="007310F8">
        <w:fldChar w:fldCharType="begin"/>
      </w:r>
      <w:r w:rsidR="007310F8">
        <w:instrText xml:space="preserve"> REF _Ref419603736 \h </w:instrText>
      </w:r>
      <w:r w:rsidR="007310F8">
        <w:fldChar w:fldCharType="separate"/>
      </w:r>
      <w:r w:rsidR="007310F8">
        <w:rPr>
          <w:rFonts w:cs="Times New Roman"/>
        </w:rPr>
        <w:t>MOTIVATION</w:t>
      </w:r>
      <w:r w:rsidR="007310F8">
        <w:fldChar w:fldCharType="end"/>
      </w:r>
      <w:r w:rsidR="007310F8">
        <w:t xml:space="preserve"> s</w:t>
      </w:r>
      <w:r>
        <w:t xml:space="preserve">ection. Next, an overview of time series modeling concepts is provided in </w:t>
      </w:r>
      <w:r w:rsidR="007310F8">
        <w:t xml:space="preserve">the </w:t>
      </w:r>
      <w:r w:rsidR="007310F8">
        <w:fldChar w:fldCharType="begin"/>
      </w:r>
      <w:r w:rsidR="007310F8">
        <w:instrText xml:space="preserve"> REF _Ref420170394 \h </w:instrText>
      </w:r>
      <w:r w:rsidR="007310F8">
        <w:fldChar w:fldCharType="separate"/>
      </w:r>
      <w:r w:rsidR="007310F8">
        <w:rPr>
          <w:rFonts w:cs="Times New Roman"/>
        </w:rPr>
        <w:t>BACKGROUND</w:t>
      </w:r>
      <w:r w:rsidR="007310F8">
        <w:fldChar w:fldCharType="end"/>
      </w:r>
      <w:r w:rsidR="007310F8">
        <w:t xml:space="preserve"> s</w:t>
      </w:r>
      <w:r>
        <w:t xml:space="preserve">ection. Methodologies for data collection and time series modeling are detailed in </w:t>
      </w:r>
      <w:r w:rsidR="004D4AF1">
        <w:t xml:space="preserve">the </w:t>
      </w:r>
      <w:r w:rsidR="004D4AF1">
        <w:fldChar w:fldCharType="begin"/>
      </w:r>
      <w:r w:rsidR="004D4AF1">
        <w:instrText xml:space="preserve"> REF _Ref420168384 \h </w:instrText>
      </w:r>
      <w:r w:rsidR="004D4AF1">
        <w:fldChar w:fldCharType="separate"/>
      </w:r>
      <w:r w:rsidR="004D4AF1">
        <w:t>Data Methods</w:t>
      </w:r>
      <w:r w:rsidR="004D4AF1">
        <w:fldChar w:fldCharType="end"/>
      </w:r>
      <w:r w:rsidR="004D4AF1">
        <w:t xml:space="preserve"> and </w:t>
      </w:r>
      <w:r w:rsidR="004D4AF1">
        <w:fldChar w:fldCharType="begin"/>
      </w:r>
      <w:r w:rsidR="004D4AF1">
        <w:instrText xml:space="preserve"> REF _Ref420168410 \h </w:instrText>
      </w:r>
      <w:r w:rsidR="004D4AF1">
        <w:fldChar w:fldCharType="separate"/>
      </w:r>
      <w:r w:rsidR="005B08AC">
        <w:t>Modeling Method</w:t>
      </w:r>
      <w:r w:rsidR="004D4AF1">
        <w:fldChar w:fldCharType="end"/>
      </w:r>
      <w:r w:rsidR="004D4AF1">
        <w:t xml:space="preserve"> sections</w:t>
      </w:r>
      <w:r>
        <w:t>, respectively. The result</w:t>
      </w:r>
      <w:r w:rsidR="00C016BC">
        <w:t>s of applying these method</w:t>
      </w:r>
      <w:r>
        <w:t xml:space="preserve">s are </w:t>
      </w:r>
      <w:r w:rsidR="00C016BC">
        <w:t xml:space="preserve">then </w:t>
      </w:r>
      <w:r>
        <w:t xml:space="preserve">given in </w:t>
      </w:r>
      <w:r w:rsidR="00C016BC">
        <w:t xml:space="preserve">the </w:t>
      </w:r>
      <w:r w:rsidR="00C016BC">
        <w:fldChar w:fldCharType="begin"/>
      </w:r>
      <w:r w:rsidR="00C016BC">
        <w:instrText xml:space="preserve"> REF _Ref420168458 \h </w:instrText>
      </w:r>
      <w:r w:rsidR="00C016BC">
        <w:fldChar w:fldCharType="separate"/>
      </w:r>
      <w:r w:rsidR="00C016BC">
        <w:rPr>
          <w:rFonts w:cs="Times New Roman"/>
        </w:rPr>
        <w:t>RESULTS</w:t>
      </w:r>
      <w:r w:rsidR="00C016BC">
        <w:fldChar w:fldCharType="end"/>
      </w:r>
      <w:r w:rsidR="00C016BC">
        <w:t xml:space="preserve"> chapter</w:t>
      </w:r>
      <w:r>
        <w:t xml:space="preserve">.  Last, the paper concludes and poses future work in </w:t>
      </w:r>
      <w:r w:rsidR="00C7758D">
        <w:t xml:space="preserve">the </w:t>
      </w:r>
      <w:r w:rsidR="00C7758D">
        <w:fldChar w:fldCharType="begin"/>
      </w:r>
      <w:r w:rsidR="00C7758D">
        <w:instrText xml:space="preserve"> REF _Ref420170503 \h </w:instrText>
      </w:r>
      <w:r w:rsidR="00C7758D">
        <w:fldChar w:fldCharType="separate"/>
      </w:r>
      <w:r w:rsidR="00C7758D">
        <w:rPr>
          <w:rFonts w:cs="Times New Roman"/>
        </w:rPr>
        <w:t>CONCLUSIONS &amp; Future Work</w:t>
      </w:r>
      <w:r w:rsidR="00C7758D">
        <w:fldChar w:fldCharType="end"/>
      </w:r>
      <w:r w:rsidR="00C7758D">
        <w:t xml:space="preserve"> chapter</w:t>
      </w:r>
      <w:r>
        <w:t>.</w:t>
      </w:r>
    </w:p>
    <w:p w:rsidR="003434FC" w:rsidRDefault="003434FC" w:rsidP="003434FC">
      <w:pPr>
        <w:jc w:val="center"/>
      </w:pPr>
      <w:r>
        <w:lastRenderedPageBreak/>
        <w:t>CHAPTER II</w:t>
      </w:r>
    </w:p>
    <w:p w:rsidR="003434FC" w:rsidRPr="008E5812" w:rsidRDefault="003434FC" w:rsidP="003434FC">
      <w:pPr>
        <w:pStyle w:val="Heading1"/>
        <w:rPr>
          <w:rFonts w:cs="Times New Roman"/>
        </w:rPr>
      </w:pPr>
      <w:bookmarkStart w:id="0" w:name="_Ref419603835"/>
      <w:r>
        <w:rPr>
          <w:rFonts w:cs="Times New Roman"/>
        </w:rPr>
        <w:t>LITERATURE REVIEW</w:t>
      </w:r>
      <w:bookmarkEnd w:id="0"/>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Akiyama \cite{1971_akiyama} predicted defect counts based on lines of code (LOC), number of decisions, and the number of subroutine calls. Gafney \cite{1984_gaffney_estimating} likewise predicted defect count based on LOC. Rather than code itself, Henry and Kafura \cite{1984_henry_evaluation} define metrics that are based on information taken from design documents, to be used in defect prediction. Nagappan and Ball \cite{2005_nagappan_codechurn} use relative code churn (lines modified) as a metric for predicting the density of defects. Giger, Pinzger, and Gall \cite{2011_giger_finegrained} compare the use of code churn to a more fined-grained approach, capturing \say{the exact code changes and their semantics down to statement level.}</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 xml:space="preserve">A related approach, used by Li, Shaw, Herbsleb, Ray, and Santhanam\cite{2004_li_emperical_eval}, is to study only the defect occurrences </w:t>
      </w:r>
      <w:r>
        <w:lastRenderedPageBreak/>
        <w:t>themselves, and attempt to develop a mathematical model for defect projection. In their work, functions were fitted to a time series of defect occurrences, then the function parameters themselves were extrapolated for each new release. They found that the Weibull model fit best in 73\% of the tested software releases. They attempted to extrapolate model parameters using naive methods, moving averages, and exponential smoothing, but found these techniques to be \say{...inadequate in extrapolating model parameters of the Weibull model for defect-occurrence projection}. The reason given for this ineffectiveness is the changing nature of the software development system. For example, development practices, staffing levels, and usage patterns may all change between releases.</w:t>
      </w:r>
    </w:p>
    <w:p w:rsidR="00211404" w:rsidRDefault="00211404" w:rsidP="00211404">
      <w:r>
        <w:t>In another related approach, Graves, Karr, Marron, and Siy\cite{2000_graves_predicting}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\say{slightly less successful performance} 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lastRenderedPageBreak/>
        <w:t>In the final approach discussed here, by Singh, Abbas, Ahmad, and Ramaswamy\cite{2010_singh_predicting}, the Box-Jenkins method is applied to datasets from the \textit{Eclipse} and \textit{Mozilla} software projects, which are represented as time series data, and defect count is predicted using an ARIMA model. Their modeling effort is focused at the component-level, and they conclude that \say{current bug count of a component is linearly related to its previous bug count}.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3434FC"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such as shown in Figure</w:t>
      </w:r>
      <w:r w:rsidR="006C1B62">
        <w:t xml:space="preserve"> 1</w:t>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9.8pt" o:ole="">
            <v:imagedata r:id="rId11" o:title=""/>
          </v:shape>
          <o:OLEObject Type="Embed" ProgID="Visio.Drawing.11" ShapeID="_x0000_i1025" DrawAspect="Content" ObjectID="_1493924379" r:id="rId12"/>
        </w:object>
      </w:r>
    </w:p>
    <w:p w:rsidR="006C1B62" w:rsidRDefault="006C1B62" w:rsidP="00D043CB">
      <w:pPr>
        <w:pStyle w:val="Caption"/>
      </w:pPr>
      <w:r>
        <w:t xml:space="preserve">Figure </w:t>
      </w:r>
      <w:r>
        <w:fldChar w:fldCharType="begin"/>
      </w:r>
      <w:r>
        <w:instrText xml:space="preserve"> SEQ Figure \* ARABIC </w:instrText>
      </w:r>
      <w:r>
        <w:fldChar w:fldCharType="separate"/>
      </w:r>
      <w:r w:rsidR="00C87C66">
        <w:rPr>
          <w:noProof/>
        </w:rPr>
        <w:t>1</w:t>
      </w:r>
      <w:r>
        <w:fldChar w:fldCharType="end"/>
      </w:r>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The Next Release Problem (NRP) was defined by Bagnall, Rayward-Smith, and Whittley \cite{2001_bagnall_nrp},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\cite{2010_jiang_hybrid,2012_xuan_solving,2007_zhang_multi_obj_nrp}.</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subset</w:t>
      </w:r>
      <w:r w:rsidR="00A55B2B">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by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if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t xml:space="preserve">A requirement </w:t>
      </w:r>
      <m:oMath>
        <m:r>
          <w:rPr>
            <w:rFonts w:ascii="Cambria Math" w:hAnsi="Cambria Math"/>
          </w:rPr>
          <m:t>r∈R</m:t>
        </m:r>
      </m:oMath>
      <w:r w:rsidR="008219C1">
        <w:t xml:space="preserve"> </w:t>
      </w:r>
      <w:r>
        <w:t xml:space="preserve">has a cost </w:t>
      </w:r>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acc>
                <m:accPr>
                  <m:ctrlPr>
                    <w:rPr>
                      <w:rFonts w:ascii="Cambria Math" w:hAnsi="Cambria Math"/>
                      <w:i/>
                    </w:rPr>
                  </m:ctrlPr>
                </m:accPr>
                <m:e>
                  <m:r>
                    <w:rPr>
                      <w:rFonts w:ascii="Cambria Math" w:hAnsi="Cambria Math"/>
                    </w:rPr>
                    <m:t>R</m:t>
                  </m:r>
                </m:e>
              </m:acc>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m:t>
        </m:r>
        <m:r>
          <w:rPr>
            <w:rFonts w:ascii="Cambria Math" w:hAnsi="Cambria Math"/>
          </w:rPr>
          <m:t>⊆{1,2,…,n}</m:t>
        </m:r>
      </m:oMath>
      <w:r w:rsidR="00A42760">
        <w:t xml:space="preserve"> </w:t>
      </w:r>
      <w:r>
        <w:t>that maximizes total revenue, while keeping the total cost</w:t>
      </w:r>
      <w:r w:rsidR="00A42760">
        <w:t xml:space="preserve"> within some budget constraint </w:t>
      </w:r>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m:t>
          </m:r>
          <m:r>
            <w:rPr>
              <w:rFonts w:ascii="Cambria Math" w:hAnsi="Cambria Math"/>
            </w:rPr>
            <m:t xml:space="preserve">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975A2">
      <w:pPr>
        <w:pStyle w:val="Heading3"/>
      </w:pPr>
      <w:r w:rsidRPr="006975A2">
        <w:t>The Gap Between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lastRenderedPageBreak/>
        <w:t>Having all these in hand, a planner could proceed to optimize the subset of requirements planned for the next release. One difficulty with this that can be highlighted 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\emph{and}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Figure </w:t>
      </w:r>
      <w:r w:rsidR="00C87C66">
        <w:t>2.</w:t>
      </w:r>
    </w:p>
    <w:p w:rsidR="00C87C66" w:rsidRDefault="00C87C66" w:rsidP="009E273B">
      <w:pPr>
        <w:keepNext/>
        <w:jc w:val="center"/>
      </w:pPr>
      <w:r>
        <w:object w:dxaOrig="2919" w:dyaOrig="2445">
          <v:shape id="_x0000_i1026" type="#_x0000_t75" style="width:242.85pt;height:203.1pt" o:ole="">
            <v:imagedata r:id="rId13" o:title=""/>
          </v:shape>
          <o:OLEObject Type="Embed" ProgID="Visio.Drawing.11" ShapeID="_x0000_i1026" DrawAspect="Content" ObjectID="_1493924380" r:id="rId14"/>
        </w:object>
      </w:r>
    </w:p>
    <w:p w:rsidR="00C87C66" w:rsidRDefault="00C87C66" w:rsidP="00D043CB">
      <w:pPr>
        <w:pStyle w:val="Caption"/>
      </w:pPr>
      <w:r>
        <w:t xml:space="preserve">Figure </w:t>
      </w:r>
      <w:r>
        <w:fldChar w:fldCharType="begin"/>
      </w:r>
      <w:r>
        <w:instrText xml:space="preserve"> SEQ Figure \* ARABIC </w:instrText>
      </w:r>
      <w:r>
        <w:fldChar w:fldCharType="separate"/>
      </w:r>
      <w:r>
        <w:rPr>
          <w:noProof/>
        </w:rPr>
        <w:t>2</w:t>
      </w:r>
      <w:r>
        <w:fldChar w:fldCharType="end"/>
      </w:r>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326FE2" w:rsidP="00326FE2">
      <w:pPr>
        <w:pStyle w:val="Heading1"/>
        <w:rPr>
          <w:rFonts w:cs="Times New Roman"/>
        </w:rPr>
      </w:pPr>
      <w:bookmarkStart w:id="2" w:name="_Ref420170394"/>
      <w:r>
        <w:rPr>
          <w:rFonts w:cs="Times New Roman"/>
        </w:rPr>
        <w:t>BACKGROUND</w:t>
      </w:r>
      <w:bookmarkEnd w:id="2"/>
    </w:p>
    <w:p w:rsidR="00326FE2" w:rsidRDefault="00896486" w:rsidP="00896486">
      <w:r w:rsidRPr="00896486">
        <w:t>In this section, time series and autoregressive models are introduced. Then, further concepts related to modeling, exogeneity and stationarity,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 xml:space="preserve">A basic autoregressive (AR) model is formed as a linear combination of previous values, plus a white noise term that accounts for random variations (the stochastic portion). An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896486" w:rsidP="00896486">
      <w:r>
        <w:t xml:space="preserve">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t xml:space="preserve">are the </w:t>
      </w:r>
      <m:oMath>
        <m:r>
          <w:rPr>
            <w:rFonts w:ascii="Cambria Math" w:hAnsi="Cambria Math"/>
          </w:rPr>
          <m:t>p</m:t>
        </m:r>
      </m:oMath>
      <w:r>
        <w:t xml:space="preserve"> parameters, </w:t>
      </w:r>
      <m:oMath>
        <m:r>
          <w:rPr>
            <w:rFonts w:ascii="Cambria Math" w:hAnsi="Cambria Math"/>
          </w:rPr>
          <m:t>c</m:t>
        </m:r>
      </m:oMath>
      <w:r>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t>is the white noise term.</w:t>
      </w:r>
    </w:p>
    <w:p w:rsidR="00896486" w:rsidRDefault="00896486" w:rsidP="00896486"/>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896486">
      <w:pPr>
        <w:pStyle w:val="Heading2"/>
      </w:pPr>
      <w:r w:rsidRPr="00896486">
        <w:t>Endogeneity and Exogeneity</w:t>
      </w:r>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Trends and Stationarity</w:t>
      </w:r>
    </w:p>
    <w:p w:rsidR="00896486" w:rsidRDefault="00896486" w:rsidP="00896486">
      <w:r>
        <w:t>AR, VAR, and VARX models do not account for non-stationary data. If a time series is not stationary, differencing may produce a stationary series. Trending time series are challenging to analyze, because the summary statistics of mean, variance, and autocovariance vary over time, and are therefore not interpretable \cite{franses1998time}.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r>
        <w:t>Stationarity can be strict or weak (of some order). Strict stationarity occurs when statistical properties are invariant with respect to shifts of the time origin\cite{moon2000mathematical}. Alternatively, a weak stationarity (of second order) can be established, and from this strict stationarity can be established by then assuming normality\cite{box_jenkins_reinsel_2008}.</w:t>
      </w:r>
    </w:p>
    <w:p w:rsidR="00896486" w:rsidRDefault="00896486" w:rsidP="00896486">
      <w:r>
        <w:t>For a multivariate time series, stationarity holds if all the component univariate time series are stationary\cite{yang2005stationarity}, so the goal of stationarity testing will be to establish second-order stationarity for each univariate time series component, and then show that the assumption of normality is reasonable. This will establish the stationarity of the multivariate time series as a whole. Next, tests are discussed for assessing if a deterministic or stochastic trend is present.</w:t>
      </w:r>
    </w:p>
    <w:p w:rsidR="00896486" w:rsidRDefault="00896486" w:rsidP="00896486">
      <w:pPr>
        <w:pStyle w:val="Heading2"/>
      </w:pPr>
      <w:r w:rsidRPr="00896486">
        <w:t>Unit Root and Stationarity Testing</w:t>
      </w:r>
    </w:p>
    <w:p w:rsidR="00896486" w:rsidRDefault="00896486" w:rsidP="00896486">
      <w:r>
        <w:t xml:space="preserve">A time series that contains a stochastic trend is non-stationary. A pure auto-regressive (AR) model of such a time series contains a unit root \cite{franses1998time}. Testing for the presence of a unit root can therefore be used to test for non-stationarity. A unit-root test poses as the null hypothesis that an AR model has a unit root. Then, a test </w:t>
      </w:r>
      <w:r>
        <w:lastRenderedPageBreak/>
        <w:t>statistic is measured. If the p-value is below some significance, the null hypothesis can be rejected, 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326FE2" w:rsidRDefault="00326FE2" w:rsidP="00326FE2">
      <w:pPr>
        <w:jc w:val="center"/>
      </w:pPr>
      <w:r>
        <w:lastRenderedPageBreak/>
        <w:t>CHAPTER V</w:t>
      </w:r>
    </w:p>
    <w:p w:rsidR="00326FE2" w:rsidRDefault="00326FE2" w:rsidP="00326FE2">
      <w:pPr>
        <w:pStyle w:val="Heading1"/>
        <w:rPr>
          <w:rFonts w:cs="Times New Roman"/>
        </w:rPr>
      </w:pPr>
      <w:r>
        <w:rPr>
          <w:rFonts w:cs="Times New Roman"/>
        </w:rPr>
        <w:t>METHOD</w:t>
      </w:r>
      <w:r w:rsidR="004D4AF1">
        <w:rPr>
          <w:rFonts w:cs="Times New Roman"/>
        </w:rPr>
        <w:t>s</w:t>
      </w:r>
    </w:p>
    <w:p w:rsidR="00326FE2" w:rsidRDefault="00326FE2" w:rsidP="00326FE2">
      <w:pPr>
        <w:jc w:val="center"/>
      </w:pPr>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3" w:name="_Ref420168384"/>
      <w:r>
        <w:t>Data Methods</w:t>
      </w:r>
      <w:bookmarkEnd w:id="3"/>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and windowing, are described.</w:t>
      </w:r>
    </w:p>
    <w:p w:rsidR="00AD4652" w:rsidRDefault="00AD4652" w:rsidP="00AD4652">
      <w:pPr>
        <w:pStyle w:val="Heading3"/>
      </w:pPr>
      <w:r>
        <w:t>Data Sources</w:t>
      </w:r>
    </w:p>
    <w:p w:rsidR="00EB5221" w:rsidRDefault="00AD4652" w:rsidP="009504AE">
      <w:r>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EF1EA7">
        <w:t xml:space="preserve"> that</w:t>
      </w:r>
    </w:p>
    <w:p w:rsidR="00EB5221" w:rsidRDefault="00EF1EA7" w:rsidP="00EB5221">
      <w:pPr>
        <w:pStyle w:val="ListParagraph"/>
        <w:numPr>
          <w:ilvl w:val="0"/>
          <w:numId w:val="3"/>
        </w:numPr>
      </w:pPr>
      <w:r>
        <w:t xml:space="preserve">Has been </w:t>
      </w:r>
      <w:r w:rsidR="00EB5221">
        <w:t>actively developed for at least several years</w:t>
      </w:r>
    </w:p>
    <w:p w:rsidR="00EF1EA7" w:rsidRDefault="00EB5221" w:rsidP="00EB5221">
      <w:pPr>
        <w:pStyle w:val="ListParagraph"/>
        <w:numPr>
          <w:ilvl w:val="0"/>
          <w:numId w:val="3"/>
        </w:numPr>
      </w:pPr>
      <w:r>
        <w:t xml:space="preserve">Has </w:t>
      </w:r>
      <w:r w:rsidR="00EF1EA7">
        <w:t>openly available issue tracking system data</w:t>
      </w:r>
    </w:p>
    <w:p w:rsidR="00EF1EA7" w:rsidRDefault="00E64A36" w:rsidP="00EB5221">
      <w:pPr>
        <w:pStyle w:val="ListParagraph"/>
        <w:numPr>
          <w:ilvl w:val="0"/>
          <w:numId w:val="3"/>
        </w:numPr>
      </w:pPr>
      <w:r>
        <w:t xml:space="preserve">Distinguishes between </w:t>
      </w:r>
      <w:r w:rsidR="00953CC6">
        <w:t>defects and other issue types</w:t>
      </w:r>
    </w:p>
    <w:p w:rsidR="00380B5B" w:rsidRDefault="00380B5B" w:rsidP="00071576">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r w:rsidR="00A3604F">
        <w:rPr>
          <w:i/>
        </w:rPr>
        <w:t>orm</w:t>
      </w:r>
      <w:r w:rsidR="00F11E06" w:rsidRPr="00D60593">
        <w:rPr>
          <w:i/>
        </w:rPr>
        <w:t xml:space="preserve"> </w:t>
      </w:r>
      <w:r w:rsidR="00F11E06">
        <w:t>pro</w:t>
      </w:r>
      <w:r w:rsidR="00AF328A">
        <w:t>du</w:t>
      </w:r>
      <w:r w:rsidR="00F11E06">
        <w:t>ct</w:t>
      </w:r>
    </w:p>
    <w:p w:rsidR="00A3604F" w:rsidRDefault="00A3604F" w:rsidP="00380B5B">
      <w:pPr>
        <w:pStyle w:val="ListParagraph"/>
        <w:numPr>
          <w:ilvl w:val="0"/>
          <w:numId w:val="4"/>
        </w:numPr>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lastRenderedPageBreak/>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Issue data </w:t>
      </w:r>
      <w:r w:rsidR="008B390D">
        <w:t>for</w:t>
      </w:r>
      <w:r w:rsidR="00AF328A">
        <w:t xml:space="preserve"> the </w:t>
      </w:r>
      <w:r w:rsidR="00AF328A">
        <w:rPr>
          <w:i/>
        </w:rPr>
        <w:t>core server</w:t>
      </w:r>
      <w:r w:rsidR="00AF328A" w:rsidRPr="00AF328A">
        <w:t xml:space="preserve"> </w:t>
      </w:r>
      <w:r w:rsidR="00AF328A">
        <w:t xml:space="preserve">product </w:t>
      </w:r>
      <w:r w:rsidR="00AF328A">
        <w:t>was exported from the project's JIRA web interface</w:t>
      </w:r>
      <w:r w:rsidR="00D60593">
        <w:rPr>
          <w:rStyle w:val="FootnoteReference"/>
        </w:rPr>
        <w:footnoteReference w:id="6"/>
      </w:r>
      <w:r w:rsidR="00AF328A">
        <w:t xml:space="preserve"> as XML data</w:t>
      </w:r>
      <w:r w:rsidR="00AF328A">
        <w:t xml:space="preserve">. </w:t>
      </w:r>
      <w:r>
        <w:t xml:space="preserve">Issues from </w:t>
      </w:r>
      <w:r w:rsidR="00F53E82">
        <w:t xml:space="preserve">April, 2009 through January, 2015 </w:t>
      </w:r>
      <w:r>
        <w:t>were used, leading to a dataset containing 7,042 issues.</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8B390D">
        <w:t>Issue data for</w:t>
      </w:r>
      <w:r w:rsidR="00D60593">
        <w:t xml:space="preserve"> the </w:t>
      </w:r>
      <w:r w:rsidR="00D60593">
        <w:rPr>
          <w:i/>
        </w:rPr>
        <w:t xml:space="preserve">orm </w:t>
      </w:r>
      <w:r w:rsidR="00D60593">
        <w:t>product was exported from the project’s JIRA web interface</w:t>
      </w:r>
      <w:r w:rsidR="00D60593">
        <w:rPr>
          <w:rStyle w:val="FootnoteReference"/>
        </w:rPr>
        <w:footnoteReference w:id="7"/>
      </w:r>
      <w:r w:rsidR="00D60593">
        <w:t xml:space="preserve"> as XML.</w:t>
      </w:r>
      <w:r w:rsidR="00804415">
        <w:t xml:space="preserve"> </w:t>
      </w:r>
      <w:r w:rsidR="00804415">
        <w:t xml:space="preserve">Issues from April, </w:t>
      </w:r>
      <w:r w:rsidR="00804415">
        <w:t>2003</w:t>
      </w:r>
      <w:r w:rsidR="00804415">
        <w:t xml:space="preserve"> through </w:t>
      </w:r>
      <w:r w:rsidR="00804415">
        <w:t>April</w:t>
      </w:r>
      <w:r w:rsidR="00804415">
        <w:t>, 2015 were used, l</w:t>
      </w:r>
      <w:r w:rsidR="00804415">
        <w:t>eading to a dataset containing 8</w:t>
      </w:r>
      <w:r w:rsidR="00804415">
        <w:t>,</w:t>
      </w:r>
      <w:r w:rsidR="00804415">
        <w:t>315</w:t>
      </w:r>
      <w:r w:rsidR="00804415">
        <w:t xml:space="preserve"> issues.</w:t>
      </w:r>
    </w:p>
    <w:p w:rsidR="00071576" w:rsidRPr="00973F8C" w:rsidRDefault="00303F8B" w:rsidP="00756058">
      <w:r>
        <w:t>The Netbeans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2010 dump of the Bugzilla MySQL 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Data for the </w:t>
      </w:r>
      <w:r w:rsidR="00973F8C">
        <w:rPr>
          <w:i/>
        </w:rPr>
        <w:t xml:space="preserve">platform </w:t>
      </w:r>
      <w:r w:rsidR="00973F8C">
        <w:t xml:space="preserve">and </w:t>
      </w:r>
      <w:r w:rsidR="00973F8C">
        <w:rPr>
          <w:i/>
        </w:rPr>
        <w:t xml:space="preserve">java </w:t>
      </w:r>
      <w:r w:rsidR="00973F8C">
        <w:t>products were taken from Jan, 2001 to June, 2010,</w:t>
      </w:r>
      <w:r w:rsidR="002C677D">
        <w:t xml:space="preserve"> leading to datasets containing</w:t>
      </w:r>
      <w:r w:rsidR="00973F8C">
        <w:t xml:space="preserve"> </w:t>
      </w:r>
      <w:r w:rsidR="00DE2C1F">
        <w:t xml:space="preserve">11,362 </w:t>
      </w:r>
      <w:r w:rsidR="00016B99">
        <w:t>and</w:t>
      </w:r>
      <w:r w:rsidR="00973F8C">
        <w:t xml:space="preserve"> </w:t>
      </w:r>
      <w:r w:rsidR="00DE2C1F">
        <w:t xml:space="preserve">8,734 </w:t>
      </w:r>
      <w:r w:rsidR="00973F8C">
        <w:t>issues, respectively.</w:t>
      </w:r>
    </w:p>
    <w:p w:rsidR="00977454" w:rsidRDefault="00977454" w:rsidP="00977454">
      <w:pPr>
        <w:pStyle w:val="Heading3"/>
      </w:pPr>
      <w:r>
        <w:t>Data Preparation</w:t>
      </w:r>
    </w:p>
    <w:p w:rsidR="005B304F" w:rsidRDefault="005B304F" w:rsidP="00977454">
      <w:pPr>
        <w:pStyle w:val="Heading4"/>
      </w:pPr>
      <w:r>
        <w:t>Data Cleansing</w:t>
      </w:r>
    </w:p>
    <w:p w:rsidR="005B304F" w:rsidRDefault="005B304F" w:rsidP="00977454">
      <w:r>
        <w:t>Not all of the data was preserved for modeling. The modification or removal of data is discussed next.</w:t>
      </w:r>
    </w:p>
    <w:p w:rsidR="005B304F" w:rsidRDefault="00977454" w:rsidP="005B304F">
      <w:r>
        <w:lastRenderedPageBreak/>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will be 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In the MongoDB dataset, 18 (0.26%) of the issues were unfixed. </w:t>
      </w:r>
    </w:p>
    <w:p w:rsidR="005B304F" w:rsidRDefault="00977454" w:rsidP="005B304F">
      <w:r>
        <w:t>Next, i</w:t>
      </w:r>
      <w:r w:rsidR="005B304F">
        <w:t xml:space="preserve">ssues that are </w:t>
      </w:r>
      <w:r w:rsidR="00D056E4">
        <w:t xml:space="preserve">categorized as </w:t>
      </w:r>
      <w:r w:rsidR="005B304F">
        <w:t xml:space="preserve">sub-tasks are converted to be the same </w:t>
      </w:r>
      <w:r w:rsidR="00D056E4">
        <w:t xml:space="preserve">issue </w:t>
      </w:r>
      <w:r w:rsidR="005B304F">
        <w:t xml:space="preserve">type as the parent issue. Those sub-tasks whose parent issue is not in the dataset are considered orphans and discarded. </w:t>
      </w:r>
      <w:r w:rsidR="00D056E4">
        <w:t>In the MongoDB dataset t</w:t>
      </w:r>
      <w:r w:rsidR="005B304F">
        <w:t>here were 20 (0.28%) orphaned sub-tasks encountered in the dataset</w:t>
      </w:r>
      <w:r w:rsidR="005503B0">
        <w:t>.</w:t>
      </w:r>
    </w:p>
    <w:p w:rsidR="005B304F" w:rsidRDefault="005B304F" w:rsidP="005B304F">
      <w:pPr>
        <w:ind w:firstLine="0"/>
      </w:pPr>
    </w:p>
    <w:p w:rsidR="005B304F" w:rsidRDefault="005B304F" w:rsidP="005B304F">
      <w:pPr>
        <w:ind w:firstLine="0"/>
      </w:pPr>
    </w:p>
    <w:p w:rsidR="00AD4652" w:rsidRDefault="00DE70D4" w:rsidP="00DE70D4">
      <w:pPr>
        <w:pStyle w:val="Heading3"/>
      </w:pPr>
      <w:r>
        <w:t>Data Preparation</w:t>
      </w:r>
    </w:p>
    <w:p w:rsidR="00DE70D4" w:rsidRDefault="00AD4652" w:rsidP="00AD4652">
      <w:r>
        <w:t>After creation, the dataset was operated on to prepare it for time series modeling. The data was sampled, made stationary, and windowed. These three steps are discussed next.</w:t>
      </w:r>
    </w:p>
    <w:p w:rsidR="00AD4652" w:rsidRDefault="00DE70D4" w:rsidP="00DE70D4">
      <w:pPr>
        <w:pStyle w:val="Heading4"/>
      </w:pPr>
      <w:r>
        <w:t>Sampling</w:t>
      </w:r>
    </w:p>
    <w:p w:rsidR="00AD4652" w:rsidRDefault="00AD4652" w:rsidP="00AD4652">
      <w:r>
        <w:t>First, the data was sampled at regular periods to measure the following: number of improvements resolved, number of features resolved, and number of bugs created. A 7-day sampling period was used. As an example, this sampling process is illustrated in Figure \ref{fig:sampling_issue_data}, with results shown in Table \ref{tab:sampling_issue_data}.</w:t>
      </w:r>
    </w:p>
    <w:p w:rsidR="00AD4652" w:rsidRDefault="00AD4652" w:rsidP="00AD4652">
      <w:r>
        <w:lastRenderedPageBreak/>
        <w:t>\begin{figure}[htbp]</w:t>
      </w:r>
    </w:p>
    <w:p w:rsidR="00AD4652" w:rsidRDefault="00AD4652" w:rsidP="00AD4652">
      <w:r>
        <w:t>\begin{center}</w:t>
      </w:r>
    </w:p>
    <w:p w:rsidR="00AD4652" w:rsidRDefault="00AD4652" w:rsidP="00AD4652">
      <w:r>
        <w:t>\begin{tikzpicture}</w:t>
      </w:r>
    </w:p>
    <w:p w:rsidR="00AD4652" w:rsidRDefault="00AD4652" w:rsidP="00AD4652">
      <w:r>
        <w:t xml:space="preserve">  \node (bb) at (-2.3,2) [draw] {|Bug|};</w:t>
      </w:r>
    </w:p>
    <w:p w:rsidR="00AD4652" w:rsidRDefault="00AD4652" w:rsidP="00AD4652">
      <w:r>
        <w:t xml:space="preserve">  \node (n) at (-1.6,1) [draw] {|New Feature|};</w:t>
      </w:r>
    </w:p>
    <w:p w:rsidR="00AD4652" w:rsidRDefault="00AD4652" w:rsidP="00AD4652">
      <w:r>
        <w:t xml:space="preserve">  \node (ii) at (-1.9,0) [draw] {|Improvement|};</w:t>
      </w:r>
    </w:p>
    <w:p w:rsidR="00AD4652" w:rsidRDefault="00AD4652" w:rsidP="00AD4652">
      <w:r>
        <w:t xml:space="preserve">  \node (bbbb) at (-1,-1) [draw] {|Bug|};</w:t>
      </w:r>
    </w:p>
    <w:p w:rsidR="00AD4652" w:rsidRDefault="00AD4652" w:rsidP="00AD4652">
      <w:r>
        <w:t xml:space="preserve">  \node (i) at (0,-2) [draw] {|Improvement|};</w:t>
      </w:r>
    </w:p>
    <w:p w:rsidR="00AD4652" w:rsidRDefault="00AD4652" w:rsidP="00AD4652">
      <w:r>
        <w:t xml:space="preserve">  \node (bbbbb) at (1.1,-3) [draw] {|Bug|};</w:t>
      </w:r>
    </w:p>
    <w:p w:rsidR="00AD4652" w:rsidRDefault="00AD4652" w:rsidP="00AD4652">
      <w:r>
        <w:t xml:space="preserve">  \draw[dashed] (-3,3) -- (-3,-4);</w:t>
      </w:r>
    </w:p>
    <w:p w:rsidR="00AD4652" w:rsidRDefault="00AD4652" w:rsidP="00AD4652">
      <w:r>
        <w:t xml:space="preserve">  \draw[dashed] (0,3) -- (0,-4);</w:t>
      </w:r>
    </w:p>
    <w:p w:rsidR="00AD4652" w:rsidRDefault="00AD4652" w:rsidP="00AD4652">
      <w:r>
        <w:t xml:space="preserve">  \draw[dashed] (3,3) -- (3,-4);</w:t>
      </w:r>
    </w:p>
    <w:p w:rsidR="00AD4652" w:rsidRDefault="00AD4652" w:rsidP="00AD4652">
      <w:r>
        <w:t xml:space="preserve">  \draw (-4.5,3.5) node {Period 1};</w:t>
      </w:r>
    </w:p>
    <w:p w:rsidR="00AD4652" w:rsidRDefault="00AD4652" w:rsidP="00AD4652">
      <w:r>
        <w:t xml:space="preserve">  \draw (-1.5,3.5) node {Period 2};</w:t>
      </w:r>
    </w:p>
    <w:p w:rsidR="00AD4652" w:rsidRDefault="00AD4652" w:rsidP="00AD4652">
      <w:r>
        <w:t xml:space="preserve">  \draw (1.5,3.5) node {Period 3};</w:t>
      </w:r>
    </w:p>
    <w:p w:rsidR="00AD4652" w:rsidRDefault="00AD4652" w:rsidP="00AD4652">
      <w:r>
        <w:t xml:space="preserve">  \draw (4.5,3.5) node {...};</w:t>
      </w:r>
    </w:p>
    <w:p w:rsidR="00AD4652" w:rsidRDefault="00AD4652" w:rsidP="00AD4652">
      <w:r>
        <w:t>\end{tikzpicture}</w:t>
      </w:r>
    </w:p>
    <w:p w:rsidR="00AD4652" w:rsidRDefault="00AD4652" w:rsidP="00AD4652">
      <w:r>
        <w:t>\caption[Sampling issue data]{Sampling issue data by dividing time into equally-spaced periods.}</w:t>
      </w:r>
    </w:p>
    <w:p w:rsidR="00AD4652" w:rsidRDefault="00AD4652" w:rsidP="00AD4652">
      <w:r>
        <w:t>\label{fig:sampling_issue_data}</w:t>
      </w:r>
    </w:p>
    <w:p w:rsidR="00AD4652" w:rsidRDefault="00AD4652" w:rsidP="00AD4652">
      <w:r>
        <w:t>\end{center}</w:t>
      </w:r>
    </w:p>
    <w:p w:rsidR="00AD4652" w:rsidRDefault="00AD4652" w:rsidP="00AD4652">
      <w:r>
        <w:t>\end{figure}</w:t>
      </w:r>
    </w:p>
    <w:p w:rsidR="00AD4652" w:rsidRDefault="00AD4652" w:rsidP="00AD4652"/>
    <w:p w:rsidR="00AD4652" w:rsidRDefault="00AD4652" w:rsidP="00AD4652">
      <w:r>
        <w:t>\begin{table}[htbp]</w:t>
      </w:r>
    </w:p>
    <w:p w:rsidR="00AD4652" w:rsidRDefault="00AD4652" w:rsidP="00AD4652">
      <w:r>
        <w:t>\caption[Sampling issue data]{Results of sampling example issues shown in figure \ref{fig:sampling_issue_data}.}</w:t>
      </w:r>
    </w:p>
    <w:p w:rsidR="00AD4652" w:rsidRDefault="00AD4652" w:rsidP="00AD4652">
      <w:r>
        <w:t>\centering</w:t>
      </w:r>
    </w:p>
    <w:p w:rsidR="00AD4652" w:rsidRDefault="00AD4652" w:rsidP="00AD4652">
      <w:r>
        <w:t>\begin{tabular}{ c | c | c | c }</w:t>
      </w:r>
    </w:p>
    <w:p w:rsidR="00AD4652" w:rsidRDefault="00AD4652" w:rsidP="00AD4652">
      <w:r>
        <w:t>\hline</w:t>
      </w:r>
    </w:p>
    <w:p w:rsidR="00AD4652" w:rsidRDefault="00AD4652" w:rsidP="00AD4652">
      <w:r>
        <w:t>Period &amp; Improvements &amp; New Features &amp; Bugs \\</w:t>
      </w:r>
    </w:p>
    <w:p w:rsidR="00AD4652" w:rsidRDefault="00AD4652" w:rsidP="00AD4652">
      <w:r>
        <w:t>~&amp; Resolved &amp; Resolved &amp; Created \\</w:t>
      </w:r>
    </w:p>
    <w:p w:rsidR="00AD4652" w:rsidRDefault="00AD4652" w:rsidP="00AD4652">
      <w:r>
        <w:t>\hline</w:t>
      </w:r>
    </w:p>
    <w:p w:rsidR="00AD4652" w:rsidRDefault="00AD4652" w:rsidP="00AD4652">
      <w:r>
        <w:t>1 &amp; 0 &amp; 0 &amp; 1 \\</w:t>
      </w:r>
    </w:p>
    <w:p w:rsidR="00AD4652" w:rsidRDefault="00AD4652" w:rsidP="00AD4652">
      <w:r>
        <w:t>2 &amp; 1 &amp; 1 &amp; 1 \\</w:t>
      </w:r>
    </w:p>
    <w:p w:rsidR="00AD4652" w:rsidRDefault="00AD4652" w:rsidP="00AD4652">
      <w:r>
        <w:t>3 &amp; 1 &amp; 0 &amp; 1 \\</w:t>
      </w:r>
    </w:p>
    <w:p w:rsidR="00AD4652" w:rsidRDefault="00AD4652" w:rsidP="00AD4652">
      <w:r>
        <w:t>\hline</w:t>
      </w:r>
    </w:p>
    <w:p w:rsidR="00AD4652" w:rsidRDefault="00AD4652" w:rsidP="00AD4652">
      <w:r>
        <w:t>\end{tabular}</w:t>
      </w:r>
    </w:p>
    <w:p w:rsidR="00AD4652" w:rsidRDefault="00AD4652" w:rsidP="00AD4652">
      <w:r>
        <w:t>\label{tab:sampling_issue_data}</w:t>
      </w:r>
    </w:p>
    <w:p w:rsidR="00AD4652" w:rsidRDefault="00AD4652" w:rsidP="00AD4652">
      <w:r>
        <w:t>\end{table}</w:t>
      </w:r>
    </w:p>
    <w:p w:rsidR="00AD4652" w:rsidRDefault="00AD4652" w:rsidP="00AD4652"/>
    <w:p w:rsidR="00AD4652" w:rsidRDefault="00DE70D4" w:rsidP="00DE70D4">
      <w:pPr>
        <w:pStyle w:val="Heading4"/>
      </w:pPr>
      <w:r>
        <w:t>Establishing Stationarity</w:t>
      </w:r>
    </w:p>
    <w:p w:rsidR="00195921" w:rsidRDefault="00AD4652" w:rsidP="00AD4652">
      <w:r>
        <w:t xml:space="preserve">To establish stationarity, we first need to see if we can rule out the presence of a stochastic trend by applying the augmented Dickey-Fuller (ADF) test. If we can indeed rule out a stochastic trend, we should be able to confirm stationarity by applying the </w:t>
      </w:r>
      <w:r>
        <w:lastRenderedPageBreak/>
        <w:t>KPSS test. Or, if a stochastic trend cannot be ruled out, then KPSS test should be applied to check that trend stationarity is also rejected. If the data is found to have a stochastic trend, it should be differenced and then retested to confirm (trend) stationarity. In both tests, it will be assumed that the deterministic component is constant, with an intercept but no trend.</w:t>
      </w:r>
      <w:r w:rsidR="00195921">
        <w:t xml:space="preserve"> </w:t>
      </w:r>
    </w:p>
    <w:p w:rsidR="00AD4652" w:rsidRDefault="00AD4652" w:rsidP="00AD4652">
      <w:r>
        <w:t xml:space="preserve">The </w:t>
      </w:r>
      <w:r w:rsidRPr="00327D75">
        <w:rPr>
          <w:i/>
        </w:rPr>
        <w:t>urca</w:t>
      </w:r>
      <w:r w:rsidR="00327D75">
        <w:rPr>
          <w:rStyle w:val="FootnoteReference"/>
          <w:i/>
        </w:rPr>
        <w:footnoteReference w:id="9"/>
      </w:r>
      <w:r>
        <w:t xml:space="preserve"> library provides </w:t>
      </w:r>
      <w:r w:rsidRPr="00B762F0">
        <w:rPr>
          <w:rStyle w:val="CodeChar"/>
        </w:rPr>
        <w:t>ur.df</w:t>
      </w:r>
      <w:r>
        <w:t xml:space="preserve"> and </w:t>
      </w:r>
      <w:r w:rsidRPr="00B762F0">
        <w:rPr>
          <w:rStyle w:val="CodeChar"/>
        </w:rPr>
        <w:t>ur.kpss</w:t>
      </w:r>
      <w:r>
        <w:t xml:space="preserve"> functions for performing these test</w:t>
      </w:r>
      <w:r w:rsidR="00B762F0">
        <w:t>s</w:t>
      </w:r>
      <w:r>
        <w:t xml:space="preserve">. </w:t>
      </w:r>
    </w:p>
    <w:p w:rsidR="00AD4652" w:rsidRDefault="00B762F0" w:rsidP="00B762F0">
      <w:pPr>
        <w:pStyle w:val="Heading4"/>
      </w:pPr>
      <w:r>
        <w:t>Time Windowing</w:t>
      </w:r>
    </w:p>
    <w:p w:rsidR="00AD4652" w:rsidRDefault="00AD4652" w:rsidP="00AD4652">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entire modeling methodology will be executed for each time-windowed part of the data.</w:t>
      </w:r>
    </w:p>
    <w:p w:rsidR="00D94EE4" w:rsidRDefault="00D94EE4" w:rsidP="00D94EE4">
      <w:pPr>
        <w:pStyle w:val="Heading2"/>
      </w:pPr>
      <w:bookmarkStart w:id="5" w:name="_Ref420168410"/>
      <w:r>
        <w:t>Modeling Method</w:t>
      </w:r>
      <w:bookmarkEnd w:id="5"/>
      <w:r w:rsidR="004D4AF1">
        <w:t>s</w:t>
      </w:r>
    </w:p>
    <w:p w:rsidR="00195921" w:rsidRDefault="00195921" w:rsidP="00195921">
      <w:r w:rsidRPr="00195921">
        <w:t xml:space="preserve">The typical methodology used for building time series models involves specification, estimation, and diagnostics checking \cite[p. 478]{box_jenkins_reinsel_2008}. Once specified and estimated, the diagnostic checking step ensures that only valid models are considered for selection. The final step of modeling would be selection, where models are compared by some model selection criterion \cite[pg. 581]{box_jenkins_reinsel_2008}. This section presents the approach </w:t>
      </w:r>
      <w:r w:rsidRPr="00195921">
        <w:lastRenderedPageBreak/>
        <w:t>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r>
        <w:t xml:space="preserve">ished by choosing an order </w:t>
      </w:r>
      <m:oMath>
        <m:r>
          <w:rPr>
            <w:rFonts w:ascii="Cambria Math" w:hAnsi="Cambria Math"/>
          </w:rPr>
          <m:t>p</m:t>
        </m:r>
      </m:oMath>
      <w:r w:rsidR="00195921">
        <w:t>, which is the number of autoregressive terms to include in the model. Once an order is 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r w:rsidR="0084012A">
        <w:t xml:space="preserve">ime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ratio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lastRenderedPageBreak/>
        <w:t>Then, f</w:t>
      </w:r>
      <w:r w:rsidR="00195921">
        <w:t xml:space="preserve">or a fixed value of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195921" w:rsidRDefault="00195921" w:rsidP="00195921">
      <w:r>
        <w:t>With this upper bound, model specification will include the gen</w:t>
      </w:r>
      <w:r w:rsidR="00CB75EC">
        <w:t xml:space="preserve">eration of models having order </w:t>
      </w:r>
      <w:r>
        <w:t>1, 2,...,</w:t>
      </w:r>
      <w:r w:rsidR="00CB75EC">
        <w:t xml:space="preserv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195921" w:rsidRDefault="00195921" w:rsidP="00195921">
      <w:r>
        <w:t xml:space="preserve">To estimate the parameters of a VARX model, the </w:t>
      </w:r>
      <w:r w:rsidRPr="00CB75EC">
        <w:rPr>
          <w:i/>
        </w:rPr>
        <w:t>dse</w:t>
      </w:r>
      <w:r w:rsidR="00CB75EC">
        <w:rPr>
          <w:rStyle w:val="FootnoteReference"/>
          <w:i/>
        </w:rPr>
        <w:footnoteReference w:id="10"/>
      </w:r>
      <w:r w:rsidR="002B6DD4">
        <w:t xml:space="preserve"> library provides the </w:t>
      </w:r>
      <w:r w:rsidRPr="002B6DD4">
        <w:rPr>
          <w:rStyle w:val="CodeChar"/>
        </w:rPr>
        <w:t>estVARXar</w:t>
      </w:r>
      <w:r>
        <w:t xml:space="preserve"> function.</w:t>
      </w:r>
    </w:p>
    <w:p w:rsidR="00195921" w:rsidRDefault="00195921" w:rsidP="00195921">
      <w:pPr>
        <w:pStyle w:val="Heading3"/>
      </w:pPr>
      <w:r w:rsidRPr="00195921">
        <w:t>Diagnostics Checking</w:t>
      </w:r>
    </w:p>
    <w:p w:rsidR="00195921" w:rsidRDefault="00195921" w:rsidP="00195921">
      <w:r>
        <w:t>Diagnostic checking is performed to verify that a model can be accepted. This step includes testing for stability and for model inadequacy.</w:t>
      </w:r>
    </w:p>
    <w:p w:rsidR="00195921" w:rsidRDefault="00195921" w:rsidP="00195921">
      <w:r>
        <w:t xml:space="preserve">For model with an AR portion to be stable, the roots of the process characteristic equation must lie outside the unit circle \cite[p. 56]{box_jenkins_reinsel_2008}. Equivalently, the inverse of the roots must lie inside the unit circle. </w:t>
      </w:r>
    </w:p>
    <w:p w:rsidR="00195921" w:rsidRDefault="00195921" w:rsidP="00195921">
      <w:r>
        <w:t xml:space="preserve">The </w:t>
      </w:r>
      <w:r w:rsidRPr="002B6DD4">
        <w:rPr>
          <w:i/>
        </w:rPr>
        <w:t>dse</w:t>
      </w:r>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2B6DD4">
        <w:t>”</w:t>
      </w:r>
      <w:r>
        <w:t xml:space="preserve"> \cite[p. 338]{box_jenkins_reinsel_2008}. For this reason, there are model inadequacy tests formed around a study of the residuals.</w:t>
      </w:r>
    </w:p>
    <w:p w:rsidR="00195921" w:rsidRDefault="00195921" w:rsidP="00195921">
      <w:r>
        <w:lastRenderedPageBreak/>
        <w:t xml:space="preserve">One of these tests, the Ljung-Box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w:t>
      </w:r>
      <w:r w:rsidR="00130583">
        <w:t>level of significance, say 5%</w:t>
      </w:r>
      <w:r>
        <w:t xml:space="preserve">. </w:t>
      </w:r>
    </w:p>
    <w:p w:rsidR="00195921" w:rsidRDefault="00195921" w:rsidP="00195921">
      <w:r>
        <w:t xml:space="preserve">The </w:t>
      </w:r>
      <w:r w:rsidRPr="005F5853">
        <w:rPr>
          <w:i/>
        </w:rPr>
        <w:t>stats</w:t>
      </w:r>
      <w:r w:rsidR="005F5853">
        <w:rPr>
          <w:rStyle w:val="FootnoteReference"/>
          <w:i/>
        </w:rPr>
        <w:footnoteReference w:id="11"/>
      </w:r>
      <w:r>
        <w:t xml:space="preserve"> library provides the </w:t>
      </w:r>
      <w:r w:rsidRPr="005D2A08">
        <w:rPr>
          <w:rStyle w:val="CodeChar"/>
        </w:rPr>
        <w:t>Box.test</w:t>
      </w:r>
      <w:r>
        <w:t xml:space="preserve"> function for performing the Ljung-Box test.</w:t>
      </w:r>
    </w:p>
    <w:p w:rsidR="00195921" w:rsidRDefault="00195921" w:rsidP="00195921">
      <w:pPr>
        <w:pStyle w:val="Heading3"/>
      </w:pPr>
      <w:r w:rsidRPr="00195921">
        <w:t>Model Selection</w:t>
      </w:r>
    </w:p>
    <w:p w:rsidR="00195921" w:rsidRDefault="00195921" w:rsidP="00195921">
      <w:r>
        <w:t>Model selection criteria are used to compare models according to their fit, by penalizing for residual error and the number of parameters. There are a number of different selection criteria, including Akaike Information Criterion (AIC), AIC with correction (AICc), and Bayesian Information Criterion (BIC). Bisgaard and Kulahci noted that “[t]he penalty for introducing unnecessary parameters is more severe for BIC and AICC than for AIC” \cite{bisgaard2011time}.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195921" w:rsidRPr="00195921" w:rsidRDefault="00195921" w:rsidP="00195921">
      <w:pPr>
        <w:sectPr w:rsidR="00195921" w:rsidRPr="00195921" w:rsidSect="00501F3E">
          <w:pgSz w:w="12240" w:h="15840"/>
          <w:pgMar w:top="1440" w:right="1440" w:bottom="1440" w:left="2160" w:header="1440" w:footer="1440" w:gutter="0"/>
          <w:cols w:space="720"/>
          <w:titlePg/>
          <w:docGrid w:linePitch="360"/>
        </w:sectPr>
      </w:pPr>
      <w:r>
        <w:t xml:space="preserve">The </w:t>
      </w:r>
      <w:r w:rsidRPr="00940993">
        <w:rPr>
          <w:i/>
        </w:rPr>
        <w:t>dse</w:t>
      </w:r>
      <w:r>
        <w:t xml:space="preserve"> library provides the </w:t>
      </w:r>
      <w:r w:rsidRPr="00940993">
        <w:rPr>
          <w:rStyle w:val="CodeChar"/>
        </w:rPr>
        <w:t>bestTSestModel</w:t>
      </w:r>
      <w:r>
        <w:t xml:space="preserve"> function for performing model selection.</w:t>
      </w: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6" w:name="_Ref420168458"/>
      <w:r>
        <w:rPr>
          <w:rFonts w:cs="Times New Roman"/>
        </w:rPr>
        <w:t>RESULTS</w:t>
      </w:r>
      <w:bookmarkEnd w:id="6"/>
    </w:p>
    <w:p w:rsidR="00326FE2" w:rsidRDefault="00326FE2" w:rsidP="00326FE2">
      <w:pPr>
        <w:jc w:val="center"/>
      </w:pPr>
    </w:p>
    <w:p w:rsidR="00501F3E" w:rsidRDefault="00501F3E" w:rsidP="00326FE2">
      <w:pPr>
        <w:jc w:val="center"/>
        <w:sectPr w:rsidR="00501F3E"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VII</w:t>
      </w:r>
    </w:p>
    <w:p w:rsidR="00326FE2" w:rsidRDefault="00326FE2" w:rsidP="00326FE2">
      <w:pPr>
        <w:pStyle w:val="Heading1"/>
        <w:rPr>
          <w:rFonts w:cs="Times New Roman"/>
        </w:rPr>
      </w:pPr>
      <w:bookmarkStart w:id="7" w:name="_Ref420170503"/>
      <w:r>
        <w:rPr>
          <w:rFonts w:cs="Times New Roman"/>
        </w:rPr>
        <w:t>CONCLUSIONS</w:t>
      </w:r>
      <w:r w:rsidR="00C7758D">
        <w:rPr>
          <w:rFonts w:cs="Times New Roman"/>
        </w:rPr>
        <w:t xml:space="preserve"> &amp; Future Work</w:t>
      </w:r>
      <w:bookmarkEnd w:id="7"/>
    </w:p>
    <w:p w:rsidR="00326FE2" w:rsidRDefault="00326FE2" w:rsidP="00326FE2">
      <w:pPr>
        <w:jc w:val="center"/>
      </w:pPr>
    </w:p>
    <w:p w:rsidR="00501F3E" w:rsidRDefault="00501F3E" w:rsidP="00C7758D">
      <w:pPr>
        <w:sectPr w:rsidR="00501F3E" w:rsidSect="00501F3E">
          <w:pgSz w:w="12240" w:h="15840"/>
          <w:pgMar w:top="1440" w:right="1440" w:bottom="1440" w:left="2160" w:header="1440" w:footer="1440" w:gutter="0"/>
          <w:cols w:space="720"/>
          <w:titlePg/>
          <w:docGrid w:linePitch="360"/>
        </w:sectPr>
      </w:pPr>
    </w:p>
    <w:p w:rsidR="003434FC" w:rsidRPr="003434FC" w:rsidRDefault="003434FC" w:rsidP="00C7758D">
      <w:pPr>
        <w:ind w:firstLine="0"/>
      </w:pPr>
    </w:p>
    <w:sectPr w:rsidR="003434FC" w:rsidRPr="003434FC"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C3E" w:rsidRDefault="002E6C3E" w:rsidP="00C026DB">
      <w:pPr>
        <w:spacing w:line="240" w:lineRule="auto"/>
      </w:pPr>
      <w:r>
        <w:separator/>
      </w:r>
    </w:p>
  </w:endnote>
  <w:endnote w:type="continuationSeparator" w:id="0">
    <w:p w:rsidR="002E6C3E" w:rsidRDefault="002E6C3E"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42464"/>
      <w:docPartObj>
        <w:docPartGallery w:val="Page Numbers (Bottom of Page)"/>
        <w:docPartUnique/>
      </w:docPartObj>
    </w:sdtPr>
    <w:sdtEndPr>
      <w:rPr>
        <w:noProof/>
      </w:rPr>
    </w:sdtEndPr>
    <w:sdtContent>
      <w:p w:rsidR="00EB5221" w:rsidRDefault="00EB5221">
        <w:pPr>
          <w:pStyle w:val="Footer"/>
          <w:jc w:val="center"/>
        </w:pPr>
        <w:r>
          <w:fldChar w:fldCharType="begin"/>
        </w:r>
        <w:r>
          <w:instrText xml:space="preserve"> PAGE   \* MERGEFORMAT </w:instrText>
        </w:r>
        <w:r>
          <w:fldChar w:fldCharType="separate"/>
        </w:r>
        <w:r w:rsidR="001C1A96">
          <w:rPr>
            <w:noProof/>
          </w:rPr>
          <w:t>16</w:t>
        </w:r>
        <w:r>
          <w:rPr>
            <w:noProof/>
          </w:rPr>
          <w:fldChar w:fldCharType="end"/>
        </w:r>
      </w:p>
    </w:sdtContent>
  </w:sdt>
  <w:p w:rsidR="00EB5221" w:rsidRDefault="00EB5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C3E" w:rsidRDefault="002E6C3E" w:rsidP="00C026DB">
      <w:pPr>
        <w:spacing w:line="240" w:lineRule="auto"/>
      </w:pPr>
      <w:r>
        <w:separator/>
      </w:r>
    </w:p>
  </w:footnote>
  <w:footnote w:type="continuationSeparator" w:id="0">
    <w:p w:rsidR="002E6C3E" w:rsidRDefault="002E6C3E" w:rsidP="00C026DB">
      <w:pPr>
        <w:spacing w:line="240" w:lineRule="auto"/>
      </w:pPr>
      <w:r>
        <w:continuationSeparator/>
      </w:r>
    </w:p>
  </w:footnote>
  <w:footnote w:id="1">
    <w:p w:rsidR="00EB5221" w:rsidRDefault="00EB5221">
      <w:pPr>
        <w:pStyle w:val="FootnoteText"/>
      </w:pPr>
      <w:r>
        <w:rPr>
          <w:rStyle w:val="FootnoteReference"/>
        </w:rPr>
        <w:footnoteRef/>
      </w:r>
      <w:r>
        <w:t>An issue tracking system</w:t>
      </w:r>
      <w:r w:rsidR="001C1A96">
        <w:t xml:space="preserve"> </w:t>
      </w:r>
      <w:r w:rsidR="001C1A96">
        <w:t xml:space="preserve">can be used to track </w:t>
      </w:r>
      <w:r w:rsidR="001C1A96">
        <w:t xml:space="preserve">bugs, new </w:t>
      </w:r>
      <w:r>
        <w:t xml:space="preserve">features, </w:t>
      </w:r>
      <w:r w:rsidR="001C1A96">
        <w:t>improvements</w:t>
      </w:r>
      <w:bookmarkStart w:id="4" w:name="_GoBack"/>
      <w:bookmarkEnd w:id="4"/>
      <w:r>
        <w:t xml:space="preserve">, </w:t>
      </w:r>
      <w:r w:rsidR="001C1A96">
        <w:t>etc.</w:t>
      </w:r>
      <w:r>
        <w:t xml:space="preserve"> </w:t>
      </w:r>
    </w:p>
  </w:footnote>
  <w:footnote w:id="2">
    <w:p w:rsidR="0064747B" w:rsidRDefault="0064747B"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64747B" w:rsidRDefault="0064747B">
      <w:pPr>
        <w:pStyle w:val="FootnoteText"/>
      </w:pPr>
      <w:r>
        <w:rPr>
          <w:rStyle w:val="FootnoteReference"/>
        </w:rPr>
        <w:footnoteRef/>
      </w:r>
      <w:r>
        <w:t xml:space="preserve"> Hibernate is an object-relational mapping (ORM) framework for the Java language.</w:t>
      </w:r>
    </w:p>
  </w:footnote>
  <w:footnote w:id="4">
    <w:p w:rsidR="0064747B" w:rsidRDefault="0064747B">
      <w:pPr>
        <w:pStyle w:val="FootnoteText"/>
      </w:pPr>
      <w:r>
        <w:rPr>
          <w:rStyle w:val="FootnoteReference"/>
        </w:rPr>
        <w:footnoteRef/>
      </w:r>
      <w:r>
        <w:t xml:space="preserve"> NetBeans is a software development platform written in Java</w:t>
      </w:r>
    </w:p>
  </w:footnote>
  <w:footnote w:id="5">
    <w:p w:rsidR="00AF328A" w:rsidRDefault="00AF328A" w:rsidP="00AF328A">
      <w:pPr>
        <w:pStyle w:val="FootnoteText"/>
      </w:pPr>
      <w:r>
        <w:rPr>
          <w:rStyle w:val="FootnoteReference"/>
        </w:rPr>
        <w:footnoteRef/>
      </w:r>
      <w:r>
        <w:t xml:space="preserve"> JIRA is an issue tracking and project management sys</w:t>
      </w:r>
      <w:r w:rsidR="001C1A96">
        <w:t>tem made by Atlassian</w:t>
      </w:r>
    </w:p>
  </w:footnote>
  <w:footnote w:id="6">
    <w:p w:rsidR="00D60593" w:rsidRDefault="00D60593">
      <w:pPr>
        <w:pStyle w:val="FootnoteText"/>
      </w:pPr>
      <w:r>
        <w:rPr>
          <w:rStyle w:val="FootnoteReference"/>
        </w:rPr>
        <w:footnoteRef/>
      </w:r>
      <w:r>
        <w:t xml:space="preserve"> The project’s JIRA web interface is at </w:t>
      </w:r>
      <w:r w:rsidRPr="00AF328A">
        <w:t>https://jira.mongodb.org/browse/SERVER</w:t>
      </w:r>
    </w:p>
  </w:footnote>
  <w:footnote w:id="7">
    <w:p w:rsidR="00D60593" w:rsidRDefault="00D60593">
      <w:pPr>
        <w:pStyle w:val="FootnoteText"/>
      </w:pPr>
      <w:r>
        <w:rPr>
          <w:rStyle w:val="FootnoteReference"/>
        </w:rPr>
        <w:footnoteRef/>
      </w:r>
      <w:r>
        <w:t xml:space="preserve"> </w:t>
      </w:r>
      <w:r>
        <w:t>The project</w:t>
      </w:r>
      <w:r>
        <w:t>’s</w:t>
      </w:r>
      <w:r>
        <w:t xml:space="preserve"> JIRA web interface is at </w:t>
      </w:r>
      <w:r w:rsidRPr="00AF328A">
        <w:t>https://hibernate.atlassian.net/projects/HHH</w:t>
      </w:r>
    </w:p>
  </w:footnote>
  <w:footnote w:id="8">
    <w:p w:rsidR="006B3CCE" w:rsidRDefault="006B3CCE">
      <w:pPr>
        <w:pStyle w:val="FootnoteText"/>
      </w:pPr>
      <w:r>
        <w:rPr>
          <w:rStyle w:val="FootnoteReference"/>
        </w:rPr>
        <w:footnoteRef/>
      </w:r>
      <w:r>
        <w:t xml:space="preserve"> The mining challenge data is available at </w:t>
      </w:r>
      <w:r w:rsidRPr="006B3CCE">
        <w:t>http://2011.msrconf.org/msr-challenge.html</w:t>
      </w:r>
    </w:p>
  </w:footnote>
  <w:footnote w:id="9">
    <w:p w:rsidR="00EB5221" w:rsidRDefault="00EB5221">
      <w:pPr>
        <w:pStyle w:val="FootnoteText"/>
      </w:pPr>
      <w:r>
        <w:rPr>
          <w:rStyle w:val="FootnoteReference"/>
        </w:rPr>
        <w:footnoteRef/>
      </w:r>
      <w:r>
        <w:t xml:space="preserve"> The </w:t>
      </w:r>
      <w:r>
        <w:rPr>
          <w:i/>
        </w:rPr>
        <w:t>urca</w:t>
      </w:r>
      <w:r>
        <w:t xml:space="preserve"> (http://cran.r-project.org/web/packages/urca) library provides tests for time series data, and is freely available as a package for the </w:t>
      </w:r>
      <w:r w:rsidRPr="00327D75">
        <w:rPr>
          <w:i/>
        </w:rPr>
        <w:t>R</w:t>
      </w:r>
      <w:r>
        <w:t xml:space="preserve"> computing environment.</w:t>
      </w:r>
    </w:p>
  </w:footnote>
  <w:footnote w:id="10">
    <w:p w:rsidR="00EB5221" w:rsidRDefault="00EB5221">
      <w:pPr>
        <w:pStyle w:val="FootnoteText"/>
      </w:pPr>
      <w:r>
        <w:rPr>
          <w:rStyle w:val="FootnoteReference"/>
        </w:rPr>
        <w:footnoteRef/>
      </w:r>
      <w:r>
        <w:t xml:space="preserve"> The </w:t>
      </w:r>
      <w:r>
        <w:rPr>
          <w:i/>
        </w:rPr>
        <w:t>dse</w:t>
      </w:r>
      <w:r>
        <w:t xml:space="preserve"> (http://cran.r-project.org/web/packages/dse) library provides tools for time series models, and is freely available as a package for the </w:t>
      </w:r>
      <w:r w:rsidRPr="00CB75EC">
        <w:rPr>
          <w:i/>
        </w:rPr>
        <w:t>R</w:t>
      </w:r>
      <w:r>
        <w:t xml:space="preserve"> computing environment.</w:t>
      </w:r>
    </w:p>
  </w:footnote>
  <w:footnote w:id="11">
    <w:p w:rsidR="00EB5221" w:rsidRDefault="00EB5221">
      <w:pPr>
        <w:pStyle w:val="FootnoteText"/>
      </w:pPr>
      <w:r>
        <w:rPr>
          <w:rStyle w:val="FootnoteReference"/>
        </w:rPr>
        <w:footnoteRef/>
      </w:r>
      <w:r>
        <w:t xml:space="preserve"> The </w:t>
      </w:r>
      <w:r>
        <w:rPr>
          <w:i/>
        </w:rPr>
        <w:t>stats</w:t>
      </w:r>
      <w:r>
        <w:t xml:space="preserve"> (http://stat.ethz.ch/R-manual/R-patched/library/stats/html/00Index.html) library provides core statistics functions,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189452"/>
      <w:docPartObj>
        <w:docPartGallery w:val="Page Numbers (Top of Page)"/>
        <w:docPartUnique/>
      </w:docPartObj>
    </w:sdtPr>
    <w:sdtEndPr>
      <w:rPr>
        <w:noProof/>
      </w:rPr>
    </w:sdtEndPr>
    <w:sdtContent>
      <w:p w:rsidR="00EB5221" w:rsidRDefault="00EB5221">
        <w:pPr>
          <w:pStyle w:val="Header"/>
          <w:jc w:val="right"/>
        </w:pPr>
        <w:r>
          <w:fldChar w:fldCharType="begin"/>
        </w:r>
        <w:r>
          <w:instrText xml:space="preserve"> PAGE   \* MERGEFORMAT </w:instrText>
        </w:r>
        <w:r>
          <w:fldChar w:fldCharType="separate"/>
        </w:r>
        <w:r w:rsidR="001C1A96">
          <w:rPr>
            <w:noProof/>
          </w:rPr>
          <w:t>24</w:t>
        </w:r>
        <w:r>
          <w:rPr>
            <w:noProof/>
          </w:rPr>
          <w:fldChar w:fldCharType="end"/>
        </w:r>
      </w:p>
    </w:sdtContent>
  </w:sdt>
  <w:p w:rsidR="00EB5221" w:rsidRDefault="00EB52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FD3"/>
    <w:rsid w:val="00016B99"/>
    <w:rsid w:val="00071576"/>
    <w:rsid w:val="00130583"/>
    <w:rsid w:val="00134D31"/>
    <w:rsid w:val="001371D8"/>
    <w:rsid w:val="0015272B"/>
    <w:rsid w:val="00195921"/>
    <w:rsid w:val="001C1264"/>
    <w:rsid w:val="001C1A96"/>
    <w:rsid w:val="001E58E8"/>
    <w:rsid w:val="001F0FF1"/>
    <w:rsid w:val="00211404"/>
    <w:rsid w:val="002179CE"/>
    <w:rsid w:val="002B6DD4"/>
    <w:rsid w:val="002C677D"/>
    <w:rsid w:val="002E07AA"/>
    <w:rsid w:val="002E6C3E"/>
    <w:rsid w:val="00303F8B"/>
    <w:rsid w:val="00326FE2"/>
    <w:rsid w:val="00327D75"/>
    <w:rsid w:val="003434FC"/>
    <w:rsid w:val="00380B5B"/>
    <w:rsid w:val="0038729E"/>
    <w:rsid w:val="00390919"/>
    <w:rsid w:val="003B509B"/>
    <w:rsid w:val="003F21F3"/>
    <w:rsid w:val="004B7B77"/>
    <w:rsid w:val="004C0D49"/>
    <w:rsid w:val="004D3039"/>
    <w:rsid w:val="004D4AF1"/>
    <w:rsid w:val="00501F3E"/>
    <w:rsid w:val="00515E10"/>
    <w:rsid w:val="005503B0"/>
    <w:rsid w:val="005B08AC"/>
    <w:rsid w:val="005B304F"/>
    <w:rsid w:val="005B4E62"/>
    <w:rsid w:val="005D2A08"/>
    <w:rsid w:val="005E4391"/>
    <w:rsid w:val="005F5853"/>
    <w:rsid w:val="0063718F"/>
    <w:rsid w:val="0064747B"/>
    <w:rsid w:val="00663FE3"/>
    <w:rsid w:val="006975A2"/>
    <w:rsid w:val="006B1847"/>
    <w:rsid w:val="006B349D"/>
    <w:rsid w:val="006B3CCE"/>
    <w:rsid w:val="006C1B62"/>
    <w:rsid w:val="006C2DBD"/>
    <w:rsid w:val="006E59DD"/>
    <w:rsid w:val="006F0A5B"/>
    <w:rsid w:val="007038BB"/>
    <w:rsid w:val="007310F8"/>
    <w:rsid w:val="00756058"/>
    <w:rsid w:val="00766E08"/>
    <w:rsid w:val="00780E96"/>
    <w:rsid w:val="007B13F9"/>
    <w:rsid w:val="007B3282"/>
    <w:rsid w:val="00804415"/>
    <w:rsid w:val="008219C1"/>
    <w:rsid w:val="00822C25"/>
    <w:rsid w:val="0084012A"/>
    <w:rsid w:val="008506E5"/>
    <w:rsid w:val="00883D7A"/>
    <w:rsid w:val="00896486"/>
    <w:rsid w:val="008B390D"/>
    <w:rsid w:val="008D6AEB"/>
    <w:rsid w:val="008E512C"/>
    <w:rsid w:val="008E5812"/>
    <w:rsid w:val="00940993"/>
    <w:rsid w:val="009504AE"/>
    <w:rsid w:val="00953CC6"/>
    <w:rsid w:val="00973F8C"/>
    <w:rsid w:val="00977454"/>
    <w:rsid w:val="009C177E"/>
    <w:rsid w:val="009C57A2"/>
    <w:rsid w:val="009E273B"/>
    <w:rsid w:val="00A3604F"/>
    <w:rsid w:val="00A42760"/>
    <w:rsid w:val="00A42CD8"/>
    <w:rsid w:val="00A55B2B"/>
    <w:rsid w:val="00A87307"/>
    <w:rsid w:val="00AD4652"/>
    <w:rsid w:val="00AF328A"/>
    <w:rsid w:val="00B43053"/>
    <w:rsid w:val="00B762F0"/>
    <w:rsid w:val="00BB2B9F"/>
    <w:rsid w:val="00C016BC"/>
    <w:rsid w:val="00C026DB"/>
    <w:rsid w:val="00C40B21"/>
    <w:rsid w:val="00C4500F"/>
    <w:rsid w:val="00C60A28"/>
    <w:rsid w:val="00C7758D"/>
    <w:rsid w:val="00C87C66"/>
    <w:rsid w:val="00CA445C"/>
    <w:rsid w:val="00CB75EC"/>
    <w:rsid w:val="00CC46EA"/>
    <w:rsid w:val="00D043CB"/>
    <w:rsid w:val="00D056E4"/>
    <w:rsid w:val="00D15C77"/>
    <w:rsid w:val="00D60593"/>
    <w:rsid w:val="00D87C50"/>
    <w:rsid w:val="00D94EE4"/>
    <w:rsid w:val="00D9687A"/>
    <w:rsid w:val="00D97861"/>
    <w:rsid w:val="00DD1774"/>
    <w:rsid w:val="00DE2C1F"/>
    <w:rsid w:val="00DE70D4"/>
    <w:rsid w:val="00E122B7"/>
    <w:rsid w:val="00E153D5"/>
    <w:rsid w:val="00E4369A"/>
    <w:rsid w:val="00E55A01"/>
    <w:rsid w:val="00E64A36"/>
    <w:rsid w:val="00E93521"/>
    <w:rsid w:val="00EB1420"/>
    <w:rsid w:val="00EB5221"/>
    <w:rsid w:val="00EF1EA7"/>
    <w:rsid w:val="00F11E06"/>
    <w:rsid w:val="00F4451F"/>
    <w:rsid w:val="00F5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93"/>
    <w:rsid w:val="00191B93"/>
    <w:rsid w:val="00DA0F8E"/>
    <w:rsid w:val="00FE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D1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D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05026-6E6F-4E2D-B7C8-58944F90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27</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85</cp:revision>
  <dcterms:created xsi:type="dcterms:W3CDTF">2015-05-17T12:36:00Z</dcterms:created>
  <dcterms:modified xsi:type="dcterms:W3CDTF">2015-05-24T05:12:00Z</dcterms:modified>
</cp:coreProperties>
</file>