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Noto Sans CJK JP" w:hAnsi="Noto Sans CJK JP" w:eastAsia="Noto Sans CJK JP" w:cs="Noto Sans CJK JP"/>
          <w:b/>
          <w:color w:val="084C4E"/>
          <w:sz w:val="31"/>
        </w:rPr>
        <w:t>页眉设计方案 - 彩色版</w:t>
      </w:r>
    </w:p>
    <w:p>
      <w:r>
        <w:rPr>
          <w:rFonts w:ascii="Noto Sans CJK JP" w:hAnsi="Noto Sans CJK JP" w:eastAsia="Noto Sans CJK JP" w:cs="Noto Sans CJK JP"/>
          <w:b w:val="0"/>
          <w:color w:val="1F2933"/>
          <w:sz w:val="19"/>
        </w:rPr>
        <w:t>定位：用于 ODS 技术报告、仕様書、設計レビュー報告書等正式资料。目标是减少页顶占用、提高文档身份识别，并保持与既有 Word 报告样式一致。</w:t>
      </w:r>
    </w:p>
    <w:tbl>
      <w:tblPr>
        <w:tblW w:type="dxa" w:w="9200"/>
        <w:jc w:val="center"/>
        <w:tblLook w:firstColumn="1" w:firstRow="1" w:lastColumn="0" w:lastRow="0" w:noHBand="0" w:noVBand="1" w:val="04A0"/>
      </w:tblPr>
      <w:tblGrid>
        <w:gridCol w:w="9582"/>
      </w:tblGrid>
      <w:tr>
        <w:tc>
          <w:tcPr>
            <w:tcW w:type="dxa" w:w="9582"/>
            <w:tcBorders>
              <w:top w:val="single" w:sz="8" w:space="0" w:color="0F6B6D"/>
              <w:left w:val="single" w:sz="8" w:space="0" w:color="0F6B6D"/>
              <w:bottom w:val="single" w:sz="8" w:space="0" w:color="0F6B6D"/>
              <w:right w:val="single" w:sz="8" w:space="0" w:color="0F6B6D"/>
            </w:tcBorders>
            <w:shd w:fill="EAF3F3"/>
          </w:tcPr>
          <w:p>
            <w:pPr>
              <w:spacing w:after="0"/>
            </w:pPr>
            <w:r>
              <w:rPr>
                <w:rFonts w:ascii="Noto Sans CJK JP" w:hAnsi="Noto Sans CJK JP" w:eastAsia="Noto Sans CJK JP" w:cs="Noto Sans CJK JP"/>
                <w:b/>
                <w:color w:val="084C4E"/>
                <w:sz w:val="18"/>
              </w:rPr>
              <w:t>推荐：</w:t>
            </w:r>
            <w:r>
              <w:rPr>
                <w:rFonts w:ascii="Noto Sans CJK JP" w:hAnsi="Noto Sans CJK JP" w:eastAsia="Noto Sans CJK JP" w:cs="Noto Sans CJK JP"/>
                <w:b w:val="0"/>
                <w:color w:val="1F2933"/>
                <w:sz w:val="18"/>
              </w:rPr>
              <w:t>对外提交、电子 PDF 优先使用彩色版；标题和规则线使用 ODS 蓝绿色，Logo 使用官网彩色素材。</w:t>
            </w:r>
          </w:p>
        </w:tc>
      </w:tr>
    </w:tbl>
    <w:p>
      <w:pPr>
        <w:pStyle w:val="Heading2"/>
      </w:pPr>
      <w:r>
        <w:rPr>
          <w:rFonts w:ascii="Noto Sans CJK JP" w:hAnsi="Noto Sans CJK JP" w:eastAsia="Noto Sans CJK JP" w:cs="Noto Sans CJK JP"/>
          <w:b/>
          <w:color w:val="0F6B6D"/>
          <w:sz w:val="24"/>
        </w:rPr>
        <w:t>设计参数</w:t>
      </w:r>
    </w:p>
    <w:tbl>
      <w:tblPr>
        <w:tblW w:type="dxa" w:w="9200"/>
        <w:jc w:val="center"/>
        <w:tblLayout w:type="fixed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c>
          <w:tcPr>
            <w:tcW w:type="dxa" w:w="2395"/>
            <w:shd w:fill="0F6B6D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2395"/>
            <w:shd w:fill="0F6B6D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FFFFFF"/>
                <w:sz w:val="17"/>
              </w:rPr>
              <w:t>设定</w:t>
            </w:r>
          </w:p>
        </w:tc>
        <w:tc>
          <w:tcPr>
            <w:tcW w:type="dxa" w:w="2395"/>
            <w:shd w:fill="0F6B6D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FFFFFF"/>
                <w:sz w:val="17"/>
              </w:rPr>
              <w:t>理由</w:t>
            </w:r>
          </w:p>
        </w:tc>
        <w:tc>
          <w:tcPr>
            <w:tcW w:type="dxa" w:w="2395"/>
            <w:shd w:fill="0F6B6D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FFFFFF"/>
                <w:sz w:val="17"/>
              </w:rPr>
              <w:t>推荐值</w:t>
            </w:r>
          </w:p>
        </w:tc>
      </w:tr>
      <w:tr>
        <w:tc>
          <w:tcPr>
            <w:tcW w:type="dxa" w:w="2395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1F2933"/>
                <w:sz w:val="17"/>
              </w:rPr>
              <w:t>Logo</w:t>
            </w:r>
          </w:p>
        </w:tc>
        <w:tc>
          <w:tcPr>
            <w:tcW w:type="dxa" w:w="2395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1F2933"/>
                <w:sz w:val="17"/>
              </w:rPr>
              <w:t>官网 ODS logo；黑白版灰度化</w:t>
            </w:r>
          </w:p>
        </w:tc>
        <w:tc>
          <w:tcPr>
            <w:tcW w:type="dxa" w:w="2395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1F2933"/>
                <w:sz w:val="17"/>
              </w:rPr>
              <w:t>保留品牌识别，避免页眉像广告区</w:t>
            </w:r>
          </w:p>
        </w:tc>
        <w:tc>
          <w:tcPr>
            <w:tcW w:type="dxa" w:w="2395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1F2933"/>
                <w:sz w:val="17"/>
              </w:rPr>
              <w:t>宽 25-28 mm</w:t>
            </w:r>
          </w:p>
        </w:tc>
      </w:tr>
      <w:tr>
        <w:tc>
          <w:tcPr>
            <w:tcW w:type="dxa" w:w="2395"/>
            <w:shd w:fill="EAF3F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1F2933"/>
                <w:sz w:val="17"/>
              </w:rPr>
              <w:t>信息层级</w:t>
            </w:r>
          </w:p>
        </w:tc>
        <w:tc>
          <w:tcPr>
            <w:tcW w:type="dxa" w:w="2395"/>
            <w:shd w:fill="EAF3F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1F2933"/>
                <w:sz w:val="17"/>
              </w:rPr>
              <w:t>公司名 / 文档名 / Rev+页码</w:t>
            </w:r>
          </w:p>
        </w:tc>
        <w:tc>
          <w:tcPr>
            <w:tcW w:type="dxa" w:w="2395"/>
            <w:shd w:fill="EAF3F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1F2933"/>
                <w:sz w:val="17"/>
              </w:rPr>
              <w:t>每页只保留查阅所需信息</w:t>
            </w:r>
          </w:p>
        </w:tc>
        <w:tc>
          <w:tcPr>
            <w:tcW w:type="dxa" w:w="2395"/>
            <w:shd w:fill="EAF3F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1F2933"/>
                <w:sz w:val="17"/>
              </w:rPr>
              <w:t>3栏结构</w:t>
            </w:r>
          </w:p>
        </w:tc>
      </w:tr>
      <w:tr>
        <w:tc>
          <w:tcPr>
            <w:tcW w:type="dxa" w:w="2395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1F2933"/>
                <w:sz w:val="17"/>
              </w:rPr>
              <w:t>规则线</w:t>
            </w:r>
          </w:p>
        </w:tc>
        <w:tc>
          <w:tcPr>
            <w:tcW w:type="dxa" w:w="2395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1F2933"/>
                <w:sz w:val="17"/>
              </w:rPr>
              <w:t>细线，不用粗黑线</w:t>
            </w:r>
          </w:p>
        </w:tc>
        <w:tc>
          <w:tcPr>
            <w:tcW w:type="dxa" w:w="2395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1F2933"/>
                <w:sz w:val="17"/>
              </w:rPr>
              <w:t>分隔页眉与正文，同时不压迫内容</w:t>
            </w:r>
          </w:p>
        </w:tc>
        <w:tc>
          <w:tcPr>
            <w:tcW w:type="dxa" w:w="2395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1F2933"/>
                <w:sz w:val="17"/>
              </w:rPr>
              <w:t>彩色 0.75 pt；灰度 0.5 pt</w:t>
            </w:r>
          </w:p>
        </w:tc>
      </w:tr>
      <w:tr>
        <w:tc>
          <w:tcPr>
            <w:tcW w:type="dxa" w:w="2395"/>
            <w:shd w:fill="EAF3F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1F2933"/>
                <w:sz w:val="17"/>
              </w:rPr>
              <w:t>页眉高度</w:t>
            </w:r>
          </w:p>
        </w:tc>
        <w:tc>
          <w:tcPr>
            <w:tcW w:type="dxa" w:w="2395"/>
            <w:shd w:fill="EAF3F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1F2933"/>
                <w:sz w:val="17"/>
              </w:rPr>
              <w:t>控制在页面顶部 8-9 mm</w:t>
            </w:r>
          </w:p>
        </w:tc>
        <w:tc>
          <w:tcPr>
            <w:tcW w:type="dxa" w:w="2395"/>
            <w:shd w:fill="EAF3F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1F2933"/>
                <w:sz w:val="17"/>
              </w:rPr>
              <w:t>释放正文空间</w:t>
            </w:r>
          </w:p>
        </w:tc>
        <w:tc>
          <w:tcPr>
            <w:tcW w:type="dxa" w:w="2395"/>
            <w:shd w:fill="EAF3F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1F2933"/>
                <w:sz w:val="17"/>
              </w:rPr>
              <w:t>页眉距边 8.2 mm</w:t>
            </w:r>
          </w:p>
        </w:tc>
      </w:tr>
      <w:tr>
        <w:tc>
          <w:tcPr>
            <w:tcW w:type="dxa" w:w="2395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1F2933"/>
                <w:sz w:val="17"/>
              </w:rPr>
              <w:t>地址/TEL</w:t>
            </w:r>
          </w:p>
        </w:tc>
        <w:tc>
          <w:tcPr>
            <w:tcW w:type="dxa" w:w="2395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1F2933"/>
                <w:sz w:val="17"/>
              </w:rPr>
              <w:t>不放运行页眉</w:t>
            </w:r>
          </w:p>
        </w:tc>
        <w:tc>
          <w:tcPr>
            <w:tcW w:type="dxa" w:w="2395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1F2933"/>
                <w:sz w:val="17"/>
              </w:rPr>
              <w:t>避免重复和视觉拥挤</w:t>
            </w:r>
          </w:p>
        </w:tc>
        <w:tc>
          <w:tcPr>
            <w:tcW w:type="dxa" w:w="2395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1F2933"/>
                <w:sz w:val="17"/>
              </w:rPr>
              <w:t>放封面或页脚</w:t>
            </w:r>
          </w:p>
        </w:tc>
      </w:tr>
    </w:tbl>
    <w:p>
      <w:pPr>
        <w:pStyle w:val="Heading2"/>
      </w:pPr>
      <w:r>
        <w:rPr>
          <w:rFonts w:ascii="Noto Sans CJK JP" w:hAnsi="Noto Sans CJK JP" w:eastAsia="Noto Sans CJK JP" w:cs="Noto Sans CJK JP"/>
          <w:b/>
          <w:color w:val="0F6B6D"/>
          <w:sz w:val="24"/>
        </w:rPr>
        <w:t>适用判断</w:t>
      </w:r>
    </w:p>
    <w:p>
      <w:pPr>
        <w:pStyle w:val="ListBullet"/>
        <w:ind w:left="312" w:hanging="125"/>
      </w:pPr>
      <w:r>
        <w:rPr>
          <w:rFonts w:ascii="Noto Sans CJK JP" w:hAnsi="Noto Sans CJK JP" w:eastAsia="Noto Sans CJK JP" w:cs="Noto Sans CJK JP"/>
          <w:b w:val="0"/>
          <w:color w:val="1F2933"/>
          <w:sz w:val="19"/>
        </w:rPr>
        <w:t>正式电子提交：优先彩色版，第一页可保留较大的封面信息块，正文页使用紧凑页眉。</w:t>
      </w:r>
    </w:p>
    <w:p>
      <w:pPr>
        <w:pStyle w:val="ListBullet"/>
        <w:ind w:left="312" w:hanging="125"/>
      </w:pPr>
      <w:r>
        <w:rPr>
          <w:rFonts w:ascii="Noto Sans CJK JP" w:hAnsi="Noto Sans CJK JP" w:eastAsia="Noto Sans CJK JP" w:cs="Noto Sans CJK JP"/>
          <w:b w:val="0"/>
          <w:color w:val="1F2933"/>
          <w:sz w:val="19"/>
        </w:rPr>
        <w:t>量产仕様書、客户归档资料：建议统一使用该页眉，Rev 和页码放右侧，便于打印后整理。</w:t>
      </w:r>
    </w:p>
    <w:p>
      <w:pPr>
        <w:pStyle w:val="ListBullet"/>
        <w:ind w:left="312" w:hanging="125"/>
      </w:pPr>
      <w:r>
        <w:rPr>
          <w:rFonts w:ascii="Noto Sans CJK JP" w:hAnsi="Noto Sans CJK JP" w:eastAsia="Noto Sans CJK JP" w:cs="Noto Sans CJK JP"/>
          <w:b w:val="0"/>
          <w:color w:val="1F2933"/>
          <w:sz w:val="19"/>
        </w:rPr>
        <w:t>黑白打印版本：不得直接使用彩色图片，应使用灰度 Logo 和灰阶规则线。</w:t>
      </w:r>
    </w:p>
    <w:p>
      <w:r>
        <w:br w:type="page"/>
      </w:r>
    </w:p>
    <w:p>
      <w:pPr>
        <w:pStyle w:val="Heading1"/>
      </w:pPr>
      <w:r>
        <w:rPr>
          <w:rFonts w:ascii="Noto Sans CJK JP" w:hAnsi="Noto Sans CJK JP" w:eastAsia="Noto Sans CJK JP" w:cs="Noto Sans CJK JP"/>
          <w:b/>
          <w:color w:val="084C4E"/>
          <w:sz w:val="31"/>
        </w:rPr>
        <w:t>报告页预览 - 彩色页眉</w:t>
      </w:r>
    </w:p>
    <w:p>
      <w:r>
        <w:rPr>
          <w:rFonts w:ascii="Noto Sans CJK JP" w:hAnsi="Noto Sans CJK JP" w:eastAsia="Noto Sans CJK JP" w:cs="Noto Sans CJK JP"/>
          <w:b w:val="0"/>
          <w:color w:val="1F2933"/>
          <w:sz w:val="19"/>
        </w:rPr>
        <w:t>以下为接近实际技术报告正文的版式预览。页眉保持克制，正文仍采用 ODS 报告样式中的标题、提示框和表格规则。</w:t>
      </w:r>
    </w:p>
    <w:tbl>
      <w:tblPr>
        <w:tblW w:type="dxa" w:w="9200"/>
        <w:jc w:val="center"/>
        <w:tblLook w:firstColumn="1" w:firstRow="1" w:lastColumn="0" w:lastRow="0" w:noHBand="0" w:noVBand="1" w:val="04A0"/>
      </w:tblPr>
      <w:tblGrid>
        <w:gridCol w:w="9582"/>
      </w:tblGrid>
      <w:tr>
        <w:tc>
          <w:tcPr>
            <w:tcW w:type="dxa" w:w="9582"/>
            <w:tcBorders>
              <w:top w:val="single" w:sz="8" w:space="0" w:color="0F6B6D"/>
              <w:left w:val="single" w:sz="8" w:space="0" w:color="0F6B6D"/>
              <w:bottom w:val="single" w:sz="8" w:space="0" w:color="0F6B6D"/>
              <w:right w:val="single" w:sz="8" w:space="0" w:color="0F6B6D"/>
            </w:tcBorders>
            <w:shd w:fill="EAF3F3"/>
          </w:tcPr>
          <w:p>
            <w:pPr>
              <w:spacing w:after="0"/>
            </w:pPr>
            <w:r>
              <w:rPr>
                <w:rFonts w:ascii="Noto Sans CJK JP" w:hAnsi="Noto Sans CJK JP" w:eastAsia="Noto Sans CJK JP" w:cs="Noto Sans CJK JP"/>
                <w:b/>
                <w:color w:val="084C4E"/>
                <w:sz w:val="18"/>
              </w:rPr>
              <w:t>総合結論：</w:t>
            </w:r>
            <w:r>
              <w:rPr>
                <w:rFonts w:ascii="Noto Sans CJK JP" w:hAnsi="Noto Sans CJK JP" w:eastAsia="Noto Sans CJK JP" w:cs="Noto Sans CJK JP"/>
                <w:b w:val="0"/>
                <w:color w:val="1F2933"/>
                <w:sz w:val="18"/>
              </w:rPr>
              <w:t>页眉只承担品牌和文档识别，不再重复完整地址；正文区上移后，表格和章节标题有更好的阅读节奏。</w:t>
            </w:r>
          </w:p>
        </w:tc>
      </w:tr>
    </w:tbl>
    <w:p>
      <w:pPr>
        <w:pStyle w:val="Heading2"/>
      </w:pPr>
      <w:r>
        <w:rPr>
          <w:rFonts w:ascii="Noto Sans CJK JP" w:hAnsi="Noto Sans CJK JP" w:eastAsia="Noto Sans CJK JP" w:cs="Noto Sans CJK JP"/>
          <w:b/>
          <w:color w:val="0F6B6D"/>
          <w:sz w:val="24"/>
        </w:rPr>
        <w:t>1. 適用</w:t>
      </w:r>
    </w:p>
    <w:p>
      <w:r>
        <w:rPr>
          <w:rFonts w:ascii="Noto Sans CJK JP" w:hAnsi="Noto Sans CJK JP" w:eastAsia="Noto Sans CJK JP" w:cs="Noto Sans CJK JP"/>
          <w:b w:val="0"/>
          <w:color w:val="1F2933"/>
          <w:sz w:val="19"/>
        </w:rPr>
        <w:t>本仕様は、リチウムイオンキャパシタ 7 直列向けの保護およびセルバランス基板に適用する。</w:t>
      </w:r>
    </w:p>
    <w:p>
      <w:pPr>
        <w:pStyle w:val="Heading2"/>
      </w:pPr>
      <w:r>
        <w:rPr>
          <w:rFonts w:ascii="Noto Sans CJK JP" w:hAnsi="Noto Sans CJK JP" w:eastAsia="Noto Sans CJK JP" w:cs="Noto Sans CJK JP"/>
          <w:b/>
          <w:color w:val="0F6B6D"/>
          <w:sz w:val="24"/>
        </w:rPr>
        <w:t>2. 仕様概要</w:t>
      </w:r>
    </w:p>
    <w:tbl>
      <w:tblPr>
        <w:tblW w:type="dxa" w:w="9200"/>
        <w:jc w:val="center"/>
        <w:tblLayout w:type="fixed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c>
          <w:tcPr>
            <w:tcW w:type="dxa" w:w="2395"/>
            <w:shd w:fill="0F6B6D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2395"/>
            <w:shd w:fill="0F6B6D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FFFFFF"/>
                <w:sz w:val="17"/>
              </w:rPr>
              <w:t>現在値</w:t>
            </w:r>
          </w:p>
        </w:tc>
        <w:tc>
          <w:tcPr>
            <w:tcW w:type="dxa" w:w="2395"/>
            <w:shd w:fill="0F6B6D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FFFFFF"/>
                <w:sz w:val="17"/>
              </w:rPr>
              <w:t>要求値</w:t>
            </w:r>
          </w:p>
        </w:tc>
        <w:tc>
          <w:tcPr>
            <w:tcW w:type="dxa" w:w="2395"/>
            <w:shd w:fill="0F6B6D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FFFFFF"/>
                <w:sz w:val="17"/>
              </w:rPr>
              <w:t>判定</w:t>
            </w:r>
          </w:p>
        </w:tc>
      </w:tr>
      <w:tr>
        <w:tc>
          <w:tcPr>
            <w:tcW w:type="dxa" w:w="2395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1F2933"/>
                <w:sz w:val="17"/>
              </w:rPr>
              <w:t>型式名称</w:t>
            </w:r>
          </w:p>
        </w:tc>
        <w:tc>
          <w:tcPr>
            <w:tcW w:type="dxa" w:w="2395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1F2933"/>
                <w:sz w:val="17"/>
              </w:rPr>
              <w:t>ODS-CH014</w:t>
            </w:r>
          </w:p>
        </w:tc>
        <w:tc>
          <w:tcPr>
            <w:tcW w:type="dxa" w:w="2395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1F2933"/>
                <w:sz w:val="17"/>
              </w:rPr>
              <w:t>顧客仕様に一致</w:t>
            </w:r>
          </w:p>
        </w:tc>
        <w:tc>
          <w:tcPr>
            <w:tcW w:type="dxa" w:w="2395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1F2933"/>
                <w:sz w:val="17"/>
              </w:rPr>
              <w:t>OK</w:t>
            </w:r>
          </w:p>
        </w:tc>
      </w:tr>
      <w:tr>
        <w:tc>
          <w:tcPr>
            <w:tcW w:type="dxa" w:w="2395"/>
            <w:shd w:fill="EAF3F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1F2933"/>
                <w:sz w:val="17"/>
              </w:rPr>
              <w:t>対応キャパシタ</w:t>
            </w:r>
          </w:p>
        </w:tc>
        <w:tc>
          <w:tcPr>
            <w:tcW w:type="dxa" w:w="2395"/>
            <w:shd w:fill="EAF3F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1F2933"/>
                <w:sz w:val="17"/>
              </w:rPr>
              <w:t>7 直列</w:t>
            </w:r>
          </w:p>
        </w:tc>
        <w:tc>
          <w:tcPr>
            <w:tcW w:type="dxa" w:w="2395"/>
            <w:shd w:fill="EAF3F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1F2933"/>
                <w:sz w:val="17"/>
              </w:rPr>
              <w:t>7S 構成</w:t>
            </w:r>
          </w:p>
        </w:tc>
        <w:tc>
          <w:tcPr>
            <w:tcW w:type="dxa" w:w="2395"/>
            <w:shd w:fill="EAF3F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1F2933"/>
                <w:sz w:val="17"/>
              </w:rPr>
              <w:t>OK</w:t>
            </w:r>
          </w:p>
        </w:tc>
      </w:tr>
      <w:tr>
        <w:tc>
          <w:tcPr>
            <w:tcW w:type="dxa" w:w="2395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1F2933"/>
                <w:sz w:val="17"/>
              </w:rPr>
              <w:t>充電器・推奨</w:t>
            </w:r>
          </w:p>
        </w:tc>
        <w:tc>
          <w:tcPr>
            <w:tcW w:type="dxa" w:w="2395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1F2933"/>
                <w:sz w:val="17"/>
              </w:rPr>
              <w:t>29.4V / 5A 未満</w:t>
            </w:r>
          </w:p>
        </w:tc>
        <w:tc>
          <w:tcPr>
            <w:tcW w:type="dxa" w:w="2395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1F2933"/>
                <w:sz w:val="17"/>
              </w:rPr>
              <w:t>ケーブル AWG16 以上</w:t>
            </w:r>
          </w:p>
        </w:tc>
        <w:tc>
          <w:tcPr>
            <w:tcW w:type="dxa" w:w="2395"/>
            <w:shd w:fill="FFFFFF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1F2933"/>
                <w:sz w:val="17"/>
              </w:rPr>
              <w:t>要確認</w:t>
            </w:r>
          </w:p>
        </w:tc>
      </w:tr>
      <w:tr>
        <w:tc>
          <w:tcPr>
            <w:tcW w:type="dxa" w:w="2395"/>
            <w:shd w:fill="EAF3F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1F2933"/>
                <w:sz w:val="17"/>
              </w:rPr>
              <w:t>通信</w:t>
            </w:r>
          </w:p>
        </w:tc>
        <w:tc>
          <w:tcPr>
            <w:tcW w:type="dxa" w:w="2395"/>
            <w:shd w:fill="EAF3F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1F2933"/>
                <w:sz w:val="17"/>
              </w:rPr>
              <w:t>CAN2.0A</w:t>
            </w:r>
          </w:p>
        </w:tc>
        <w:tc>
          <w:tcPr>
            <w:tcW w:type="dxa" w:w="2395"/>
            <w:shd w:fill="EAF3F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left"/>
            </w:pPr>
            <w:r>
              <w:rPr>
                <w:rFonts w:ascii="Noto Sans CJK JP" w:hAnsi="Noto Sans CJK JP" w:eastAsia="Noto Sans CJK JP" w:cs="Noto Sans CJK JP"/>
                <w:b w:val="0"/>
                <w:color w:val="1F2933"/>
                <w:sz w:val="17"/>
              </w:rPr>
              <w:t>状態確認と FET 制御</w:t>
            </w:r>
          </w:p>
        </w:tc>
        <w:tc>
          <w:tcPr>
            <w:tcW w:type="dxa" w:w="2395"/>
            <w:shd w:fill="EAF3F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 w:cs="Noto Sans CJK JP"/>
                <w:b w:val="0"/>
                <w:color w:val="1F2933"/>
                <w:sz w:val="17"/>
              </w:rPr>
              <w:t>OK</w:t>
            </w:r>
          </w:p>
        </w:tc>
      </w:tr>
    </w:tbl>
    <w:p>
      <w:pPr>
        <w:pStyle w:val="Heading2"/>
      </w:pPr>
      <w:r>
        <w:rPr>
          <w:rFonts w:ascii="Noto Sans CJK JP" w:hAnsi="Noto Sans CJK JP" w:eastAsia="Noto Sans CJK JP" w:cs="Noto Sans CJK JP"/>
          <w:b/>
          <w:color w:val="0F6B6D"/>
          <w:sz w:val="24"/>
        </w:rPr>
        <w:t>3. 页眉应用建议</w:t>
      </w:r>
    </w:p>
    <w:p>
      <w:pPr>
        <w:pStyle w:val="ListBullet"/>
        <w:ind w:left="312" w:hanging="125"/>
      </w:pPr>
      <w:r>
        <w:rPr>
          <w:rFonts w:ascii="Noto Sans CJK JP" w:hAnsi="Noto Sans CJK JP" w:eastAsia="Noto Sans CJK JP" w:cs="Noto Sans CJK JP"/>
          <w:b w:val="0"/>
          <w:color w:val="1F2933"/>
          <w:sz w:val="19"/>
        </w:rPr>
        <w:t>第一页若需要公司地址，可放在标题区右上角或基本信息表，不建议每页重复。</w:t>
      </w:r>
    </w:p>
    <w:p>
      <w:pPr>
        <w:pStyle w:val="ListBullet"/>
        <w:ind w:left="312" w:hanging="125"/>
      </w:pPr>
      <w:r>
        <w:rPr>
          <w:rFonts w:ascii="Noto Sans CJK JP" w:hAnsi="Noto Sans CJK JP" w:eastAsia="Noto Sans CJK JP" w:cs="Noto Sans CJK JP"/>
          <w:b w:val="0"/>
          <w:color w:val="1F2933"/>
          <w:sz w:val="19"/>
        </w:rPr>
        <w:t>正文页保持一行页眉 + 一条细规则线；表格页尤其能明显增加可用高度。</w:t>
      </w:r>
    </w:p>
    <w:p>
      <w:pPr>
        <w:pStyle w:val="ListBullet"/>
        <w:ind w:left="312" w:hanging="125"/>
      </w:pPr>
      <w:r>
        <w:rPr>
          <w:rFonts w:ascii="Noto Sans CJK JP" w:hAnsi="Noto Sans CJK JP" w:eastAsia="Noto Sans CJK JP" w:cs="Noto Sans CJK JP"/>
          <w:b w:val="0"/>
          <w:color w:val="1F2933"/>
          <w:sz w:val="19"/>
        </w:rPr>
        <w:t>页脚保留日期、版本和官网 URL，页码由页眉右侧或页脚右侧自动生成。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49" w:right="1162" w:bottom="1020" w:left="1162" w:header="465" w:footer="46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left"/>
    </w:pPr>
    <w:r>
      <w:rPr>
        <w:rFonts w:ascii="Noto Sans CJK JP" w:hAnsi="Noto Sans CJK JP" w:eastAsia="Noto Sans CJK JP" w:cs="Noto Sans CJK JP"/>
        <w:b w:val="0"/>
        <w:color w:val="5B6573"/>
        <w:sz w:val="16"/>
      </w:rPr>
      <w:t>資料日付：2026-07-02 | 報告版数：Rev.A.1.1 | https://www.ods-web.co.jp/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580"/>
      <w:jc w:val="center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2948"/>
      <w:gridCol w:w="3742"/>
      <w:gridCol w:w="2891"/>
    </w:tblGrid>
    <w:tr>
      <w:tc>
        <w:tcPr>
          <w:tcW w:type="dxa" w:w="2948"/>
          <w:vAlign w:val="center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080000" cy="252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0" cy="252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742"/>
          <w:vAlign w:val="center"/>
        </w:tcPr>
        <w:p>
          <w:pPr>
            <w:spacing w:after="0"/>
            <w:jc w:val="center"/>
          </w:pPr>
          <w:r>
            <w:rPr>
              <w:rFonts w:ascii="Noto Sans CJK JP" w:hAnsi="Noto Sans CJK JP" w:eastAsia="Noto Sans CJK JP" w:cs="Noto Sans CJK JP"/>
              <w:b/>
              <w:color w:val="0F6B6D"/>
              <w:sz w:val="17"/>
            </w:rPr>
            <w:t>ODS-CH014 仕様書</w:t>
          </w:r>
          <w:r>
            <w:rPr>
              <w:rFonts w:ascii="Noto Sans CJK JP" w:hAnsi="Noto Sans CJK JP" w:eastAsia="Noto Sans CJK JP" w:cs="Noto Sans CJK JP"/>
              <w:b w:val="0"/>
              <w:color w:val="5B6573"/>
              <w:sz w:val="16"/>
            </w:rPr>
            <w:t xml:space="preserve">  |  技術文書</w:t>
          </w:r>
        </w:p>
      </w:tc>
      <w:tc>
        <w:tcPr>
          <w:tcW w:type="dxa" w:w="2891"/>
          <w:vAlign w:val="center"/>
        </w:tcPr>
        <w:p>
          <w:pPr>
            <w:spacing w:after="0"/>
            <w:jc w:val="right"/>
          </w:pPr>
          <w:r>
            <w:rPr>
              <w:rFonts w:ascii="Noto Sans CJK JP" w:hAnsi="Noto Sans CJK JP" w:eastAsia="Noto Sans CJK JP" w:cs="Noto Sans CJK JP"/>
              <w:b w:val="0"/>
              <w:color w:val="5B6573"/>
              <w:sz w:val="16"/>
            </w:rPr>
            <w:t xml:space="preserve">Rev.A.1.1  |  Page </w:t>
          </w:r>
          <w:r>
            <w:rPr>
              <w:rFonts w:ascii="Noto Sans CJK JP" w:hAnsi="Noto Sans CJK JP" w:eastAsia="Noto Sans CJK JP" w:cs="Noto Sans CJK JP"/>
              <w:b w:val="0"/>
              <w:color w:val="5B6573"/>
              <w:sz w:val="16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  <w:p>
    <w:pPr>
      <w:spacing w:before="0" w:after="0"/>
      <w:pBdr>
        <w:bottom w:val="single" w:sz="8" w:space="3" w:color="0F6B6D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74" w:lineRule="auto"/>
    </w:pPr>
    <w:rPr>
      <w:rFonts w:ascii="Noto Sans CJK JP" w:hAnsi="Noto Sans CJK JP" w:eastAsia="Noto Sans CJK JP"/>
      <w:color w:val="1F29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084C4E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0F6B6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ODS Header Design Proposal - Color</dc:title>
  <dc:subject>Color header redesign for ODS technical reports</dc:subject>
  <dc:creator>OpenAI</dc:creator>
  <cp:keywords>ODS, header, Word, technical report, monochrome, color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