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60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11"/>
                    <a:stretch>
                      <a:fillRect/>
                    </a:stretch>
                  </pic:blipFill>
                  <pic:spPr>
                    <a:xfrm>
                      <a:off x="0" y="0"/>
                      <a:ext cx="2926080" cy="292608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400" w:after="120"/>
              <w:jc w:val="center"/>
            </w:pPr>
            <w:r>
              <w:rPr>
                <w:b/>
                <w:color w:val="FFFFFF"/>
                <w:sz w:val="30"/>
              </w:rPr>
              <w:t>COMPREHENSIVE HR AUDIT &amp; ADVISORY REPORT</w:t>
            </w:r>
          </w:p>
          <w:p>
            <w:pPr>
              <w:spacing w:before="0" w:after="120"/>
              <w:jc w:val="center"/>
            </w:pPr>
            <w:r>
              <w:rPr>
                <w:color w:val="B0C8D8"/>
                <w:sz w:val="24"/>
              </w:rPr>
              <w:t>Prepared for: Acme Logistics</w:t>
            </w:r>
          </w:p>
          <w:p>
            <w:pPr>
              <w:spacing w:before="0" w:after="400"/>
              <w:jc w:val="center"/>
            </w:pPr>
            <w:r>
              <w:rPr>
                <w:color w:val="C8D8E8"/>
                <w:sz w:val="20"/>
              </w:rPr>
              <w:t>Date Prepared: March 18, 2026  |  Prepared by: Jamie Wahler</w:t>
            </w:r>
          </w:p>
        </w:tc>
      </w:tr>
    </w:tbl>
    <w:p/>
    <w:p>
      <w:pPr>
        <w:spacing w:before="600"/>
        <w:jc w:val="center"/>
      </w:pPr>
      <w:r>
        <w:rPr>
          <w:i/>
          <w:color w:val="888888"/>
          <w:sz w:val="18"/>
        </w:rPr>
        <w:t>CONFIDENTIAL — This report has been prepared exclusively for the use of Acme Logistics by Waymark HR Group LLC. It may not be reproduced or distributed without prior written consent.</w:t>
      </w:r>
    </w:p>
    <w:p>
      <w:r>
        <w:br w:type="page"/>
      </w:r>
    </w:p>
    <w:p>
      <w:pPr>
        <w:spacing w:before="320" w:after="120"/>
        <w:pBdr>
          <w:bottom w:val="single" w:sz="6" w:space="4" w:color="007A87"/>
        </w:pBdr>
      </w:pPr>
      <w:r>
        <w:rPr>
          <w:b/>
          <w:color w:val="007A87"/>
          <w:sz w:val="22"/>
        </w:rPr>
        <w:t>EXECUTIVE SUMMARY</w:t>
      </w:r>
    </w:p>
    <w:p>
      <w:pPr>
        <w:spacing w:before="200" w:after="80"/>
      </w:pPr>
      <w:r>
        <w:rPr>
          <w:b/>
          <w:color w:val="1A3A5C"/>
          <w:sz w:val="22"/>
        </w:rPr>
        <w:t>Overview</w:t>
      </w:r>
    </w:p>
    <w:p>
      <w:pPr>
        <w:spacing w:before="0" w:after="140"/>
        <w:jc w:val="left"/>
      </w:pPr>
      <w:r>
        <w:rPr>
          <w:b w:val="0"/>
          <w:i w:val="0"/>
          <w:color w:val="2C2C2C"/>
          <w:sz w:val="21"/>
        </w:rPr>
        <w:t>Waymark HR Group LLC was engaged by Acme Logistics to perform a comprehensive HR audit spanning onboarding, policy infrastructure, workforce analytics, and overall HR operational effectiveness. This full-scope engagement provides Acme Logistics with a complete picture of its current HR posture and a clear roadmap for improvement.</w:t>
      </w:r>
    </w:p>
    <w:p>
      <w:pPr>
        <w:spacing w:before="200" w:after="80"/>
      </w:pPr>
      <w:r>
        <w:rPr>
          <w:b/>
          <w:color w:val="1A3A5C"/>
          <w:sz w:val="22"/>
        </w:rPr>
        <w:t>Key Findings</w:t>
      </w:r>
    </w:p>
    <w:p>
      <w:pPr>
        <w:pStyle w:val="ListBullet"/>
        <w:spacing w:after="80"/>
      </w:pPr>
      <w:r>
        <w:rPr>
          <w:color w:val="2C2C2C"/>
          <w:sz w:val="21"/>
        </w:rPr>
        <w:t>Onboarding processes lacked standardization, resulting in inconsistent new hire experiences.</w:t>
      </w:r>
    </w:p>
    <w:p>
      <w:pPr>
        <w:pStyle w:val="ListBullet"/>
        <w:spacing w:after="80"/>
      </w:pPr>
      <w:r>
        <w:rPr>
          <w:color w:val="2C2C2C"/>
          <w:sz w:val="21"/>
        </w:rPr>
        <w:t>Critical HR policies were absent, outdated, or not formally acknowledged by employees.</w:t>
      </w:r>
    </w:p>
    <w:p>
      <w:pPr>
        <w:pStyle w:val="ListBullet"/>
        <w:spacing w:after="80"/>
      </w:pPr>
      <w:r>
        <w:rPr>
          <w:color w:val="2C2C2C"/>
          <w:sz w:val="21"/>
        </w:rPr>
        <w:t>Voluntary turnover and compensation equity gaps present retention and compliance risks.</w:t>
      </w:r>
    </w:p>
    <w:p>
      <w:pPr>
        <w:pStyle w:val="ListBullet"/>
        <w:spacing w:after="80"/>
      </w:pPr>
      <w:r>
        <w:rPr>
          <w:color w:val="2C2C2C"/>
          <w:sz w:val="21"/>
        </w:rPr>
        <w:t>HR operations are largely manual, with limited use of technology to scale processes.</w:t>
      </w:r>
    </w:p>
    <w:p>
      <w:pPr>
        <w:pStyle w:val="ListBullet"/>
        <w:spacing w:after="80"/>
      </w:pPr>
      <w:r>
        <w:rPr>
          <w:color w:val="2C2C2C"/>
          <w:sz w:val="21"/>
        </w:rPr>
        <w:t>No formal HR metrics dashboard exists to support leadership decision-making.</w:t>
      </w:r>
    </w:p>
    <w:p>
      <w:pPr>
        <w:spacing w:before="200" w:after="80"/>
      </w:pPr>
      <w:r>
        <w:rPr>
          <w:b/>
          <w:color w:val="1A3A5C"/>
          <w:sz w:val="22"/>
        </w:rPr>
        <w:t>Business Impact</w:t>
      </w:r>
    </w:p>
    <w:p>
      <w:pPr>
        <w:spacing w:before="0" w:after="140"/>
        <w:jc w:val="left"/>
      </w:pPr>
      <w:r>
        <w:rPr>
          <w:b w:val="0"/>
          <w:i w:val="0"/>
          <w:color w:val="2C2C2C"/>
          <w:sz w:val="21"/>
        </w:rPr>
        <w:t>This comprehensive HR audit provides Acme Logistics with a clear, prioritized roadmap to modernize its HR function. Addressing the findings identified in this report will meaningfully reduce legal and operational risk, improve employee experience, and position the organization for scalable, sustainable growth.</w:t>
      </w:r>
    </w:p>
    <w:p>
      <w:r>
        <w:br w:type="page"/>
      </w:r>
    </w:p>
    <w:p>
      <w:pPr>
        <w:spacing w:before="320" w:after="120"/>
        <w:pBdr>
          <w:bottom w:val="single" w:sz="6" w:space="4" w:color="007A87"/>
        </w:pBdr>
      </w:pPr>
      <w:r>
        <w:rPr>
          <w:b/>
          <w:color w:val="007A87"/>
          <w:sz w:val="22"/>
        </w:rPr>
        <w:t>SERVICES DELIVERED</w:t>
      </w:r>
    </w:p>
    <w:p>
      <w:pPr>
        <w:spacing w:before="200" w:after="80"/>
      </w:pPr>
      <w:r>
        <w:rPr>
          <w:b/>
          <w:color w:val="1A3A5C"/>
          <w:sz w:val="22"/>
        </w:rPr>
        <w:t>Deliverables Completed</w:t>
      </w:r>
    </w:p>
    <w:p>
      <w:pPr>
        <w:pStyle w:val="ListBullet"/>
        <w:spacing w:after="80"/>
      </w:pPr>
      <w:r>
        <w:rPr>
          <w:b/>
          <w:color w:val="1A3A5C"/>
          <w:sz w:val="21"/>
        </w:rPr>
        <w:t xml:space="preserve">HR Operations Assessment: </w:t>
      </w:r>
      <w:r>
        <w:rPr>
          <w:color w:val="2C2C2C"/>
          <w:sz w:val="21"/>
        </w:rPr>
        <w:t>Conducted a full review of HR processes, systems, and documentation across all functional areas.</w:t>
      </w:r>
    </w:p>
    <w:p>
      <w:pPr>
        <w:pStyle w:val="ListBullet"/>
        <w:spacing w:after="80"/>
      </w:pPr>
      <w:r>
        <w:rPr>
          <w:b/>
          <w:color w:val="1A3A5C"/>
          <w:sz w:val="21"/>
        </w:rPr>
        <w:t xml:space="preserve">Onboarding Program Redesign: </w:t>
      </w:r>
      <w:r>
        <w:rPr>
          <w:color w:val="2C2C2C"/>
          <w:sz w:val="21"/>
        </w:rPr>
        <w:t>Delivered a structured onboarding program with branded new hire welcome packages.</w:t>
      </w:r>
    </w:p>
    <w:p>
      <w:pPr>
        <w:pStyle w:val="ListBullet"/>
        <w:spacing w:after="80"/>
      </w:pPr>
      <w:r>
        <w:rPr>
          <w:b/>
          <w:color w:val="1A3A5C"/>
          <w:sz w:val="21"/>
        </w:rPr>
        <w:t xml:space="preserve">HR Policy Handbook: </w:t>
      </w:r>
      <w:r>
        <w:rPr>
          <w:color w:val="2C2C2C"/>
          <w:sz w:val="21"/>
        </w:rPr>
        <w:t>Developed a comprehensive, compliant HR Policy Handbook covering 8 core policy areas.</w:t>
      </w:r>
    </w:p>
    <w:p>
      <w:pPr>
        <w:pStyle w:val="ListBullet"/>
        <w:spacing w:after="80"/>
      </w:pPr>
      <w:r>
        <w:rPr>
          <w:b/>
          <w:color w:val="1A3A5C"/>
          <w:sz w:val="21"/>
        </w:rPr>
        <w:t xml:space="preserve">Workforce Analytics Review: </w:t>
      </w:r>
      <w:r>
        <w:rPr>
          <w:color w:val="2C2C2C"/>
          <w:sz w:val="21"/>
        </w:rPr>
        <w:t>Performed headcount, turnover, compensation, and engagement analyses.</w:t>
      </w:r>
    </w:p>
    <w:p>
      <w:pPr>
        <w:pStyle w:val="ListBullet"/>
        <w:spacing w:after="80"/>
      </w:pPr>
      <w:r>
        <w:rPr>
          <w:b/>
          <w:color w:val="1A3A5C"/>
          <w:sz w:val="21"/>
        </w:rPr>
        <w:t xml:space="preserve">Compliance Risk Assessment: </w:t>
      </w:r>
      <w:r>
        <w:rPr>
          <w:color w:val="2C2C2C"/>
          <w:sz w:val="21"/>
        </w:rPr>
        <w:t>Identified policy and practice gaps posing potential legal or regulatory exposure.</w:t>
      </w:r>
    </w:p>
    <w:p>
      <w:pPr>
        <w:pStyle w:val="ListBullet"/>
        <w:spacing w:after="80"/>
      </w:pPr>
      <w:r>
        <w:rPr>
          <w:b/>
          <w:color w:val="1A3A5C"/>
          <w:sz w:val="21"/>
        </w:rPr>
        <w:t xml:space="preserve">HR Roadmap Development: </w:t>
      </w:r>
      <w:r>
        <w:rPr>
          <w:color w:val="2C2C2C"/>
          <w:sz w:val="21"/>
        </w:rPr>
        <w:t>Produced a prioritized 90-day and long-term HR improvement roadmap.</w:t>
      </w:r>
    </w:p>
    <w:p>
      <w:pPr>
        <w:spacing w:before="200" w:after="80"/>
      </w:pPr>
      <w:r>
        <w:rPr>
          <w:b/>
          <w:color w:val="1A3A5C"/>
          <w:sz w:val="22"/>
        </w:rPr>
        <w:t>Engagement Timeline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A3A5C"/>
          </w:tcPr>
          <w:p>
            <w:pPr>
              <w:spacing w:before="80" w:after="80"/>
              <w:jc w:val="center"/>
            </w:pPr>
            <w:r>
              <w:rPr>
                <w:b/>
                <w:color w:val="FFFFFF"/>
                <w:sz w:val="20"/>
              </w:rPr>
              <w:t>Phase</w:t>
            </w:r>
          </w:p>
        </w:tc>
        <w:tc>
          <w:tcPr>
            <w:tcW w:type="dxa" w:w="4680"/>
            <w:shd w:val="clear" w:color="auto" w:fill="1A3A5C"/>
          </w:tcPr>
          <w:p>
            <w:pPr>
              <w:spacing w:before="80" w:after="80"/>
              <w:jc w:val="center"/>
            </w:pPr>
            <w:r>
              <w:rPr>
                <w:b/>
                <w:color w:val="FFFFFF"/>
                <w:sz w:val="20"/>
              </w:rPr>
              <w:t>Activities</w:t>
            </w:r>
          </w:p>
        </w:tc>
      </w:tr>
      <w:tr>
        <w:tc>
          <w:tcPr>
            <w:tcW w:type="dxa" w:w="4680"/>
            <w:shd w:val="clear" w:color="auto" w:fill="E8F4F6"/>
          </w:tcPr>
          <w:p>
            <w:pPr>
              <w:spacing w:before="60" w:after="60"/>
              <w:jc w:val="center"/>
            </w:pPr>
            <w:r>
              <w:rPr>
                <w:b/>
                <w:color w:val="1A3A5C"/>
                <w:sz w:val="20"/>
              </w:rPr>
              <w:t>Week 1</w:t>
            </w:r>
          </w:p>
        </w:tc>
        <w:tc>
          <w:tcPr>
            <w:tcW w:type="dxa" w:w="4680"/>
            <w:shd w:val="clear" w:color="auto" w:fill="FFFFFF"/>
          </w:tcPr>
          <w:p>
            <w:pPr>
              <w:spacing w:before="60" w:after="60"/>
            </w:pPr>
            <w:r>
              <w:rPr>
                <w:color w:val="2C2C2C"/>
                <w:sz w:val="20"/>
              </w:rPr>
              <w:t>Full HR audit — discovery, data collection, document review</w:t>
            </w:r>
          </w:p>
        </w:tc>
      </w:tr>
      <w:tr>
        <w:tc>
          <w:tcPr>
            <w:tcW w:type="dxa" w:w="4680"/>
            <w:shd w:val="clear" w:color="auto" w:fill="E8F4F6"/>
          </w:tcPr>
          <w:p>
            <w:pPr>
              <w:spacing w:before="60" w:after="60"/>
              <w:jc w:val="center"/>
            </w:pPr>
            <w:r>
              <w:rPr>
                <w:b/>
                <w:color w:val="1A3A5C"/>
                <w:sz w:val="20"/>
              </w:rPr>
              <w:t>Week 2</w:t>
            </w:r>
          </w:p>
        </w:tc>
        <w:tc>
          <w:tcPr>
            <w:tcW w:type="dxa" w:w="4680"/>
            <w:shd w:val="clear" w:color="auto" w:fill="F4F6F8"/>
          </w:tcPr>
          <w:p>
            <w:pPr>
              <w:spacing w:before="60" w:after="60"/>
            </w:pPr>
            <w:r>
              <w:rPr>
                <w:color w:val="2C2C2C"/>
                <w:sz w:val="20"/>
              </w:rPr>
              <w:t>Onboarding program design and policy drafting</w:t>
            </w:r>
          </w:p>
        </w:tc>
      </w:tr>
      <w:tr>
        <w:tc>
          <w:tcPr>
            <w:tcW w:type="dxa" w:w="4680"/>
            <w:shd w:val="clear" w:color="auto" w:fill="E8F4F6"/>
          </w:tcPr>
          <w:p>
            <w:pPr>
              <w:spacing w:before="60" w:after="60"/>
              <w:jc w:val="center"/>
            </w:pPr>
            <w:r>
              <w:rPr>
                <w:b/>
                <w:color w:val="1A3A5C"/>
                <w:sz w:val="20"/>
              </w:rPr>
              <w:t>Week 3</w:t>
            </w:r>
          </w:p>
        </w:tc>
        <w:tc>
          <w:tcPr>
            <w:tcW w:type="dxa" w:w="4680"/>
            <w:shd w:val="clear" w:color="auto" w:fill="FFFFFF"/>
          </w:tcPr>
          <w:p>
            <w:pPr>
              <w:spacing w:before="60" w:after="60"/>
            </w:pPr>
            <w:r>
              <w:rPr>
                <w:color w:val="2C2C2C"/>
                <w:sz w:val="20"/>
              </w:rPr>
              <w:t>Workforce analytics, compensation review, and compliance assessment</w:t>
            </w:r>
          </w:p>
        </w:tc>
      </w:tr>
      <w:tr>
        <w:tc>
          <w:tcPr>
            <w:tcW w:type="dxa" w:w="4680"/>
            <w:shd w:val="clear" w:color="auto" w:fill="E8F4F6"/>
          </w:tcPr>
          <w:p>
            <w:pPr>
              <w:spacing w:before="60" w:after="60"/>
              <w:jc w:val="center"/>
            </w:pPr>
            <w:r>
              <w:rPr>
                <w:b/>
                <w:color w:val="1A3A5C"/>
                <w:sz w:val="20"/>
              </w:rPr>
              <w:t>Week 4</w:t>
            </w:r>
          </w:p>
        </w:tc>
        <w:tc>
          <w:tcPr>
            <w:tcW w:type="dxa" w:w="4680"/>
            <w:shd w:val="clear" w:color="auto" w:fill="F4F6F8"/>
          </w:tcPr>
          <w:p>
            <w:pPr>
              <w:spacing w:before="60" w:after="60"/>
            </w:pPr>
            <w:r>
              <w:rPr>
                <w:color w:val="2C2C2C"/>
                <w:sz w:val="20"/>
              </w:rPr>
              <w:t>Roadmap development, report preparation</w:t>
            </w:r>
          </w:p>
        </w:tc>
      </w:tr>
      <w:tr>
        <w:tc>
          <w:tcPr>
            <w:tcW w:type="dxa" w:w="4680"/>
            <w:shd w:val="clear" w:color="auto" w:fill="E8F4F6"/>
          </w:tcPr>
          <w:p>
            <w:pPr>
              <w:spacing w:before="60" w:after="60"/>
              <w:jc w:val="center"/>
            </w:pPr>
            <w:r>
              <w:rPr>
                <w:b/>
                <w:color w:val="1A3A5C"/>
                <w:sz w:val="20"/>
              </w:rPr>
              <w:t>Week 5</w:t>
            </w:r>
          </w:p>
        </w:tc>
        <w:tc>
          <w:tcPr>
            <w:tcW w:type="dxa" w:w="4680"/>
            <w:shd w:val="clear" w:color="auto" w:fill="FFFFFF"/>
          </w:tcPr>
          <w:p>
            <w:pPr>
              <w:spacing w:before="60" w:after="60"/>
            </w:pPr>
            <w:r>
              <w:rPr>
                <w:color w:val="2C2C2C"/>
                <w:sz w:val="20"/>
              </w:rPr>
              <w:t>Final review, delivery, and leadership presentation</w:t>
            </w:r>
          </w:p>
        </w:tc>
      </w:tr>
    </w:tbl>
    <w:p/>
    <w:p>
      <w:pPr>
        <w:spacing w:before="200" w:after="80"/>
      </w:pPr>
      <w:r>
        <w:rPr>
          <w:b/>
          <w:color w:val="1A3A5C"/>
          <w:sz w:val="22"/>
        </w:rPr>
        <w:t>Tools &amp; Frameworks Used</w:t>
      </w:r>
    </w:p>
    <w:p>
      <w:pPr>
        <w:pStyle w:val="ListBullet"/>
        <w:spacing w:after="80"/>
      </w:pPr>
      <w:r>
        <w:rPr>
          <w:color w:val="2C2C2C"/>
          <w:sz w:val="21"/>
        </w:rPr>
        <w:t>Waymark Onboarding Generator (Python)</w:t>
      </w:r>
    </w:p>
    <w:p>
      <w:pPr>
        <w:pStyle w:val="ListBullet"/>
        <w:spacing w:after="80"/>
      </w:pPr>
      <w:r>
        <w:rPr>
          <w:color w:val="2C2C2C"/>
          <w:sz w:val="21"/>
        </w:rPr>
        <w:t>Waymark Policy Generator (Python)</w:t>
      </w:r>
    </w:p>
    <w:p>
      <w:pPr>
        <w:pStyle w:val="ListBullet"/>
        <w:spacing w:after="80"/>
      </w:pPr>
      <w:r>
        <w:rPr>
          <w:color w:val="2C2C2C"/>
          <w:sz w:val="21"/>
        </w:rPr>
        <w:t>Workforce analytics toolkit</w:t>
      </w:r>
    </w:p>
    <w:p>
      <w:pPr>
        <w:pStyle w:val="ListBullet"/>
        <w:spacing w:after="80"/>
      </w:pPr>
      <w:r>
        <w:rPr>
          <w:color w:val="2C2C2C"/>
          <w:sz w:val="21"/>
        </w:rPr>
        <w:t>HR audit framework</w:t>
      </w:r>
    </w:p>
    <w:p>
      <w:r>
        <w:br w:type="page"/>
      </w:r>
    </w:p>
    <w:p>
      <w:pPr>
        <w:spacing w:before="320" w:after="120"/>
        <w:pBdr>
          <w:bottom w:val="single" w:sz="6" w:space="4" w:color="007A87"/>
        </w:pBdr>
      </w:pPr>
      <w:r>
        <w:rPr>
          <w:b/>
          <w:color w:val="007A87"/>
          <w:sz w:val="22"/>
        </w:rPr>
        <w:t>KEY RECOMMENDATIONS</w:t>
      </w:r>
    </w:p>
    <w:p>
      <w:pPr>
        <w:spacing w:before="0" w:after="140"/>
        <w:jc w:val="left"/>
      </w:pPr>
      <w:r>
        <w:rPr>
          <w:b w:val="0"/>
          <w:i/>
          <w:color w:val="2C2C2C"/>
          <w:sz w:val="21"/>
        </w:rPr>
        <w:t>The following five recommendations are prioritized based on potential business impact and implementation effort. Each is rated on a High / Medium / Low scale.</w:t>
      </w:r>
    </w:p>
    <w:tbl>
      <w:tblPr>
        <w:tblStyle w:val="TableGrid"/>
        <w:tblW w:type="auto" w:w="0"/>
        <w:tblLook w:firstColumn="1" w:firstRow="1" w:lastColumn="0" w:lastRow="0" w:noHBand="0" w:noVBand="1" w:val="04A0"/>
      </w:tblPr>
      <w:tblGrid>
        <w:gridCol w:w="432"/>
        <w:gridCol w:w="4608"/>
        <w:gridCol w:w="1224"/>
        <w:gridCol w:w="1224"/>
        <w:gridCol w:w="1872"/>
      </w:tblGrid>
      <w:tr>
        <w:tc>
          <w:tcPr>
            <w:tcW w:type="dxa" w:w="1872"/>
            <w:shd w:val="clear" w:color="auto" w:fill="1A3A5C"/>
          </w:tcPr>
          <w:p>
            <w:pPr>
              <w:spacing w:before="80" w:after="80"/>
              <w:jc w:val="center"/>
            </w:pPr>
            <w:r>
              <w:rPr>
                <w:b/>
                <w:color w:val="FFFFFF"/>
                <w:sz w:val="20"/>
              </w:rPr>
              <w:t>#</w:t>
            </w:r>
          </w:p>
        </w:tc>
        <w:tc>
          <w:tcPr>
            <w:tcW w:type="dxa" w:w="1872"/>
            <w:shd w:val="clear" w:color="auto" w:fill="1A3A5C"/>
          </w:tcPr>
          <w:p>
            <w:pPr>
              <w:spacing w:before="80" w:after="80"/>
              <w:jc w:val="center"/>
            </w:pPr>
            <w:r>
              <w:rPr>
                <w:b/>
                <w:color w:val="FFFFFF"/>
                <w:sz w:val="20"/>
              </w:rPr>
              <w:t>Recommendation</w:t>
            </w:r>
          </w:p>
        </w:tc>
        <w:tc>
          <w:tcPr>
            <w:tcW w:type="dxa" w:w="1872"/>
            <w:shd w:val="clear" w:color="auto" w:fill="1A3A5C"/>
          </w:tcPr>
          <w:p>
            <w:pPr>
              <w:spacing w:before="80" w:after="80"/>
              <w:jc w:val="center"/>
            </w:pPr>
            <w:r>
              <w:rPr>
                <w:b/>
                <w:color w:val="FFFFFF"/>
                <w:sz w:val="20"/>
              </w:rPr>
              <w:t>Impact</w:t>
            </w:r>
          </w:p>
        </w:tc>
        <w:tc>
          <w:tcPr>
            <w:tcW w:type="dxa" w:w="1872"/>
            <w:shd w:val="clear" w:color="auto" w:fill="1A3A5C"/>
          </w:tcPr>
          <w:p>
            <w:pPr>
              <w:spacing w:before="80" w:after="80"/>
              <w:jc w:val="center"/>
            </w:pPr>
            <w:r>
              <w:rPr>
                <w:b/>
                <w:color w:val="FFFFFF"/>
                <w:sz w:val="20"/>
              </w:rPr>
              <w:t>Effort</w:t>
            </w:r>
          </w:p>
        </w:tc>
        <w:tc>
          <w:tcPr>
            <w:tcW w:type="dxa" w:w="1872"/>
            <w:shd w:val="clear" w:color="auto" w:fill="1A3A5C"/>
          </w:tcPr>
          <w:p>
            <w:pPr>
              <w:spacing w:before="80" w:after="80"/>
              <w:jc w:val="center"/>
            </w:pPr>
            <w:r>
              <w:rPr>
                <w:b/>
                <w:color w:val="FFFFFF"/>
                <w:sz w:val="20"/>
              </w:rPr>
              <w:t>Type</w:t>
            </w:r>
          </w:p>
        </w:tc>
      </w:tr>
      <w:tr>
        <w:tc>
          <w:tcPr>
            <w:tcW w:type="dxa" w:w="1872"/>
            <w:shd w:val="clear" w:color="auto" w:fill="FFFFFF"/>
          </w:tcPr>
          <w:p>
            <w:pPr>
              <w:spacing w:before="80" w:after="80"/>
              <w:jc w:val="center"/>
            </w:pPr>
            <w:r>
              <w:rPr>
                <w:b/>
                <w:color w:val="1A3A5C"/>
                <w:sz w:val="20"/>
              </w:rPr>
              <w:t>1</w:t>
            </w:r>
          </w:p>
        </w:tc>
        <w:tc>
          <w:tcPr>
            <w:tcW w:type="dxa" w:w="1872"/>
            <w:shd w:val="clear" w:color="auto" w:fill="FFFFFF"/>
          </w:tcPr>
          <w:p>
            <w:pPr>
              <w:spacing w:before="80" w:after="40"/>
            </w:pPr>
            <w:r>
              <w:rPr>
                <w:b/>
                <w:color w:val="1A3A5C"/>
                <w:sz w:val="20"/>
              </w:rPr>
              <w:t>Standardize and Launch the New Onboarding Program</w:t>
              <w:br/>
            </w:r>
            <w:r>
              <w:rPr>
                <w:color w:val="2C2C2C"/>
                <w:sz w:val="19"/>
              </w:rPr>
              <w:t>Roll out the newly designed onboarding program company-wide immediately to improve new hire retention from day one.</w:t>
            </w:r>
          </w:p>
        </w:tc>
        <w:tc>
          <w:tcPr>
            <w:tcW w:type="dxa" w:w="1872"/>
            <w:shd w:val="clear" w:color="auto" w:fill="D6F0D6"/>
          </w:tcPr>
          <w:p>
            <w:pPr>
              <w:spacing w:before="80" w:after="80"/>
              <w:jc w:val="center"/>
            </w:pPr>
            <w:r>
              <w:rPr>
                <w:b/>
                <w:color w:val="2C2C2C"/>
                <w:sz w:val="20"/>
              </w:rPr>
              <w:t>High</w:t>
            </w:r>
          </w:p>
        </w:tc>
        <w:tc>
          <w:tcPr>
            <w:tcW w:type="dxa" w:w="1872"/>
            <w:shd w:val="clear" w:color="auto" w:fill="FFE0CC"/>
          </w:tcPr>
          <w:p>
            <w:pPr>
              <w:spacing w:before="80" w:after="80"/>
              <w:jc w:val="center"/>
            </w:pPr>
            <w:r>
              <w:rPr>
                <w:b/>
                <w:color w:val="2C2C2C"/>
                <w:sz w:val="20"/>
              </w:rPr>
              <w:t>Low</w:t>
            </w:r>
          </w:p>
        </w:tc>
        <w:tc>
          <w:tcPr>
            <w:tcW w:type="dxa" w:w="1872"/>
            <w:shd w:val="clear" w:color="auto" w:fill="D6F0D6"/>
          </w:tcPr>
          <w:p>
            <w:pPr>
              <w:spacing w:before="80" w:after="80"/>
              <w:jc w:val="center"/>
            </w:pPr>
            <w:r>
              <w:rPr>
                <w:b/>
                <w:color w:val="2C2C2C"/>
                <w:sz w:val="19"/>
              </w:rPr>
              <w:t>Quick Win</w:t>
            </w:r>
          </w:p>
        </w:tc>
      </w:tr>
      <w:tr>
        <w:tc>
          <w:tcPr>
            <w:tcW w:type="dxa" w:w="1872"/>
            <w:shd w:val="clear" w:color="auto" w:fill="F4F6F8"/>
          </w:tcPr>
          <w:p>
            <w:pPr>
              <w:spacing w:before="80" w:after="80"/>
              <w:jc w:val="center"/>
            </w:pPr>
            <w:r>
              <w:rPr>
                <w:b/>
                <w:color w:val="1A3A5C"/>
                <w:sz w:val="20"/>
              </w:rPr>
              <w:t>2</w:t>
            </w:r>
          </w:p>
        </w:tc>
        <w:tc>
          <w:tcPr>
            <w:tcW w:type="dxa" w:w="1872"/>
            <w:shd w:val="clear" w:color="auto" w:fill="F4F6F8"/>
          </w:tcPr>
          <w:p>
            <w:pPr>
              <w:spacing w:before="80" w:after="40"/>
            </w:pPr>
            <w:r>
              <w:rPr>
                <w:b/>
                <w:color w:val="1A3A5C"/>
                <w:sz w:val="20"/>
              </w:rPr>
              <w:t>Distribute the HR Policy Handbook and Collect Acknowledgments</w:t>
              <w:br/>
            </w:r>
            <w:r>
              <w:rPr>
                <w:color w:val="2C2C2C"/>
                <w:sz w:val="19"/>
              </w:rPr>
              <w:t>Issue the completed HR Policy Handbook to all employees and obtain signed acknowledgments within 30 days.</w:t>
            </w:r>
          </w:p>
        </w:tc>
        <w:tc>
          <w:tcPr>
            <w:tcW w:type="dxa" w:w="1872"/>
            <w:shd w:val="clear" w:color="auto" w:fill="D6F0D6"/>
          </w:tcPr>
          <w:p>
            <w:pPr>
              <w:spacing w:before="80" w:after="80"/>
              <w:jc w:val="center"/>
            </w:pPr>
            <w:r>
              <w:rPr>
                <w:b/>
                <w:color w:val="2C2C2C"/>
                <w:sz w:val="20"/>
              </w:rPr>
              <w:t>High</w:t>
            </w:r>
          </w:p>
        </w:tc>
        <w:tc>
          <w:tcPr>
            <w:tcW w:type="dxa" w:w="1872"/>
            <w:shd w:val="clear" w:color="auto" w:fill="FFE0CC"/>
          </w:tcPr>
          <w:p>
            <w:pPr>
              <w:spacing w:before="80" w:after="80"/>
              <w:jc w:val="center"/>
            </w:pPr>
            <w:r>
              <w:rPr>
                <w:b/>
                <w:color w:val="2C2C2C"/>
                <w:sz w:val="20"/>
              </w:rPr>
              <w:t>Low</w:t>
            </w:r>
          </w:p>
        </w:tc>
        <w:tc>
          <w:tcPr>
            <w:tcW w:type="dxa" w:w="1872"/>
            <w:shd w:val="clear" w:color="auto" w:fill="D6F0D6"/>
          </w:tcPr>
          <w:p>
            <w:pPr>
              <w:spacing w:before="80" w:after="80"/>
              <w:jc w:val="center"/>
            </w:pPr>
            <w:r>
              <w:rPr>
                <w:b/>
                <w:color w:val="2C2C2C"/>
                <w:sz w:val="19"/>
              </w:rPr>
              <w:t>Quick Win</w:t>
            </w:r>
          </w:p>
        </w:tc>
      </w:tr>
      <w:tr>
        <w:tc>
          <w:tcPr>
            <w:tcW w:type="dxa" w:w="1872"/>
            <w:shd w:val="clear" w:color="auto" w:fill="FFFFFF"/>
          </w:tcPr>
          <w:p>
            <w:pPr>
              <w:spacing w:before="80" w:after="80"/>
              <w:jc w:val="center"/>
            </w:pPr>
            <w:r>
              <w:rPr>
                <w:b/>
                <w:color w:val="1A3A5C"/>
                <w:sz w:val="20"/>
              </w:rPr>
              <w:t>3</w:t>
            </w:r>
          </w:p>
        </w:tc>
        <w:tc>
          <w:tcPr>
            <w:tcW w:type="dxa" w:w="1872"/>
            <w:shd w:val="clear" w:color="auto" w:fill="FFFFFF"/>
          </w:tcPr>
          <w:p>
            <w:pPr>
              <w:spacing w:before="80" w:after="40"/>
            </w:pPr>
            <w:r>
              <w:rPr>
                <w:b/>
                <w:color w:val="1A3A5C"/>
                <w:sz w:val="20"/>
              </w:rPr>
              <w:t>Remediate Compensation Equity Gaps</w:t>
              <w:br/>
            </w:r>
            <w:r>
              <w:rPr>
                <w:color w:val="2C2C2C"/>
                <w:sz w:val="19"/>
              </w:rPr>
              <w:t>Address identified pay disparities in key job families to reduce legal risk and improve employee trust.</w:t>
            </w:r>
          </w:p>
        </w:tc>
        <w:tc>
          <w:tcPr>
            <w:tcW w:type="dxa" w:w="1872"/>
            <w:shd w:val="clear" w:color="auto" w:fill="D6F0D6"/>
          </w:tcPr>
          <w:p>
            <w:pPr>
              <w:spacing w:before="80" w:after="80"/>
              <w:jc w:val="center"/>
            </w:pPr>
            <w:r>
              <w:rPr>
                <w:b/>
                <w:color w:val="2C2C2C"/>
                <w:sz w:val="20"/>
              </w:rPr>
              <w:t>High</w:t>
            </w:r>
          </w:p>
        </w:tc>
        <w:tc>
          <w:tcPr>
            <w:tcW w:type="dxa" w:w="1872"/>
            <w:shd w:val="clear" w:color="auto" w:fill="FFF3CD"/>
          </w:tcPr>
          <w:p>
            <w:pPr>
              <w:spacing w:before="80" w:after="80"/>
              <w:jc w:val="center"/>
            </w:pPr>
            <w:r>
              <w:rPr>
                <w:b/>
                <w:color w:val="2C2C2C"/>
                <w:sz w:val="20"/>
              </w:rPr>
              <w:t>Medium</w:t>
            </w:r>
          </w:p>
        </w:tc>
        <w:tc>
          <w:tcPr>
            <w:tcW w:type="dxa" w:w="1872"/>
            <w:shd w:val="clear" w:color="auto" w:fill="FFF3CD"/>
          </w:tcPr>
          <w:p>
            <w:pPr>
              <w:spacing w:before="80" w:after="80"/>
              <w:jc w:val="center"/>
            </w:pPr>
            <w:r>
              <w:rPr>
                <w:b/>
                <w:color w:val="2C2C2C"/>
                <w:sz w:val="19"/>
              </w:rPr>
              <w:t>Short-Term</w:t>
            </w:r>
          </w:p>
        </w:tc>
      </w:tr>
      <w:tr>
        <w:tc>
          <w:tcPr>
            <w:tcW w:type="dxa" w:w="1872"/>
            <w:shd w:val="clear" w:color="auto" w:fill="F4F6F8"/>
          </w:tcPr>
          <w:p>
            <w:pPr>
              <w:spacing w:before="80" w:after="80"/>
              <w:jc w:val="center"/>
            </w:pPr>
            <w:r>
              <w:rPr>
                <w:b/>
                <w:color w:val="1A3A5C"/>
                <w:sz w:val="20"/>
              </w:rPr>
              <w:t>4</w:t>
            </w:r>
          </w:p>
        </w:tc>
        <w:tc>
          <w:tcPr>
            <w:tcW w:type="dxa" w:w="1872"/>
            <w:shd w:val="clear" w:color="auto" w:fill="F4F6F8"/>
          </w:tcPr>
          <w:p>
            <w:pPr>
              <w:spacing w:before="80" w:after="40"/>
            </w:pPr>
            <w:r>
              <w:rPr>
                <w:b/>
                <w:color w:val="1A3A5C"/>
                <w:sz w:val="20"/>
              </w:rPr>
              <w:t>Invest in an HRIS Platform</w:t>
              <w:br/>
            </w:r>
            <w:r>
              <w:rPr>
                <w:color w:val="2C2C2C"/>
                <w:sz w:val="19"/>
              </w:rPr>
              <w:t>Implement a Human Resource Information System to centralize employee data, automate workflows, and enable reporting.</w:t>
            </w:r>
          </w:p>
        </w:tc>
        <w:tc>
          <w:tcPr>
            <w:tcW w:type="dxa" w:w="1872"/>
            <w:shd w:val="clear" w:color="auto" w:fill="D6F0D6"/>
          </w:tcPr>
          <w:p>
            <w:pPr>
              <w:spacing w:before="80" w:after="80"/>
              <w:jc w:val="center"/>
            </w:pPr>
            <w:r>
              <w:rPr>
                <w:b/>
                <w:color w:val="2C2C2C"/>
                <w:sz w:val="20"/>
              </w:rPr>
              <w:t>High</w:t>
            </w:r>
          </w:p>
        </w:tc>
        <w:tc>
          <w:tcPr>
            <w:tcW w:type="dxa" w:w="1872"/>
            <w:shd w:val="clear" w:color="auto" w:fill="D6F0D6"/>
          </w:tcPr>
          <w:p>
            <w:pPr>
              <w:spacing w:before="80" w:after="80"/>
              <w:jc w:val="center"/>
            </w:pPr>
            <w:r>
              <w:rPr>
                <w:b/>
                <w:color w:val="2C2C2C"/>
                <w:sz w:val="20"/>
              </w:rPr>
              <w:t>High</w:t>
            </w:r>
          </w:p>
        </w:tc>
        <w:tc>
          <w:tcPr>
            <w:tcW w:type="dxa" w:w="1872"/>
            <w:shd w:val="clear" w:color="auto" w:fill="FFE0CC"/>
          </w:tcPr>
          <w:p>
            <w:pPr>
              <w:spacing w:before="80" w:after="80"/>
              <w:jc w:val="center"/>
            </w:pPr>
            <w:r>
              <w:rPr>
                <w:b/>
                <w:color w:val="2C2C2C"/>
                <w:sz w:val="19"/>
              </w:rPr>
              <w:t>Long-Term Investment</w:t>
            </w:r>
          </w:p>
        </w:tc>
      </w:tr>
      <w:tr>
        <w:tc>
          <w:tcPr>
            <w:tcW w:type="dxa" w:w="1872"/>
            <w:shd w:val="clear" w:color="auto" w:fill="FFFFFF"/>
          </w:tcPr>
          <w:p>
            <w:pPr>
              <w:spacing w:before="80" w:after="80"/>
              <w:jc w:val="center"/>
            </w:pPr>
            <w:r>
              <w:rPr>
                <w:b/>
                <w:color w:val="1A3A5C"/>
                <w:sz w:val="20"/>
              </w:rPr>
              <w:t>5</w:t>
            </w:r>
          </w:p>
        </w:tc>
        <w:tc>
          <w:tcPr>
            <w:tcW w:type="dxa" w:w="1872"/>
            <w:shd w:val="clear" w:color="auto" w:fill="FFFFFF"/>
          </w:tcPr>
          <w:p>
            <w:pPr>
              <w:spacing w:before="80" w:after="40"/>
            </w:pPr>
            <w:r>
              <w:rPr>
                <w:b/>
                <w:color w:val="1A3A5C"/>
                <w:sz w:val="20"/>
              </w:rPr>
              <w:t>Build an HR Metrics &amp; Reporting Function</w:t>
              <w:br/>
            </w:r>
            <w:r>
              <w:rPr>
                <w:color w:val="2C2C2C"/>
                <w:sz w:val="19"/>
              </w:rPr>
              <w:t>Establish a regular HR reporting cadence with leadership using the defined KPI framework from this engagement.</w:t>
            </w:r>
          </w:p>
        </w:tc>
        <w:tc>
          <w:tcPr>
            <w:tcW w:type="dxa" w:w="1872"/>
            <w:shd w:val="clear" w:color="auto" w:fill="FFF3CD"/>
          </w:tcPr>
          <w:p>
            <w:pPr>
              <w:spacing w:before="80" w:after="80"/>
              <w:jc w:val="center"/>
            </w:pPr>
            <w:r>
              <w:rPr>
                <w:b/>
                <w:color w:val="2C2C2C"/>
                <w:sz w:val="20"/>
              </w:rPr>
              <w:t>Medium</w:t>
            </w:r>
          </w:p>
        </w:tc>
        <w:tc>
          <w:tcPr>
            <w:tcW w:type="dxa" w:w="1872"/>
            <w:shd w:val="clear" w:color="auto" w:fill="FFF3CD"/>
          </w:tcPr>
          <w:p>
            <w:pPr>
              <w:spacing w:before="80" w:after="80"/>
              <w:jc w:val="center"/>
            </w:pPr>
            <w:r>
              <w:rPr>
                <w:b/>
                <w:color w:val="2C2C2C"/>
                <w:sz w:val="20"/>
              </w:rPr>
              <w:t>Medium</w:t>
            </w:r>
          </w:p>
        </w:tc>
        <w:tc>
          <w:tcPr>
            <w:tcW w:type="dxa" w:w="1872"/>
            <w:shd w:val="clear" w:color="auto" w:fill="FFF3CD"/>
          </w:tcPr>
          <w:p>
            <w:pPr>
              <w:spacing w:before="80" w:after="80"/>
              <w:jc w:val="center"/>
            </w:pPr>
            <w:r>
              <w:rPr>
                <w:b/>
                <w:color w:val="2C2C2C"/>
                <w:sz w:val="19"/>
              </w:rPr>
              <w:t>Short-Term</w:t>
            </w:r>
          </w:p>
        </w:tc>
      </w:tr>
    </w:tbl>
    <w:p/>
    <w:p>
      <w:r>
        <w:br w:type="page"/>
      </w:r>
    </w:p>
    <w:p>
      <w:pPr>
        <w:spacing w:before="320" w:after="120"/>
        <w:pBdr>
          <w:bottom w:val="single" w:sz="6" w:space="4" w:color="007A87"/>
        </w:pBdr>
      </w:pPr>
      <w:r>
        <w:rPr>
          <w:b/>
          <w:color w:val="007A87"/>
          <w:sz w:val="22"/>
        </w:rPr>
        <w:t>NEXT STEPS &amp; 30/60/90-DAY ACTION PLAN</w:t>
      </w:r>
    </w:p>
    <w:p>
      <w:pPr>
        <w:spacing w:before="200" w:after="80"/>
      </w:pPr>
      <w:r>
        <w:rPr>
          <w:b/>
          <w:color w:val="1A3A5C"/>
          <w:sz w:val="22"/>
        </w:rPr>
        <w:t>Proposed Follow-On Services</w:t>
      </w:r>
    </w:p>
    <w:p>
      <w:pPr>
        <w:spacing w:before="0" w:after="140"/>
        <w:jc w:val="left"/>
      </w:pPr>
      <w:r>
        <w:rPr>
          <w:b w:val="0"/>
          <w:i w:val="0"/>
          <w:color w:val="2C2C2C"/>
          <w:sz w:val="21"/>
        </w:rPr>
        <w:t>Based on the findings and outcomes of this engagement, Waymark HR Group LLC recommends the following follow-on services to continue building Acme Logistics's HR capability:</w:t>
      </w:r>
    </w:p>
    <w:p>
      <w:pPr>
        <w:pStyle w:val="ListBullet"/>
        <w:spacing w:after="80"/>
      </w:pPr>
      <w:r>
        <w:rPr>
          <w:color w:val="2C2C2C"/>
          <w:sz w:val="21"/>
        </w:rPr>
        <w:t>HRIS platform evaluation and implementation support</w:t>
      </w:r>
    </w:p>
    <w:p>
      <w:pPr>
        <w:pStyle w:val="ListBullet"/>
        <w:spacing w:after="80"/>
      </w:pPr>
      <w:r>
        <w:rPr>
          <w:color w:val="2C2C2C"/>
          <w:sz w:val="21"/>
        </w:rPr>
        <w:t>Manager leadership development and HR training program</w:t>
      </w:r>
    </w:p>
    <w:p>
      <w:pPr>
        <w:pStyle w:val="ListBullet"/>
        <w:spacing w:after="80"/>
      </w:pPr>
      <w:r>
        <w:rPr>
          <w:color w:val="2C2C2C"/>
          <w:sz w:val="21"/>
        </w:rPr>
        <w:t>Ongoing HR advisory retainer for continued compliance and strategy support</w:t>
      </w:r>
    </w:p>
    <w:p>
      <w:pPr>
        <w:pStyle w:val="ListBullet"/>
        <w:spacing w:after="80"/>
      </w:pPr>
      <w:r>
        <w:rPr>
          <w:color w:val="2C2C2C"/>
          <w:sz w:val="21"/>
        </w:rPr>
        <w:t>Annual HR audit to track progress against this report's recommendations</w:t>
      </w:r>
    </w:p>
    <w:p>
      <w:pPr>
        <w:spacing w:before="200" w:after="80"/>
      </w:pPr>
      <w:r>
        <w:rPr>
          <w:b/>
          <w:color w:val="1A3A5C"/>
          <w:sz w:val="22"/>
        </w:rPr>
        <w:t>30/60/90-Day Action Plan</w:t>
      </w:r>
    </w:p>
    <w:p>
      <w:pPr>
        <w:spacing w:before="160" w:after="60"/>
      </w:pPr>
      <w:r>
        <w:rPr>
          <w:b/>
          <w:color w:val="007A87"/>
          <w:sz w:val="21"/>
        </w:rPr>
        <w:t>30 Days</w:t>
      </w:r>
    </w:p>
    <w:p>
      <w:pPr>
        <w:pStyle w:val="ListBullet"/>
        <w:spacing w:after="80"/>
      </w:pPr>
      <w:r>
        <w:rPr>
          <w:color w:val="2C2C2C"/>
          <w:sz w:val="21"/>
        </w:rPr>
        <w:t>Launch new onboarding program for all incoming hires</w:t>
      </w:r>
    </w:p>
    <w:p>
      <w:pPr>
        <w:pStyle w:val="ListBullet"/>
        <w:spacing w:after="80"/>
      </w:pPr>
      <w:r>
        <w:rPr>
          <w:color w:val="2C2C2C"/>
          <w:sz w:val="21"/>
        </w:rPr>
        <w:t>Distribute HR Policy Handbook and collect employee acknowledgments</w:t>
      </w:r>
    </w:p>
    <w:p>
      <w:pPr>
        <w:pStyle w:val="ListBullet"/>
        <w:spacing w:after="80"/>
      </w:pPr>
      <w:r>
        <w:rPr>
          <w:color w:val="2C2C2C"/>
          <w:sz w:val="21"/>
        </w:rPr>
        <w:t>Share audit findings with senior leadership</w:t>
      </w:r>
    </w:p>
    <w:p>
      <w:pPr>
        <w:pStyle w:val="ListBullet"/>
        <w:spacing w:after="80"/>
      </w:pPr>
      <w:r>
        <w:rPr>
          <w:color w:val="2C2C2C"/>
          <w:sz w:val="21"/>
        </w:rPr>
        <w:t>Initiate compensation equity review with HR and Finance</w:t>
      </w:r>
    </w:p>
    <w:p>
      <w:pPr>
        <w:spacing w:before="160" w:after="60"/>
      </w:pPr>
      <w:r>
        <w:rPr>
          <w:b/>
          <w:color w:val="007A87"/>
          <w:sz w:val="21"/>
        </w:rPr>
        <w:t>60 Days</w:t>
      </w:r>
    </w:p>
    <w:p>
      <w:pPr>
        <w:pStyle w:val="ListBullet"/>
        <w:spacing w:after="80"/>
      </w:pPr>
      <w:r>
        <w:rPr>
          <w:color w:val="2C2C2C"/>
          <w:sz w:val="21"/>
        </w:rPr>
        <w:t>Complete manager training on policies and onboarding program</w:t>
      </w:r>
    </w:p>
    <w:p>
      <w:pPr>
        <w:pStyle w:val="ListBullet"/>
        <w:spacing w:after="80"/>
      </w:pPr>
      <w:r>
        <w:rPr>
          <w:color w:val="2C2C2C"/>
          <w:sz w:val="21"/>
        </w:rPr>
        <w:t>Begin HRIS platform evaluation process</w:t>
      </w:r>
    </w:p>
    <w:p>
      <w:pPr>
        <w:pStyle w:val="ListBullet"/>
        <w:spacing w:after="80"/>
      </w:pPr>
      <w:r>
        <w:rPr>
          <w:color w:val="2C2C2C"/>
          <w:sz w:val="21"/>
        </w:rPr>
        <w:t>Implement quarterly headcount planning cadence</w:t>
      </w:r>
    </w:p>
    <w:p>
      <w:pPr>
        <w:pStyle w:val="ListBullet"/>
        <w:spacing w:after="80"/>
      </w:pPr>
      <w:r>
        <w:rPr>
          <w:color w:val="2C2C2C"/>
          <w:sz w:val="21"/>
        </w:rPr>
        <w:t>Launch stay interview program with high-performer population</w:t>
      </w:r>
    </w:p>
    <w:p>
      <w:pPr>
        <w:spacing w:before="160" w:after="60"/>
      </w:pPr>
      <w:r>
        <w:rPr>
          <w:b/>
          <w:color w:val="007A87"/>
          <w:sz w:val="21"/>
        </w:rPr>
        <w:t>90 Days</w:t>
      </w:r>
    </w:p>
    <w:p>
      <w:pPr>
        <w:pStyle w:val="ListBullet"/>
        <w:spacing w:after="80"/>
      </w:pPr>
      <w:r>
        <w:rPr>
          <w:color w:val="2C2C2C"/>
          <w:sz w:val="21"/>
        </w:rPr>
        <w:t>Finalize compensation remediation plan and begin implementation</w:t>
      </w:r>
    </w:p>
    <w:p>
      <w:pPr>
        <w:pStyle w:val="ListBullet"/>
        <w:spacing w:after="80"/>
      </w:pPr>
      <w:r>
        <w:rPr>
          <w:color w:val="2C2C2C"/>
          <w:sz w:val="21"/>
        </w:rPr>
        <w:t>Select and initiate HRIS implementation project</w:t>
      </w:r>
    </w:p>
    <w:p>
      <w:pPr>
        <w:pStyle w:val="ListBullet"/>
        <w:spacing w:after="80"/>
      </w:pPr>
      <w:r>
        <w:rPr>
          <w:color w:val="2C2C2C"/>
          <w:sz w:val="21"/>
        </w:rPr>
        <w:t>Launch HR metrics dashboard for leadership</w:t>
      </w:r>
    </w:p>
    <w:p>
      <w:pPr>
        <w:pStyle w:val="ListBullet"/>
        <w:spacing w:after="80"/>
      </w:pPr>
      <w:r>
        <w:rPr>
          <w:color w:val="2C2C2C"/>
          <w:sz w:val="21"/>
        </w:rPr>
        <w:t>Present 90-day progress report against audit recommendations</w:t>
      </w:r>
    </w:p>
    <w:p>
      <w:r>
        <w:br w:type="page"/>
      </w:r>
    </w:p>
    <w:p>
      <w:pPr>
        <w:spacing w:before="320" w:after="120"/>
        <w:pBdr>
          <w:bottom w:val="single" w:sz="6" w:space="4" w:color="007A87"/>
        </w:pBdr>
      </w:pPr>
      <w:r>
        <w:rPr>
          <w:b/>
          <w:color w:val="007A87"/>
          <w:sz w:val="22"/>
        </w:rPr>
        <w:t>CLOSING</w:t>
      </w:r>
    </w:p>
    <w:p>
      <w:pPr>
        <w:spacing w:before="0" w:after="200"/>
        <w:jc w:val="left"/>
      </w:pPr>
      <w:r>
        <w:rPr>
          <w:b/>
          <w:i w:val="0"/>
          <w:color w:val="2C2C2C"/>
          <w:sz w:val="21"/>
        </w:rPr>
        <w:t>Dear Acme Logistics Team,</w:t>
      </w:r>
    </w:p>
    <w:p>
      <w:pPr>
        <w:spacing w:before="0" w:after="200"/>
        <w:jc w:val="left"/>
      </w:pPr>
      <w:r>
        <w:rPr>
          <w:b w:val="0"/>
          <w:i w:val="0"/>
          <w:color w:val="2C2C2C"/>
          <w:sz w:val="21"/>
        </w:rPr>
        <w:t>On behalf of everyone at Waymark HR Group LLC, thank you for the opportunity to support your organization through this engagement. It has been a privilege to work alongside your team, and we are proud of the work we have accomplished together.</w:t>
      </w:r>
    </w:p>
    <w:p>
      <w:pPr>
        <w:spacing w:before="0" w:after="200"/>
        <w:jc w:val="left"/>
      </w:pPr>
      <w:r>
        <w:rPr>
          <w:b w:val="0"/>
          <w:i w:val="0"/>
          <w:color w:val="2C2C2C"/>
          <w:sz w:val="21"/>
        </w:rPr>
        <w:t>The deliverables contained in this report represent a meaningful investment in your people and your organization's future. We are confident that implementing the recommendations outlined here will strengthen your HR function, reduce risk, and create a better experience for your employees.</w:t>
      </w:r>
    </w:p>
    <w:p>
      <w:pPr>
        <w:spacing w:before="0" w:after="200"/>
        <w:jc w:val="left"/>
      </w:pPr>
      <w:r>
        <w:rPr>
          <w:b w:val="0"/>
          <w:i w:val="0"/>
          <w:color w:val="2C2C2C"/>
          <w:sz w:val="21"/>
        </w:rPr>
        <w:t>We remain committed to your success beyond this engagement. Whether you need support implementing these recommendations, have questions about the deliverables, or are ready to begin the next phase of your HR journey, our team is here to help.</w:t>
      </w:r>
    </w:p>
    <w:p>
      <w:pPr>
        <w:spacing w:before="0" w:after="200"/>
        <w:jc w:val="left"/>
      </w:pPr>
      <w:r>
        <w:rPr>
          <w:b w:val="0"/>
          <w:i w:val="0"/>
          <w:color w:val="2C2C2C"/>
          <w:sz w:val="21"/>
        </w:rPr>
        <w:t>Please do not hesitate to reach out at any time. We look forward to continuing to be a trusted partner for your organization.</w:t>
      </w:r>
    </w:p>
    <w:p>
      <w:pPr>
        <w:spacing w:before="0" w:after="40"/>
        <w:jc w:val="left"/>
      </w:pPr>
      <w:r>
        <w:rPr>
          <w:b w:val="0"/>
          <w:i w:val="0"/>
          <w:color w:val="2C2C2C"/>
          <w:sz w:val="21"/>
        </w:rPr>
        <w:t>Warm regards,</w:t>
      </w:r>
    </w:p>
    <w:p>
      <w:pPr>
        <w:spacing w:before="0" w:after="40"/>
        <w:jc w:val="left"/>
      </w:pPr>
      <w:r>
        <w:rPr>
          <w:b/>
          <w:i w:val="0"/>
          <w:color w:val="2C2C2C"/>
          <w:sz w:val="21"/>
        </w:rPr>
        <w:t>Jamie Wahler</w:t>
      </w:r>
    </w:p>
    <w:p>
      <w:pPr>
        <w:spacing w:before="0" w:after="40"/>
        <w:jc w:val="left"/>
      </w:pPr>
      <w:r>
        <w:rPr>
          <w:b w:val="0"/>
          <w:i w:val="0"/>
          <w:color w:val="2C2C2C"/>
          <w:sz w:val="21"/>
        </w:rPr>
        <w:t>Waymark HR Group LLC</w:t>
      </w:r>
    </w:p>
    <w:p/>
    <w:tbl>
      <w:tblPr>
        <w:tblW w:type="auto" w:w="0"/>
        <w:tblLook w:firstColumn="1" w:firstRow="1" w:lastColumn="0" w:lastRow="0" w:noHBand="0" w:noVBand="1" w:val="04A0"/>
      </w:tblPr>
      <w:tblGrid>
        <w:gridCol w:w="9360"/>
      </w:tblGrid>
      <w:tr>
        <w:tc>
          <w:tcPr>
            <w:tcW w:type="dxa" w:w="9360"/>
            <w:shd w:val="clear" w:color="auto" w:fill="F4F6F8"/>
          </w:tcPr>
          <w:p>
            <w:pPr>
              <w:spacing w:before="120" w:after="60"/>
            </w:pPr>
            <w:r>
              <w:rPr>
                <w:b/>
                <w:color w:val="1A3A5C"/>
                <w:sz w:val="21"/>
              </w:rPr>
              <w:t xml:space="preserve">Phone:  </w:t>
            </w:r>
            <w:r>
              <w:rPr>
                <w:color w:val="007A87"/>
                <w:sz w:val="21"/>
              </w:rPr>
              <w:t>716-225-6347</w:t>
            </w:r>
          </w:p>
          <w:p>
            <w:pPr>
              <w:spacing w:before="60" w:after="60"/>
            </w:pPr>
            <w:r>
              <w:rPr>
                <w:b/>
                <w:color w:val="1A3A5C"/>
                <w:sz w:val="21"/>
              </w:rPr>
              <w:t xml:space="preserve">Email:  </w:t>
            </w:r>
            <w:r>
              <w:rPr>
                <w:color w:val="007A87"/>
                <w:sz w:val="21"/>
              </w:rPr>
              <w:t>Jamie.Wahler@waymarkhrgroup.com</w:t>
            </w:r>
          </w:p>
          <w:p>
            <w:pPr>
              <w:spacing w:before="60" w:after="60"/>
            </w:pPr>
            <w:r>
              <w:rPr>
                <w:b/>
                <w:color w:val="1A3A5C"/>
                <w:sz w:val="21"/>
              </w:rPr>
              <w:t xml:space="preserve">Website:  </w:t>
            </w:r>
            <w:r>
              <w:rPr>
                <w:color w:val="007A87"/>
                <w:sz w:val="21"/>
              </w:rPr>
              <w:t>www.waymarkhrgroup.com</w:t>
            </w:r>
          </w:p>
          <w:p>
            <w:pPr>
              <w:spacing w:before="60" w:after="200"/>
            </w:pPr>
            <w:r>
              <w:rPr>
                <w:b/>
                <w:color w:val="1A3A5C"/>
                <w:sz w:val="21"/>
              </w:rPr>
              <w:t xml:space="preserve">Address:  </w:t>
            </w:r>
            <w:r>
              <w:rPr>
                <w:color w:val="007A87"/>
                <w:sz w:val="21"/>
              </w:rPr>
              <w:t>Buffalo, NY</w:t>
            </w:r>
          </w:p>
        </w:tc>
      </w:tr>
    </w:tbl>
    <w:p/>
    <w:p>
      <w:pPr>
        <w:spacing w:before="0" w:after="80"/>
        <w:jc w:val="left"/>
      </w:pPr>
      <w:r>
        <w:rPr>
          <w:b w:val="0"/>
          <w:i/>
          <w:color w:val="2C2C2C"/>
          <w:sz w:val="21"/>
        </w:rPr>
        <w:t>This report is confidential and intended solely for the use of the named client. © 2026 Waymark HR Group LLC. All rights reserved.</w:t>
      </w:r>
    </w:p>
    <w:sectPr w:rsidR="00FC693F" w:rsidRPr="0006063C" w:rsidSect="00034616">
      <w:headerReference w:type="default" r:id="rId9"/>
      <w:footerReference w:type="default" r:id="rId10"/>
      <w:pgSz w:w="12240" w:h="15840"/>
      <w:pgMar w:top="158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Bdr>
        <w:top w:val="single" w:sz="4" w:space="1" w:color="007A87"/>
      </w:pBdr>
    </w:pPr>
    <w:r>
      <w:rPr>
        <w:color w:val="888888"/>
        <w:sz w:val="16"/>
      </w:rPr>
      <w:t>Waymark HR Group LLC  |  Jamie Wahler  |  716-225-6347  |  Jamie.Wahler@waymarkhrgroup.com</w:t>
    </w:r>
  </w:p>
  <w:p>
    <w:pPr>
      <w:spacing w:before="0"/>
      <w:jc w:val="center"/>
    </w:pPr>
    <w:r>
      <w:rPr>
        <w:color w:val="888888"/>
        <w:sz w:val="16"/>
      </w:rPr>
      <w:t xml:space="preserve">Page </w:t>
    </w:r>
    <w:r>
      <w:rPr>
        <w:color w:val="888888"/>
        <w:sz w:val="16"/>
      </w:rPr>
      <w:fldChar w:fldCharType="begin"/>
      <w:instrText>PAGE</w:instrText>
      <w:fldChar w:fldCharType="end"/>
    </w:r>
    <w:r>
      <w:rPr>
        <w:color w:val="888888"/>
        <w:sz w:val="16"/>
      </w:rPr>
      <w:t xml:space="preserve"> of </w:t>
    </w:r>
    <w:r>
      <w:rPr>
        <w:color w:val="888888"/>
        <w:sz w:val="16"/>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left"/>
      <w:pBdr>
        <w:bottom w:val="single" w:sz="4" w:space="4" w:color="1A3A5C"/>
      </w:pBdr>
    </w:pPr>
    <w:r>
      <w:drawing>
        <wp:inline xmlns:a="http://schemas.openxmlformats.org/drawingml/2006/main" xmlns:pic="http://schemas.openxmlformats.org/drawingml/2006/picture">
          <wp:extent cx="411480" cy="41148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1"/>
                  <a:stretch>
                    <a:fillRect/>
                  </a:stretch>
                </pic:blipFill>
                <pic:spPr>
                  <a:xfrm>
                    <a:off x="0" y="0"/>
                    <a:ext cx="411480" cy="4114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