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600"/>
        <w:jc w:val="center"/>
      </w:pPr>
      <w:r>
        <w:drawing>
          <wp:inline xmlns:a="http://schemas.openxmlformats.org/drawingml/2006/main" xmlns:pic="http://schemas.openxmlformats.org/drawingml/2006/picture">
            <wp:extent cx="2926080" cy="2926080"/>
            <wp:docPr id="1" name="Picture 1"/>
            <wp:cNvGraphicFramePr>
              <a:graphicFrameLocks noChangeAspect="1"/>
            </wp:cNvGraphicFramePr>
            <a:graphic>
              <a:graphicData uri="http://schemas.openxmlformats.org/drawingml/2006/picture">
                <pic:pic>
                  <pic:nvPicPr>
                    <pic:cNvPr id="0" name="Waymark_HR_Group_Logo_Full.png"/>
                    <pic:cNvPicPr/>
                  </pic:nvPicPr>
                  <pic:blipFill>
                    <a:blip r:embed="rId11"/>
                    <a:stretch>
                      <a:fillRect/>
                    </a:stretch>
                  </pic:blipFill>
                  <pic:spPr>
                    <a:xfrm>
                      <a:off x="0" y="0"/>
                      <a:ext cx="2926080" cy="2926080"/>
                    </a:xfrm>
                    <a:prstGeom prst="rect"/>
                  </pic:spPr>
                </pic:pic>
              </a:graphicData>
            </a:graphic>
          </wp:inline>
        </w:drawing>
      </w:r>
    </w:p>
    <w:tbl>
      <w:tblPr>
        <w:tblW w:type="auto" w:w="0"/>
        <w:jc w:val="center"/>
        <w:tblLook w:firstColumn="1" w:firstRow="1" w:lastColumn="0" w:lastRow="0" w:noHBand="0" w:noVBand="1" w:val="04A0"/>
      </w:tblPr>
      <w:tblGrid>
        <w:gridCol w:w="9360"/>
      </w:tblGrid>
      <w:tr>
        <w:tc>
          <w:tcPr>
            <w:tcW w:type="dxa" w:w="9360"/>
            <w:shd w:val="clear" w:color="auto" w:fill="1A3A5C"/>
          </w:tcPr>
          <w:p>
            <w:pPr>
              <w:spacing w:before="400" w:after="120"/>
              <w:jc w:val="center"/>
            </w:pPr>
            <w:r>
              <w:rPr>
                <w:b/>
                <w:color w:val="FFFFFF"/>
                <w:sz w:val="30"/>
              </w:rPr>
              <w:t>HR POLICY DEVELOPMENT ENGAGEMENT REPORT</w:t>
            </w:r>
          </w:p>
          <w:p>
            <w:pPr>
              <w:spacing w:before="0" w:after="120"/>
              <w:jc w:val="center"/>
            </w:pPr>
            <w:r>
              <w:rPr>
                <w:color w:val="B0C8D8"/>
                <w:sz w:val="24"/>
              </w:rPr>
              <w:t>Prepared for: BluePeak Technology</w:t>
            </w:r>
          </w:p>
          <w:p>
            <w:pPr>
              <w:spacing w:before="0" w:after="400"/>
              <w:jc w:val="center"/>
            </w:pPr>
            <w:r>
              <w:rPr>
                <w:color w:val="C8D8E8"/>
                <w:sz w:val="20"/>
              </w:rPr>
              <w:t>Date Prepared: March 18, 2026  |  Prepared by: Jamie Wahler</w:t>
            </w:r>
          </w:p>
        </w:tc>
      </w:tr>
    </w:tbl>
    <w:p/>
    <w:p>
      <w:pPr>
        <w:spacing w:before="600"/>
        <w:jc w:val="center"/>
      </w:pPr>
      <w:r>
        <w:rPr>
          <w:i/>
          <w:color w:val="888888"/>
          <w:sz w:val="18"/>
        </w:rPr>
        <w:t>CONFIDENTIAL — This report has been prepared exclusively for the use of BluePeak Technology by Waymark HR Group LLC. It may not be reproduced or distributed without prior written consent.</w:t>
      </w:r>
    </w:p>
    <w:p>
      <w:r>
        <w:br w:type="page"/>
      </w:r>
    </w:p>
    <w:p>
      <w:pPr>
        <w:spacing w:before="320" w:after="120"/>
        <w:pBdr>
          <w:bottom w:val="single" w:sz="6" w:space="4" w:color="007A87"/>
        </w:pBdr>
      </w:pPr>
      <w:r>
        <w:rPr>
          <w:b/>
          <w:color w:val="007A87"/>
          <w:sz w:val="22"/>
        </w:rPr>
        <w:t>EXECUTIVE SUMMARY</w:t>
      </w:r>
    </w:p>
    <w:p>
      <w:pPr>
        <w:spacing w:before="200" w:after="80"/>
      </w:pPr>
      <w:r>
        <w:rPr>
          <w:b/>
          <w:color w:val="1A3A5C"/>
          <w:sz w:val="22"/>
        </w:rPr>
        <w:t>Overview</w:t>
      </w:r>
    </w:p>
    <w:p>
      <w:pPr>
        <w:spacing w:before="0" w:after="140"/>
        <w:jc w:val="left"/>
      </w:pPr>
      <w:r>
        <w:rPr>
          <w:b w:val="0"/>
          <w:i w:val="0"/>
          <w:color w:val="2C2C2C"/>
          <w:sz w:val="21"/>
        </w:rPr>
        <w:t>Waymark HR Group LLC was engaged by BluePeak Technology to conduct a full review of existing HR policies and develop a comprehensive HR Policy Handbook. The engagement assessed current policy gaps, compliance risks, and alignment with Technology industry standards and applicable employment law.</w:t>
      </w:r>
    </w:p>
    <w:p>
      <w:pPr>
        <w:spacing w:before="200" w:after="80"/>
      </w:pPr>
      <w:r>
        <w:rPr>
          <w:b/>
          <w:color w:val="1A3A5C"/>
          <w:sz w:val="22"/>
        </w:rPr>
        <w:t>Key Findings</w:t>
      </w:r>
    </w:p>
    <w:p>
      <w:pPr>
        <w:pStyle w:val="ListBullet"/>
        <w:spacing w:after="80"/>
      </w:pPr>
      <w:r>
        <w:rPr>
          <w:color w:val="2C2C2C"/>
          <w:sz w:val="21"/>
        </w:rPr>
        <w:t>Multiple critical HR policies were absent or significantly outdated.</w:t>
      </w:r>
    </w:p>
    <w:p>
      <w:pPr>
        <w:pStyle w:val="ListBullet"/>
        <w:spacing w:after="80"/>
      </w:pPr>
      <w:r>
        <w:rPr>
          <w:color w:val="2C2C2C"/>
          <w:sz w:val="21"/>
        </w:rPr>
        <w:t>Existing policies were not consistently communicated or acknowledged by employees.</w:t>
      </w:r>
    </w:p>
    <w:p>
      <w:pPr>
        <w:pStyle w:val="ListBullet"/>
        <w:spacing w:after="80"/>
      </w:pPr>
      <w:r>
        <w:rPr>
          <w:color w:val="2C2C2C"/>
          <w:sz w:val="21"/>
        </w:rPr>
        <w:t>Several practices were identified as potential compliance risks under Technology regulations and applicable state law.</w:t>
      </w:r>
    </w:p>
    <w:p>
      <w:pPr>
        <w:pStyle w:val="ListBullet"/>
        <w:spacing w:after="80"/>
      </w:pPr>
      <w:r>
        <w:rPr>
          <w:color w:val="2C2C2C"/>
          <w:sz w:val="21"/>
        </w:rPr>
        <w:t>No formal policy review cycle was in place to ensure ongoing accuracy.</w:t>
      </w:r>
    </w:p>
    <w:p>
      <w:pPr>
        <w:spacing w:before="200" w:after="80"/>
      </w:pPr>
      <w:r>
        <w:rPr>
          <w:b/>
          <w:color w:val="1A3A5C"/>
          <w:sz w:val="22"/>
        </w:rPr>
        <w:t>Business Impact</w:t>
      </w:r>
    </w:p>
    <w:p>
      <w:pPr>
        <w:spacing w:before="0" w:after="140"/>
        <w:jc w:val="left"/>
      </w:pPr>
      <w:r>
        <w:rPr>
          <w:b w:val="0"/>
          <w:i w:val="0"/>
          <w:color w:val="2C2C2C"/>
          <w:sz w:val="21"/>
        </w:rPr>
        <w:t>Clear, compliant HR policies reduce legal exposure, establish consistent expectations, and support a fair and accountable workplace culture. The HR Policy Handbook delivered to BluePeak Technology provides a professionally structured framework aligned with current employment law requirements and Technology industry best practices.</w:t>
      </w:r>
    </w:p>
    <w:p>
      <w:r>
        <w:br w:type="page"/>
      </w:r>
    </w:p>
    <w:p>
      <w:pPr>
        <w:spacing w:before="320" w:after="120"/>
        <w:pBdr>
          <w:bottom w:val="single" w:sz="6" w:space="4" w:color="007A87"/>
        </w:pBdr>
      </w:pPr>
      <w:r>
        <w:rPr>
          <w:b/>
          <w:color w:val="007A87"/>
          <w:sz w:val="22"/>
        </w:rPr>
        <w:t>SERVICES DELIVERED</w:t>
      </w:r>
    </w:p>
    <w:p>
      <w:pPr>
        <w:spacing w:before="200" w:after="80"/>
      </w:pPr>
      <w:r>
        <w:rPr>
          <w:b/>
          <w:color w:val="1A3A5C"/>
          <w:sz w:val="22"/>
        </w:rPr>
        <w:t>Deliverables Completed</w:t>
      </w:r>
    </w:p>
    <w:p>
      <w:pPr>
        <w:pStyle w:val="ListBullet"/>
        <w:spacing w:after="80"/>
      </w:pPr>
      <w:r>
        <w:rPr>
          <w:b/>
          <w:color w:val="1A3A5C"/>
          <w:sz w:val="21"/>
        </w:rPr>
        <w:t xml:space="preserve">Policy Gap Assessment: </w:t>
      </w:r>
      <w:r>
        <w:rPr>
          <w:color w:val="2C2C2C"/>
          <w:sz w:val="21"/>
        </w:rPr>
        <w:t>Reviewed existing documentation to identify missing, outdated, or non-compliant HR policies.</w:t>
      </w:r>
    </w:p>
    <w:p>
      <w:pPr>
        <w:pStyle w:val="ListBullet"/>
        <w:spacing w:after="80"/>
      </w:pPr>
      <w:r>
        <w:rPr>
          <w:b/>
          <w:color w:val="1A3A5C"/>
          <w:sz w:val="21"/>
        </w:rPr>
        <w:t xml:space="preserve">HR Policy Handbook: </w:t>
      </w:r>
      <w:r>
        <w:rPr>
          <w:color w:val="2C2C2C"/>
          <w:sz w:val="21"/>
        </w:rPr>
        <w:t>Drafted a comprehensive, state-specific HR Policy Handbook covering 8 core policy areas.</w:t>
      </w:r>
    </w:p>
    <w:p>
      <w:pPr>
        <w:pStyle w:val="ListBullet"/>
        <w:spacing w:after="80"/>
      </w:pPr>
      <w:r>
        <w:rPr>
          <w:b/>
          <w:color w:val="1A3A5C"/>
          <w:sz w:val="21"/>
        </w:rPr>
        <w:t xml:space="preserve">EEO &amp; Anti-Harassment Policies: </w:t>
      </w:r>
      <w:r>
        <w:rPr>
          <w:color w:val="2C2C2C"/>
          <w:sz w:val="21"/>
        </w:rPr>
        <w:t>Developed compliant Equal Employment Opportunity and Anti-Harassment policies aligned with federal and state law.</w:t>
      </w:r>
    </w:p>
    <w:p>
      <w:pPr>
        <w:pStyle w:val="ListBullet"/>
        <w:spacing w:after="80"/>
      </w:pPr>
      <w:r>
        <w:rPr>
          <w:b/>
          <w:color w:val="1A3A5C"/>
          <w:sz w:val="21"/>
        </w:rPr>
        <w:t xml:space="preserve">Attendance &amp; PTO Policies: </w:t>
      </w:r>
      <w:r>
        <w:rPr>
          <w:color w:val="2C2C2C"/>
          <w:sz w:val="21"/>
        </w:rPr>
        <w:t>Drafted Attendance, Punctuality, and Paid Time Off policies tailored to the organization's needs.</w:t>
      </w:r>
    </w:p>
    <w:p>
      <w:pPr>
        <w:pStyle w:val="ListBullet"/>
        <w:spacing w:after="80"/>
      </w:pPr>
      <w:r>
        <w:rPr>
          <w:b/>
          <w:color w:val="1A3A5C"/>
          <w:sz w:val="21"/>
        </w:rPr>
        <w:t xml:space="preserve">Code of Conduct: </w:t>
      </w:r>
      <w:r>
        <w:rPr>
          <w:color w:val="2C2C2C"/>
          <w:sz w:val="21"/>
        </w:rPr>
        <w:t>Created a professional Code of Conduct establishing behavioral and ethical standards.</w:t>
      </w:r>
    </w:p>
    <w:p>
      <w:pPr>
        <w:pStyle w:val="ListBullet"/>
        <w:spacing w:after="80"/>
      </w:pPr>
      <w:r>
        <w:rPr>
          <w:b/>
          <w:color w:val="1A3A5C"/>
          <w:sz w:val="21"/>
        </w:rPr>
        <w:t xml:space="preserve">Compliance Review: </w:t>
      </w:r>
      <w:r>
        <w:rPr>
          <w:color w:val="2C2C2C"/>
          <w:sz w:val="21"/>
        </w:rPr>
        <w:t>Assessed policy content against applicable employment law requirements.</w:t>
      </w:r>
    </w:p>
    <w:p>
      <w:pPr>
        <w:spacing w:before="200" w:after="80"/>
      </w:pPr>
      <w:r>
        <w:rPr>
          <w:b/>
          <w:color w:val="1A3A5C"/>
          <w:sz w:val="22"/>
        </w:rPr>
        <w:t>Engagement Timeline</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A3A5C"/>
          </w:tcPr>
          <w:p>
            <w:pPr>
              <w:spacing w:before="80" w:after="80"/>
              <w:jc w:val="center"/>
            </w:pPr>
            <w:r>
              <w:rPr>
                <w:b/>
                <w:color w:val="FFFFFF"/>
                <w:sz w:val="20"/>
              </w:rPr>
              <w:t>Phase</w:t>
            </w:r>
          </w:p>
        </w:tc>
        <w:tc>
          <w:tcPr>
            <w:tcW w:type="dxa" w:w="4680"/>
            <w:shd w:val="clear" w:color="auto" w:fill="1A3A5C"/>
          </w:tcPr>
          <w:p>
            <w:pPr>
              <w:spacing w:before="80" w:after="80"/>
              <w:jc w:val="center"/>
            </w:pPr>
            <w:r>
              <w:rPr>
                <w:b/>
                <w:color w:val="FFFFFF"/>
                <w:sz w:val="20"/>
              </w:rPr>
              <w:t>Activities</w:t>
            </w:r>
          </w:p>
        </w:tc>
      </w:tr>
      <w:tr>
        <w:tc>
          <w:tcPr>
            <w:tcW w:type="dxa" w:w="4680"/>
            <w:shd w:val="clear" w:color="auto" w:fill="E8F4F6"/>
          </w:tcPr>
          <w:p>
            <w:pPr>
              <w:spacing w:before="60" w:after="60"/>
              <w:jc w:val="center"/>
            </w:pPr>
            <w:r>
              <w:rPr>
                <w:b/>
                <w:color w:val="1A3A5C"/>
                <w:sz w:val="20"/>
              </w:rPr>
              <w:t>Week 1</w:t>
            </w:r>
          </w:p>
        </w:tc>
        <w:tc>
          <w:tcPr>
            <w:tcW w:type="dxa" w:w="4680"/>
            <w:shd w:val="clear" w:color="auto" w:fill="FFFFFF"/>
          </w:tcPr>
          <w:p>
            <w:pPr>
              <w:spacing w:before="60" w:after="60"/>
            </w:pPr>
            <w:r>
              <w:rPr>
                <w:color w:val="2C2C2C"/>
                <w:sz w:val="20"/>
              </w:rPr>
              <w:t>Policy gap assessment and discovery</w:t>
            </w:r>
          </w:p>
        </w:tc>
      </w:tr>
      <w:tr>
        <w:tc>
          <w:tcPr>
            <w:tcW w:type="dxa" w:w="4680"/>
            <w:shd w:val="clear" w:color="auto" w:fill="E8F4F6"/>
          </w:tcPr>
          <w:p>
            <w:pPr>
              <w:spacing w:before="60" w:after="60"/>
              <w:jc w:val="center"/>
            </w:pPr>
            <w:r>
              <w:rPr>
                <w:b/>
                <w:color w:val="1A3A5C"/>
                <w:sz w:val="20"/>
              </w:rPr>
              <w:t>Week 2</w:t>
            </w:r>
          </w:p>
        </w:tc>
        <w:tc>
          <w:tcPr>
            <w:tcW w:type="dxa" w:w="4680"/>
            <w:shd w:val="clear" w:color="auto" w:fill="F4F6F8"/>
          </w:tcPr>
          <w:p>
            <w:pPr>
              <w:spacing w:before="60" w:after="60"/>
            </w:pPr>
            <w:r>
              <w:rPr>
                <w:color w:val="2C2C2C"/>
                <w:sz w:val="20"/>
              </w:rPr>
              <w:t>Policy drafting — EEO, harassment, attendance, PTO</w:t>
            </w:r>
          </w:p>
        </w:tc>
      </w:tr>
      <w:tr>
        <w:tc>
          <w:tcPr>
            <w:tcW w:type="dxa" w:w="4680"/>
            <w:shd w:val="clear" w:color="auto" w:fill="E8F4F6"/>
          </w:tcPr>
          <w:p>
            <w:pPr>
              <w:spacing w:before="60" w:after="60"/>
              <w:jc w:val="center"/>
            </w:pPr>
            <w:r>
              <w:rPr>
                <w:b/>
                <w:color w:val="1A3A5C"/>
                <w:sz w:val="20"/>
              </w:rPr>
              <w:t>Week 3</w:t>
            </w:r>
          </w:p>
        </w:tc>
        <w:tc>
          <w:tcPr>
            <w:tcW w:type="dxa" w:w="4680"/>
            <w:shd w:val="clear" w:color="auto" w:fill="FFFFFF"/>
          </w:tcPr>
          <w:p>
            <w:pPr>
              <w:spacing w:before="60" w:after="60"/>
            </w:pPr>
            <w:r>
              <w:rPr>
                <w:color w:val="2C2C2C"/>
                <w:sz w:val="20"/>
              </w:rPr>
              <w:t>Policy drafting — code of conduct, performance, social media, remote work</w:t>
            </w:r>
          </w:p>
        </w:tc>
      </w:tr>
      <w:tr>
        <w:tc>
          <w:tcPr>
            <w:tcW w:type="dxa" w:w="4680"/>
            <w:shd w:val="clear" w:color="auto" w:fill="E8F4F6"/>
          </w:tcPr>
          <w:p>
            <w:pPr>
              <w:spacing w:before="60" w:after="60"/>
              <w:jc w:val="center"/>
            </w:pPr>
            <w:r>
              <w:rPr>
                <w:b/>
                <w:color w:val="1A3A5C"/>
                <w:sz w:val="20"/>
              </w:rPr>
              <w:t>Week 4</w:t>
            </w:r>
          </w:p>
        </w:tc>
        <w:tc>
          <w:tcPr>
            <w:tcW w:type="dxa" w:w="4680"/>
            <w:shd w:val="clear" w:color="auto" w:fill="F4F6F8"/>
          </w:tcPr>
          <w:p>
            <w:pPr>
              <w:spacing w:before="60" w:after="60"/>
            </w:pPr>
            <w:r>
              <w:rPr>
                <w:color w:val="2C2C2C"/>
                <w:sz w:val="20"/>
              </w:rPr>
              <w:t>Review cycle, compliance check, and final handbook delivery</w:t>
            </w:r>
          </w:p>
        </w:tc>
      </w:tr>
    </w:tbl>
    <w:p/>
    <w:p>
      <w:pPr>
        <w:spacing w:before="200" w:after="80"/>
      </w:pPr>
      <w:r>
        <w:rPr>
          <w:b/>
          <w:color w:val="1A3A5C"/>
          <w:sz w:val="22"/>
        </w:rPr>
        <w:t>Tools &amp; Frameworks Used</w:t>
      </w:r>
    </w:p>
    <w:p>
      <w:pPr>
        <w:pStyle w:val="ListBullet"/>
        <w:spacing w:after="80"/>
      </w:pPr>
      <w:r>
        <w:rPr>
          <w:color w:val="2C2C2C"/>
          <w:sz w:val="21"/>
        </w:rPr>
        <w:t>Waymark Policy Generator (Python)</w:t>
      </w:r>
    </w:p>
    <w:p>
      <w:pPr>
        <w:pStyle w:val="ListBullet"/>
        <w:spacing w:after="80"/>
      </w:pPr>
      <w:r>
        <w:rPr>
          <w:color w:val="2C2C2C"/>
          <w:sz w:val="21"/>
        </w:rPr>
        <w:t>Federal and state employment law reference</w:t>
      </w:r>
    </w:p>
    <w:p>
      <w:pPr>
        <w:pStyle w:val="ListBullet"/>
        <w:spacing w:after="80"/>
      </w:pPr>
      <w:r>
        <w:rPr>
          <w:color w:val="2C2C2C"/>
          <w:sz w:val="21"/>
        </w:rPr>
        <w:t>SHRM policy framework</w:t>
      </w:r>
    </w:p>
    <w:p>
      <w:r>
        <w:br w:type="page"/>
      </w:r>
    </w:p>
    <w:p>
      <w:pPr>
        <w:spacing w:before="320" w:after="120"/>
        <w:pBdr>
          <w:bottom w:val="single" w:sz="6" w:space="4" w:color="007A87"/>
        </w:pBdr>
      </w:pPr>
      <w:r>
        <w:rPr>
          <w:b/>
          <w:color w:val="007A87"/>
          <w:sz w:val="22"/>
        </w:rPr>
        <w:t>KEY RECOMMENDATIONS</w:t>
      </w:r>
    </w:p>
    <w:p>
      <w:pPr>
        <w:spacing w:before="0" w:after="140"/>
        <w:jc w:val="left"/>
      </w:pPr>
      <w:r>
        <w:rPr>
          <w:b w:val="0"/>
          <w:i/>
          <w:color w:val="2C2C2C"/>
          <w:sz w:val="21"/>
        </w:rPr>
        <w:t>The following five recommendations are prioritized based on potential business impact and implementation effort. Each is rated on a High / Medium / Low scale.</w:t>
      </w:r>
    </w:p>
    <w:tbl>
      <w:tblPr>
        <w:tblStyle w:val="TableGrid"/>
        <w:tblW w:type="auto" w:w="0"/>
        <w:tblLook w:firstColumn="1" w:firstRow="1" w:lastColumn="0" w:lastRow="0" w:noHBand="0" w:noVBand="1" w:val="04A0"/>
      </w:tblPr>
      <w:tblGrid>
        <w:gridCol w:w="432"/>
        <w:gridCol w:w="4608"/>
        <w:gridCol w:w="1224"/>
        <w:gridCol w:w="1224"/>
        <w:gridCol w:w="1872"/>
      </w:tblGrid>
      <w:tr>
        <w:tc>
          <w:tcPr>
            <w:tcW w:type="dxa" w:w="1872"/>
            <w:shd w:val="clear" w:color="auto" w:fill="1A3A5C"/>
          </w:tcPr>
          <w:p>
            <w:pPr>
              <w:spacing w:before="80" w:after="80"/>
              <w:jc w:val="center"/>
            </w:pPr>
            <w:r>
              <w:rPr>
                <w:b/>
                <w:color w:val="FFFFFF"/>
                <w:sz w:val="20"/>
              </w:rPr>
              <w:t>#</w:t>
            </w:r>
          </w:p>
        </w:tc>
        <w:tc>
          <w:tcPr>
            <w:tcW w:type="dxa" w:w="1872"/>
            <w:shd w:val="clear" w:color="auto" w:fill="1A3A5C"/>
          </w:tcPr>
          <w:p>
            <w:pPr>
              <w:spacing w:before="80" w:after="80"/>
              <w:jc w:val="center"/>
            </w:pPr>
            <w:r>
              <w:rPr>
                <w:b/>
                <w:color w:val="FFFFFF"/>
                <w:sz w:val="20"/>
              </w:rPr>
              <w:t>Recommendation</w:t>
            </w:r>
          </w:p>
        </w:tc>
        <w:tc>
          <w:tcPr>
            <w:tcW w:type="dxa" w:w="1872"/>
            <w:shd w:val="clear" w:color="auto" w:fill="1A3A5C"/>
          </w:tcPr>
          <w:p>
            <w:pPr>
              <w:spacing w:before="80" w:after="80"/>
              <w:jc w:val="center"/>
            </w:pPr>
            <w:r>
              <w:rPr>
                <w:b/>
                <w:color w:val="FFFFFF"/>
                <w:sz w:val="20"/>
              </w:rPr>
              <w:t>Impact</w:t>
            </w:r>
          </w:p>
        </w:tc>
        <w:tc>
          <w:tcPr>
            <w:tcW w:type="dxa" w:w="1872"/>
            <w:shd w:val="clear" w:color="auto" w:fill="1A3A5C"/>
          </w:tcPr>
          <w:p>
            <w:pPr>
              <w:spacing w:before="80" w:after="80"/>
              <w:jc w:val="center"/>
            </w:pPr>
            <w:r>
              <w:rPr>
                <w:b/>
                <w:color w:val="FFFFFF"/>
                <w:sz w:val="20"/>
              </w:rPr>
              <w:t>Effort</w:t>
            </w:r>
          </w:p>
        </w:tc>
        <w:tc>
          <w:tcPr>
            <w:tcW w:type="dxa" w:w="1872"/>
            <w:shd w:val="clear" w:color="auto" w:fill="1A3A5C"/>
          </w:tcPr>
          <w:p>
            <w:pPr>
              <w:spacing w:before="80" w:after="80"/>
              <w:jc w:val="center"/>
            </w:pPr>
            <w:r>
              <w:rPr>
                <w:b/>
                <w:color w:val="FFFFFF"/>
                <w:sz w:val="20"/>
              </w:rPr>
              <w:t>Type</w:t>
            </w:r>
          </w:p>
        </w:tc>
      </w:tr>
      <w:tr>
        <w:tc>
          <w:tcPr>
            <w:tcW w:type="dxa" w:w="1872"/>
            <w:shd w:val="clear" w:color="auto" w:fill="FFFFFF"/>
          </w:tcPr>
          <w:p>
            <w:pPr>
              <w:spacing w:before="80" w:after="80"/>
              <w:jc w:val="center"/>
            </w:pPr>
            <w:r>
              <w:rPr>
                <w:b/>
                <w:color w:val="1A3A5C"/>
                <w:sz w:val="20"/>
              </w:rPr>
              <w:t>1</w:t>
            </w:r>
          </w:p>
        </w:tc>
        <w:tc>
          <w:tcPr>
            <w:tcW w:type="dxa" w:w="1872"/>
            <w:shd w:val="clear" w:color="auto" w:fill="FFFFFF"/>
          </w:tcPr>
          <w:p>
            <w:pPr>
              <w:spacing w:before="80" w:after="40"/>
            </w:pPr>
            <w:r>
              <w:rPr>
                <w:b/>
                <w:color w:val="1A3A5C"/>
                <w:sz w:val="20"/>
              </w:rPr>
              <w:t>Distribute and Obtain Signed Policy Acknowledgments</w:t>
              <w:br/>
            </w:r>
            <w:r>
              <w:rPr>
                <w:color w:val="2C2C2C"/>
                <w:sz w:val="19"/>
              </w:rPr>
              <w:t>Ensure all employees receive, read, and sign acknowledgment of the new HR Policy Handbook immediately.</w:t>
            </w:r>
          </w:p>
        </w:tc>
        <w:tc>
          <w:tcPr>
            <w:tcW w:type="dxa" w:w="1872"/>
            <w:shd w:val="clear" w:color="auto" w:fill="D6F0D6"/>
          </w:tcPr>
          <w:p>
            <w:pPr>
              <w:spacing w:before="80" w:after="80"/>
              <w:jc w:val="center"/>
            </w:pPr>
            <w:r>
              <w:rPr>
                <w:b/>
                <w:color w:val="2C2C2C"/>
                <w:sz w:val="20"/>
              </w:rPr>
              <w:t>High</w:t>
            </w:r>
          </w:p>
        </w:tc>
        <w:tc>
          <w:tcPr>
            <w:tcW w:type="dxa" w:w="1872"/>
            <w:shd w:val="clear" w:color="auto" w:fill="FFE0CC"/>
          </w:tcPr>
          <w:p>
            <w:pPr>
              <w:spacing w:before="80" w:after="80"/>
              <w:jc w:val="center"/>
            </w:pPr>
            <w:r>
              <w:rPr>
                <w:b/>
                <w:color w:val="2C2C2C"/>
                <w:sz w:val="20"/>
              </w:rPr>
              <w:t>Low</w:t>
            </w:r>
          </w:p>
        </w:tc>
        <w:tc>
          <w:tcPr>
            <w:tcW w:type="dxa" w:w="1872"/>
            <w:shd w:val="clear" w:color="auto" w:fill="D6F0D6"/>
          </w:tcPr>
          <w:p>
            <w:pPr>
              <w:spacing w:before="80" w:after="80"/>
              <w:jc w:val="center"/>
            </w:pPr>
            <w:r>
              <w:rPr>
                <w:b/>
                <w:color w:val="2C2C2C"/>
                <w:sz w:val="19"/>
              </w:rPr>
              <w:t>Quick Win</w:t>
            </w:r>
          </w:p>
        </w:tc>
      </w:tr>
      <w:tr>
        <w:tc>
          <w:tcPr>
            <w:tcW w:type="dxa" w:w="1872"/>
            <w:shd w:val="clear" w:color="auto" w:fill="F4F6F8"/>
          </w:tcPr>
          <w:p>
            <w:pPr>
              <w:spacing w:before="80" w:after="80"/>
              <w:jc w:val="center"/>
            </w:pPr>
            <w:r>
              <w:rPr>
                <w:b/>
                <w:color w:val="1A3A5C"/>
                <w:sz w:val="20"/>
              </w:rPr>
              <w:t>2</w:t>
            </w:r>
          </w:p>
        </w:tc>
        <w:tc>
          <w:tcPr>
            <w:tcW w:type="dxa" w:w="1872"/>
            <w:shd w:val="clear" w:color="auto" w:fill="F4F6F8"/>
          </w:tcPr>
          <w:p>
            <w:pPr>
              <w:spacing w:before="80" w:after="40"/>
            </w:pPr>
            <w:r>
              <w:rPr>
                <w:b/>
                <w:color w:val="1A3A5C"/>
                <w:sz w:val="20"/>
              </w:rPr>
              <w:t>Schedule Annual Policy Reviews</w:t>
              <w:br/>
            </w:r>
            <w:r>
              <w:rPr>
                <w:color w:val="2C2C2C"/>
                <w:sz w:val="19"/>
              </w:rPr>
              <w:t>Establish a formal calendar-based policy review process to keep documentation current with evolving law.</w:t>
            </w:r>
          </w:p>
        </w:tc>
        <w:tc>
          <w:tcPr>
            <w:tcW w:type="dxa" w:w="1872"/>
            <w:shd w:val="clear" w:color="auto" w:fill="D6F0D6"/>
          </w:tcPr>
          <w:p>
            <w:pPr>
              <w:spacing w:before="80" w:after="80"/>
              <w:jc w:val="center"/>
            </w:pPr>
            <w:r>
              <w:rPr>
                <w:b/>
                <w:color w:val="2C2C2C"/>
                <w:sz w:val="20"/>
              </w:rPr>
              <w:t>High</w:t>
            </w:r>
          </w:p>
        </w:tc>
        <w:tc>
          <w:tcPr>
            <w:tcW w:type="dxa" w:w="1872"/>
            <w:shd w:val="clear" w:color="auto" w:fill="FFE0CC"/>
          </w:tcPr>
          <w:p>
            <w:pPr>
              <w:spacing w:before="80" w:after="80"/>
              <w:jc w:val="center"/>
            </w:pPr>
            <w:r>
              <w:rPr>
                <w:b/>
                <w:color w:val="2C2C2C"/>
                <w:sz w:val="20"/>
              </w:rPr>
              <w:t>Low</w:t>
            </w:r>
          </w:p>
        </w:tc>
        <w:tc>
          <w:tcPr>
            <w:tcW w:type="dxa" w:w="1872"/>
            <w:shd w:val="clear" w:color="auto" w:fill="D6F0D6"/>
          </w:tcPr>
          <w:p>
            <w:pPr>
              <w:spacing w:before="80" w:after="80"/>
              <w:jc w:val="center"/>
            </w:pPr>
            <w:r>
              <w:rPr>
                <w:b/>
                <w:color w:val="2C2C2C"/>
                <w:sz w:val="19"/>
              </w:rPr>
              <w:t>Quick Win</w:t>
            </w:r>
          </w:p>
        </w:tc>
      </w:tr>
      <w:tr>
        <w:tc>
          <w:tcPr>
            <w:tcW w:type="dxa" w:w="1872"/>
            <w:shd w:val="clear" w:color="auto" w:fill="FFFFFF"/>
          </w:tcPr>
          <w:p>
            <w:pPr>
              <w:spacing w:before="80" w:after="80"/>
              <w:jc w:val="center"/>
            </w:pPr>
            <w:r>
              <w:rPr>
                <w:b/>
                <w:color w:val="1A3A5C"/>
                <w:sz w:val="20"/>
              </w:rPr>
              <w:t>3</w:t>
            </w:r>
          </w:p>
        </w:tc>
        <w:tc>
          <w:tcPr>
            <w:tcW w:type="dxa" w:w="1872"/>
            <w:shd w:val="clear" w:color="auto" w:fill="FFFFFF"/>
          </w:tcPr>
          <w:p>
            <w:pPr>
              <w:spacing w:before="80" w:after="40"/>
            </w:pPr>
            <w:r>
              <w:rPr>
                <w:b/>
                <w:color w:val="1A3A5C"/>
                <w:sz w:val="20"/>
              </w:rPr>
              <w:t>Conduct Manager-Level Policy Training</w:t>
              <w:br/>
            </w:r>
            <w:r>
              <w:rPr>
                <w:color w:val="2C2C2C"/>
                <w:sz w:val="19"/>
              </w:rPr>
              <w:t>Train all people managers on key policies — especially harassment, attendance, and performance — to ensure consistent enforcement.</w:t>
            </w:r>
          </w:p>
        </w:tc>
        <w:tc>
          <w:tcPr>
            <w:tcW w:type="dxa" w:w="1872"/>
            <w:shd w:val="clear" w:color="auto" w:fill="D6F0D6"/>
          </w:tcPr>
          <w:p>
            <w:pPr>
              <w:spacing w:before="80" w:after="80"/>
              <w:jc w:val="center"/>
            </w:pPr>
            <w:r>
              <w:rPr>
                <w:b/>
                <w:color w:val="2C2C2C"/>
                <w:sz w:val="20"/>
              </w:rPr>
              <w:t>High</w:t>
            </w:r>
          </w:p>
        </w:tc>
        <w:tc>
          <w:tcPr>
            <w:tcW w:type="dxa" w:w="1872"/>
            <w:shd w:val="clear" w:color="auto" w:fill="FFF3CD"/>
          </w:tcPr>
          <w:p>
            <w:pPr>
              <w:spacing w:before="80" w:after="80"/>
              <w:jc w:val="center"/>
            </w:pPr>
            <w:r>
              <w:rPr>
                <w:b/>
                <w:color w:val="2C2C2C"/>
                <w:sz w:val="20"/>
              </w:rPr>
              <w:t>Medium</w:t>
            </w:r>
          </w:p>
        </w:tc>
        <w:tc>
          <w:tcPr>
            <w:tcW w:type="dxa" w:w="1872"/>
            <w:shd w:val="clear" w:color="auto" w:fill="FFF3CD"/>
          </w:tcPr>
          <w:p>
            <w:pPr>
              <w:spacing w:before="80" w:after="80"/>
              <w:jc w:val="center"/>
            </w:pPr>
            <w:r>
              <w:rPr>
                <w:b/>
                <w:color w:val="2C2C2C"/>
                <w:sz w:val="19"/>
              </w:rPr>
              <w:t>Short-Term</w:t>
            </w:r>
          </w:p>
        </w:tc>
      </w:tr>
      <w:tr>
        <w:tc>
          <w:tcPr>
            <w:tcW w:type="dxa" w:w="1872"/>
            <w:shd w:val="clear" w:color="auto" w:fill="F4F6F8"/>
          </w:tcPr>
          <w:p>
            <w:pPr>
              <w:spacing w:before="80" w:after="80"/>
              <w:jc w:val="center"/>
            </w:pPr>
            <w:r>
              <w:rPr>
                <w:b/>
                <w:color w:val="1A3A5C"/>
                <w:sz w:val="20"/>
              </w:rPr>
              <w:t>4</w:t>
            </w:r>
          </w:p>
        </w:tc>
        <w:tc>
          <w:tcPr>
            <w:tcW w:type="dxa" w:w="1872"/>
            <w:shd w:val="clear" w:color="auto" w:fill="F4F6F8"/>
          </w:tcPr>
          <w:p>
            <w:pPr>
              <w:spacing w:before="80" w:after="40"/>
            </w:pPr>
            <w:r>
              <w:rPr>
                <w:b/>
                <w:color w:val="1A3A5C"/>
                <w:sz w:val="20"/>
              </w:rPr>
              <w:t>Implement a Digital Policy Distribution System</w:t>
              <w:br/>
            </w:r>
            <w:r>
              <w:rPr>
                <w:color w:val="2C2C2C"/>
                <w:sz w:val="19"/>
              </w:rPr>
              <w:t>Move policy acknowledgment and updates to a digital HR platform to ensure version control and audit trails.</w:t>
            </w:r>
          </w:p>
        </w:tc>
        <w:tc>
          <w:tcPr>
            <w:tcW w:type="dxa" w:w="1872"/>
            <w:shd w:val="clear" w:color="auto" w:fill="FFF3CD"/>
          </w:tcPr>
          <w:p>
            <w:pPr>
              <w:spacing w:before="80" w:after="80"/>
              <w:jc w:val="center"/>
            </w:pPr>
            <w:r>
              <w:rPr>
                <w:b/>
                <w:color w:val="2C2C2C"/>
                <w:sz w:val="20"/>
              </w:rPr>
              <w:t>Medium</w:t>
            </w:r>
          </w:p>
        </w:tc>
        <w:tc>
          <w:tcPr>
            <w:tcW w:type="dxa" w:w="1872"/>
            <w:shd w:val="clear" w:color="auto" w:fill="FFF3CD"/>
          </w:tcPr>
          <w:p>
            <w:pPr>
              <w:spacing w:before="80" w:after="80"/>
              <w:jc w:val="center"/>
            </w:pPr>
            <w:r>
              <w:rPr>
                <w:b/>
                <w:color w:val="2C2C2C"/>
                <w:sz w:val="20"/>
              </w:rPr>
              <w:t>Medium</w:t>
            </w:r>
          </w:p>
        </w:tc>
        <w:tc>
          <w:tcPr>
            <w:tcW w:type="dxa" w:w="1872"/>
            <w:shd w:val="clear" w:color="auto" w:fill="FFF3CD"/>
          </w:tcPr>
          <w:p>
            <w:pPr>
              <w:spacing w:before="80" w:after="80"/>
              <w:jc w:val="center"/>
            </w:pPr>
            <w:r>
              <w:rPr>
                <w:b/>
                <w:color w:val="2C2C2C"/>
                <w:sz w:val="19"/>
              </w:rPr>
              <w:t>Short-Term</w:t>
            </w:r>
          </w:p>
        </w:tc>
      </w:tr>
      <w:tr>
        <w:tc>
          <w:tcPr>
            <w:tcW w:type="dxa" w:w="1872"/>
            <w:shd w:val="clear" w:color="auto" w:fill="FFFFFF"/>
          </w:tcPr>
          <w:p>
            <w:pPr>
              <w:spacing w:before="80" w:after="80"/>
              <w:jc w:val="center"/>
            </w:pPr>
            <w:r>
              <w:rPr>
                <w:b/>
                <w:color w:val="1A3A5C"/>
                <w:sz w:val="20"/>
              </w:rPr>
              <w:t>5</w:t>
            </w:r>
          </w:p>
        </w:tc>
        <w:tc>
          <w:tcPr>
            <w:tcW w:type="dxa" w:w="1872"/>
            <w:shd w:val="clear" w:color="auto" w:fill="FFFFFF"/>
          </w:tcPr>
          <w:p>
            <w:pPr>
              <w:spacing w:before="80" w:after="40"/>
            </w:pPr>
            <w:r>
              <w:rPr>
                <w:b/>
                <w:color w:val="1A3A5C"/>
                <w:sz w:val="20"/>
              </w:rPr>
              <w:t>Develop a Whistleblower &amp; Reporting Mechanism</w:t>
              <w:br/>
            </w:r>
            <w:r>
              <w:rPr>
                <w:color w:val="2C2C2C"/>
                <w:sz w:val="19"/>
              </w:rPr>
              <w:t>Establish a confidential reporting channel for policy violations and workplace concerns.</w:t>
            </w:r>
          </w:p>
        </w:tc>
        <w:tc>
          <w:tcPr>
            <w:tcW w:type="dxa" w:w="1872"/>
            <w:shd w:val="clear" w:color="auto" w:fill="D6F0D6"/>
          </w:tcPr>
          <w:p>
            <w:pPr>
              <w:spacing w:before="80" w:after="80"/>
              <w:jc w:val="center"/>
            </w:pPr>
            <w:r>
              <w:rPr>
                <w:b/>
                <w:color w:val="2C2C2C"/>
                <w:sz w:val="20"/>
              </w:rPr>
              <w:t>High</w:t>
            </w:r>
          </w:p>
        </w:tc>
        <w:tc>
          <w:tcPr>
            <w:tcW w:type="dxa" w:w="1872"/>
            <w:shd w:val="clear" w:color="auto" w:fill="FFF3CD"/>
          </w:tcPr>
          <w:p>
            <w:pPr>
              <w:spacing w:before="80" w:after="80"/>
              <w:jc w:val="center"/>
            </w:pPr>
            <w:r>
              <w:rPr>
                <w:b/>
                <w:color w:val="2C2C2C"/>
                <w:sz w:val="20"/>
              </w:rPr>
              <w:t>Medium</w:t>
            </w:r>
          </w:p>
        </w:tc>
        <w:tc>
          <w:tcPr>
            <w:tcW w:type="dxa" w:w="1872"/>
            <w:shd w:val="clear" w:color="auto" w:fill="FFE0CC"/>
          </w:tcPr>
          <w:p>
            <w:pPr>
              <w:spacing w:before="80" w:after="80"/>
              <w:jc w:val="center"/>
            </w:pPr>
            <w:r>
              <w:rPr>
                <w:b/>
                <w:color w:val="2C2C2C"/>
                <w:sz w:val="19"/>
              </w:rPr>
              <w:t>Long-Term Investment</w:t>
            </w:r>
          </w:p>
        </w:tc>
      </w:tr>
    </w:tbl>
    <w:p/>
    <w:p>
      <w:r>
        <w:br w:type="page"/>
      </w:r>
    </w:p>
    <w:p>
      <w:pPr>
        <w:spacing w:before="320" w:after="120"/>
        <w:pBdr>
          <w:bottom w:val="single" w:sz="6" w:space="4" w:color="007A87"/>
        </w:pBdr>
      </w:pPr>
      <w:r>
        <w:rPr>
          <w:b/>
          <w:color w:val="007A87"/>
          <w:sz w:val="22"/>
        </w:rPr>
        <w:t>NEXT STEPS &amp; 30/60/90-DAY ACTION PLAN</w:t>
      </w:r>
    </w:p>
    <w:p>
      <w:pPr>
        <w:spacing w:before="200" w:after="80"/>
      </w:pPr>
      <w:r>
        <w:rPr>
          <w:b/>
          <w:color w:val="1A3A5C"/>
          <w:sz w:val="22"/>
        </w:rPr>
        <w:t>Proposed Follow-On Services</w:t>
      </w:r>
    </w:p>
    <w:p>
      <w:pPr>
        <w:spacing w:before="0" w:after="140"/>
        <w:jc w:val="left"/>
      </w:pPr>
      <w:r>
        <w:rPr>
          <w:b w:val="0"/>
          <w:i w:val="0"/>
          <w:color w:val="2C2C2C"/>
          <w:sz w:val="21"/>
        </w:rPr>
        <w:t>Based on the findings and outcomes of this engagement, Waymark HR Group LLC recommends the following follow-on services to continue building BluePeak Technology's HR capability:</w:t>
      </w:r>
    </w:p>
    <w:p>
      <w:pPr>
        <w:pStyle w:val="ListBullet"/>
        <w:spacing w:after="80"/>
      </w:pPr>
      <w:r>
        <w:rPr>
          <w:color w:val="2C2C2C"/>
          <w:sz w:val="21"/>
        </w:rPr>
        <w:t>Manager training on policy enforcement and documentation</w:t>
      </w:r>
    </w:p>
    <w:p>
      <w:pPr>
        <w:pStyle w:val="ListBullet"/>
        <w:spacing w:after="80"/>
      </w:pPr>
      <w:r>
        <w:rPr>
          <w:color w:val="2C2C2C"/>
          <w:sz w:val="21"/>
        </w:rPr>
        <w:t>Employee handbook digital distribution and acknowledgment tracking</w:t>
      </w:r>
    </w:p>
    <w:p>
      <w:pPr>
        <w:pStyle w:val="ListBullet"/>
        <w:spacing w:after="80"/>
      </w:pPr>
      <w:r>
        <w:rPr>
          <w:color w:val="2C2C2C"/>
          <w:sz w:val="21"/>
        </w:rPr>
        <w:t>Workforce analytics engagement to identify retention and compensation risks</w:t>
      </w:r>
    </w:p>
    <w:p>
      <w:pPr>
        <w:pStyle w:val="ListBullet"/>
        <w:spacing w:after="80"/>
      </w:pPr>
      <w:r>
        <w:rPr>
          <w:color w:val="2C2C2C"/>
          <w:sz w:val="21"/>
        </w:rPr>
        <w:t>Annual compliance review to keep policies current with legal changes</w:t>
      </w:r>
    </w:p>
    <w:p>
      <w:pPr>
        <w:spacing w:before="200" w:after="80"/>
      </w:pPr>
      <w:r>
        <w:rPr>
          <w:b/>
          <w:color w:val="1A3A5C"/>
          <w:sz w:val="22"/>
        </w:rPr>
        <w:t>30/60/90-Day Action Plan</w:t>
      </w:r>
    </w:p>
    <w:p>
      <w:pPr>
        <w:spacing w:before="160" w:after="60"/>
      </w:pPr>
      <w:r>
        <w:rPr>
          <w:b/>
          <w:color w:val="007A87"/>
          <w:sz w:val="21"/>
        </w:rPr>
        <w:t>30 Days</w:t>
      </w:r>
    </w:p>
    <w:p>
      <w:pPr>
        <w:pStyle w:val="ListBullet"/>
        <w:spacing w:after="80"/>
      </w:pPr>
      <w:r>
        <w:rPr>
          <w:color w:val="2C2C2C"/>
          <w:sz w:val="21"/>
        </w:rPr>
        <w:t>Distribute HR Policy Handbook to all employees</w:t>
      </w:r>
    </w:p>
    <w:p>
      <w:pPr>
        <w:pStyle w:val="ListBullet"/>
        <w:spacing w:after="80"/>
      </w:pPr>
      <w:r>
        <w:rPr>
          <w:color w:val="2C2C2C"/>
          <w:sz w:val="21"/>
        </w:rPr>
        <w:t>Collect signed acknowledgments from all staff</w:t>
      </w:r>
    </w:p>
    <w:p>
      <w:pPr>
        <w:pStyle w:val="ListBullet"/>
        <w:spacing w:after="80"/>
      </w:pPr>
      <w:r>
        <w:rPr>
          <w:color w:val="2C2C2C"/>
          <w:sz w:val="21"/>
        </w:rPr>
        <w:t>Brief managers on key policy updates and enforcement expectations</w:t>
      </w:r>
    </w:p>
    <w:p>
      <w:pPr>
        <w:pStyle w:val="ListBullet"/>
        <w:spacing w:after="80"/>
      </w:pPr>
      <w:r>
        <w:rPr>
          <w:color w:val="2C2C2C"/>
          <w:sz w:val="21"/>
        </w:rPr>
        <w:t>Post policies on company intranet or shared drive</w:t>
      </w:r>
    </w:p>
    <w:p>
      <w:pPr>
        <w:spacing w:before="160" w:after="60"/>
      </w:pPr>
      <w:r>
        <w:rPr>
          <w:b/>
          <w:color w:val="007A87"/>
          <w:sz w:val="21"/>
        </w:rPr>
        <w:t>60 Days</w:t>
      </w:r>
    </w:p>
    <w:p>
      <w:pPr>
        <w:pStyle w:val="ListBullet"/>
        <w:spacing w:after="80"/>
      </w:pPr>
      <w:r>
        <w:rPr>
          <w:color w:val="2C2C2C"/>
          <w:sz w:val="21"/>
        </w:rPr>
        <w:t>Conduct manager policy training sessions</w:t>
      </w:r>
    </w:p>
    <w:p>
      <w:pPr>
        <w:pStyle w:val="ListBullet"/>
        <w:spacing w:after="80"/>
      </w:pPr>
      <w:r>
        <w:rPr>
          <w:color w:val="2C2C2C"/>
          <w:sz w:val="21"/>
        </w:rPr>
        <w:t>Confirm 100% acknowledgment receipt from all employees</w:t>
      </w:r>
    </w:p>
    <w:p>
      <w:pPr>
        <w:pStyle w:val="ListBullet"/>
        <w:spacing w:after="80"/>
      </w:pPr>
      <w:r>
        <w:rPr>
          <w:color w:val="2C2C2C"/>
          <w:sz w:val="21"/>
        </w:rPr>
        <w:t>Address any employee questions or policy clarifications</w:t>
      </w:r>
    </w:p>
    <w:p>
      <w:pPr>
        <w:pStyle w:val="ListBullet"/>
        <w:spacing w:after="80"/>
      </w:pPr>
      <w:r>
        <w:rPr>
          <w:color w:val="2C2C2C"/>
          <w:sz w:val="21"/>
        </w:rPr>
        <w:t>Begin evaluation of digital policy management platforms</w:t>
      </w:r>
    </w:p>
    <w:p>
      <w:pPr>
        <w:spacing w:before="160" w:after="60"/>
      </w:pPr>
      <w:r>
        <w:rPr>
          <w:b/>
          <w:color w:val="007A87"/>
          <w:sz w:val="21"/>
        </w:rPr>
        <w:t>90 Days</w:t>
      </w:r>
    </w:p>
    <w:p>
      <w:pPr>
        <w:pStyle w:val="ListBullet"/>
        <w:spacing w:after="80"/>
      </w:pPr>
      <w:r>
        <w:rPr>
          <w:color w:val="2C2C2C"/>
          <w:sz w:val="21"/>
        </w:rPr>
        <w:t>Establish annual policy review calendar</w:t>
      </w:r>
    </w:p>
    <w:p>
      <w:pPr>
        <w:pStyle w:val="ListBullet"/>
        <w:spacing w:after="80"/>
      </w:pPr>
      <w:r>
        <w:rPr>
          <w:color w:val="2C2C2C"/>
          <w:sz w:val="21"/>
        </w:rPr>
        <w:t>Assess policy adherence and any early compliance issues</w:t>
      </w:r>
    </w:p>
    <w:p>
      <w:pPr>
        <w:pStyle w:val="ListBullet"/>
        <w:spacing w:after="80"/>
      </w:pPr>
      <w:r>
        <w:rPr>
          <w:color w:val="2C2C2C"/>
          <w:sz w:val="21"/>
        </w:rPr>
        <w:t>Develop a whistleblower and reporting mechanism</w:t>
      </w:r>
    </w:p>
    <w:p>
      <w:pPr>
        <w:pStyle w:val="ListBullet"/>
        <w:spacing w:after="80"/>
      </w:pPr>
      <w:r>
        <w:rPr>
          <w:color w:val="2C2C2C"/>
          <w:sz w:val="21"/>
        </w:rPr>
        <w:t>Plan next HR engagement (workforce analytics recommended)</w:t>
      </w:r>
    </w:p>
    <w:p>
      <w:r>
        <w:br w:type="page"/>
      </w:r>
    </w:p>
    <w:p>
      <w:pPr>
        <w:spacing w:before="320" w:after="120"/>
        <w:pBdr>
          <w:bottom w:val="single" w:sz="6" w:space="4" w:color="007A87"/>
        </w:pBdr>
      </w:pPr>
      <w:r>
        <w:rPr>
          <w:b/>
          <w:color w:val="007A87"/>
          <w:sz w:val="22"/>
        </w:rPr>
        <w:t>CLOSING</w:t>
      </w:r>
    </w:p>
    <w:p>
      <w:pPr>
        <w:spacing w:before="0" w:after="200"/>
        <w:jc w:val="left"/>
      </w:pPr>
      <w:r>
        <w:rPr>
          <w:b/>
          <w:i w:val="0"/>
          <w:color w:val="2C2C2C"/>
          <w:sz w:val="21"/>
        </w:rPr>
        <w:t>Dear BluePeak Technology Team,</w:t>
      </w:r>
    </w:p>
    <w:p>
      <w:pPr>
        <w:spacing w:before="0" w:after="200"/>
        <w:jc w:val="left"/>
      </w:pPr>
      <w:r>
        <w:rPr>
          <w:b w:val="0"/>
          <w:i w:val="0"/>
          <w:color w:val="2C2C2C"/>
          <w:sz w:val="21"/>
        </w:rPr>
        <w:t>On behalf of everyone at Waymark HR Group LLC, thank you for the opportunity to support your organization through this engagement. It has been a privilege to work alongside your team, and we are proud of the work we have accomplished together.</w:t>
      </w:r>
    </w:p>
    <w:p>
      <w:pPr>
        <w:spacing w:before="0" w:after="200"/>
        <w:jc w:val="left"/>
      </w:pPr>
      <w:r>
        <w:rPr>
          <w:b w:val="0"/>
          <w:i w:val="0"/>
          <w:color w:val="2C2C2C"/>
          <w:sz w:val="21"/>
        </w:rPr>
        <w:t>The deliverables contained in this report represent a meaningful investment in your people and your organization's future. We are confident that implementing the recommendations outlined here will strengthen your HR function, reduce risk, and create a better experience for your employees.</w:t>
      </w:r>
    </w:p>
    <w:p>
      <w:pPr>
        <w:spacing w:before="0" w:after="200"/>
        <w:jc w:val="left"/>
      </w:pPr>
      <w:r>
        <w:rPr>
          <w:b w:val="0"/>
          <w:i w:val="0"/>
          <w:color w:val="2C2C2C"/>
          <w:sz w:val="21"/>
        </w:rPr>
        <w:t>We remain committed to your success beyond this engagement. Whether you need support implementing these recommendations, have questions about the deliverables, or are ready to begin the next phase of your HR journey, our team is here to help.</w:t>
      </w:r>
    </w:p>
    <w:p>
      <w:pPr>
        <w:spacing w:before="0" w:after="200"/>
        <w:jc w:val="left"/>
      </w:pPr>
      <w:r>
        <w:rPr>
          <w:b w:val="0"/>
          <w:i w:val="0"/>
          <w:color w:val="2C2C2C"/>
          <w:sz w:val="21"/>
        </w:rPr>
        <w:t>Please do not hesitate to reach out at any time. We look forward to continuing to be a trusted partner for your organization.</w:t>
      </w:r>
    </w:p>
    <w:p>
      <w:pPr>
        <w:spacing w:before="0" w:after="40"/>
        <w:jc w:val="left"/>
      </w:pPr>
      <w:r>
        <w:rPr>
          <w:b w:val="0"/>
          <w:i w:val="0"/>
          <w:color w:val="2C2C2C"/>
          <w:sz w:val="21"/>
        </w:rPr>
        <w:t>Warm regards,</w:t>
      </w:r>
    </w:p>
    <w:p>
      <w:pPr>
        <w:spacing w:before="0" w:after="40"/>
        <w:jc w:val="left"/>
      </w:pPr>
      <w:r>
        <w:rPr>
          <w:b/>
          <w:i w:val="0"/>
          <w:color w:val="2C2C2C"/>
          <w:sz w:val="21"/>
        </w:rPr>
        <w:t>Jamie Wahler</w:t>
      </w:r>
    </w:p>
    <w:p>
      <w:pPr>
        <w:spacing w:before="0" w:after="40"/>
        <w:jc w:val="left"/>
      </w:pPr>
      <w:r>
        <w:rPr>
          <w:b w:val="0"/>
          <w:i w:val="0"/>
          <w:color w:val="2C2C2C"/>
          <w:sz w:val="21"/>
        </w:rPr>
        <w:t>Waymark HR Group LLC</w:t>
      </w:r>
    </w:p>
    <w:p/>
    <w:tbl>
      <w:tblPr>
        <w:tblW w:type="auto" w:w="0"/>
        <w:tblLook w:firstColumn="1" w:firstRow="1" w:lastColumn="0" w:lastRow="0" w:noHBand="0" w:noVBand="1" w:val="04A0"/>
      </w:tblPr>
      <w:tblGrid>
        <w:gridCol w:w="9360"/>
      </w:tblGrid>
      <w:tr>
        <w:tc>
          <w:tcPr>
            <w:tcW w:type="dxa" w:w="9360"/>
            <w:shd w:val="clear" w:color="auto" w:fill="F4F6F8"/>
          </w:tcPr>
          <w:p>
            <w:pPr>
              <w:spacing w:before="120" w:after="60"/>
            </w:pPr>
            <w:r>
              <w:rPr>
                <w:b/>
                <w:color w:val="1A3A5C"/>
                <w:sz w:val="21"/>
              </w:rPr>
              <w:t xml:space="preserve">Phone:  </w:t>
            </w:r>
            <w:r>
              <w:rPr>
                <w:color w:val="007A87"/>
                <w:sz w:val="21"/>
              </w:rPr>
              <w:t>716-225-6347</w:t>
            </w:r>
          </w:p>
          <w:p>
            <w:pPr>
              <w:spacing w:before="60" w:after="60"/>
            </w:pPr>
            <w:r>
              <w:rPr>
                <w:b/>
                <w:color w:val="1A3A5C"/>
                <w:sz w:val="21"/>
              </w:rPr>
              <w:t xml:space="preserve">Email:  </w:t>
            </w:r>
            <w:r>
              <w:rPr>
                <w:color w:val="007A87"/>
                <w:sz w:val="21"/>
              </w:rPr>
              <w:t>Jamie.Wahler@waymarkhrgroup.com</w:t>
            </w:r>
          </w:p>
          <w:p>
            <w:pPr>
              <w:spacing w:before="60" w:after="60"/>
            </w:pPr>
            <w:r>
              <w:rPr>
                <w:b/>
                <w:color w:val="1A3A5C"/>
                <w:sz w:val="21"/>
              </w:rPr>
              <w:t xml:space="preserve">Website:  </w:t>
            </w:r>
            <w:r>
              <w:rPr>
                <w:color w:val="007A87"/>
                <w:sz w:val="21"/>
              </w:rPr>
              <w:t>www.waymarkhrgroup.com</w:t>
            </w:r>
          </w:p>
          <w:p>
            <w:pPr>
              <w:spacing w:before="60" w:after="200"/>
            </w:pPr>
            <w:r>
              <w:rPr>
                <w:b/>
                <w:color w:val="1A3A5C"/>
                <w:sz w:val="21"/>
              </w:rPr>
              <w:t xml:space="preserve">Address:  </w:t>
            </w:r>
            <w:r>
              <w:rPr>
                <w:color w:val="007A87"/>
                <w:sz w:val="21"/>
              </w:rPr>
              <w:t>Buffalo, NY</w:t>
            </w:r>
          </w:p>
        </w:tc>
      </w:tr>
    </w:tbl>
    <w:p/>
    <w:p>
      <w:pPr>
        <w:spacing w:before="0" w:after="80"/>
        <w:jc w:val="left"/>
      </w:pPr>
      <w:r>
        <w:rPr>
          <w:b w:val="0"/>
          <w:i/>
          <w:color w:val="2C2C2C"/>
          <w:sz w:val="21"/>
        </w:rPr>
        <w:t>This report is confidential and intended solely for the use of the named client. © 2026 Waymark HR Group LLC. All rights reserved.</w:t>
      </w:r>
    </w:p>
    <w:sectPr w:rsidR="00FC693F" w:rsidRPr="0006063C" w:rsidSect="00034616">
      <w:headerReference w:type="default" r:id="rId9"/>
      <w:footerReference w:type="default" r:id="rId10"/>
      <w:pgSz w:w="12240" w:h="15840"/>
      <w:pgMar w:top="1584"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jc w:val="center"/>
      <w:pBdr>
        <w:top w:val="single" w:sz="4" w:space="1" w:color="007A87"/>
      </w:pBdr>
    </w:pPr>
    <w:r>
      <w:rPr>
        <w:color w:val="888888"/>
        <w:sz w:val="16"/>
      </w:rPr>
      <w:t>Waymark HR Group LLC  |  Jamie Wahler  |  716-225-6347  |  Jamie.Wahler@waymarkhrgroup.com</w:t>
    </w:r>
  </w:p>
  <w:p>
    <w:pPr>
      <w:spacing w:before="0"/>
      <w:jc w:val="center"/>
    </w:pPr>
    <w:r>
      <w:rPr>
        <w:color w:val="888888"/>
        <w:sz w:val="16"/>
      </w:rPr>
      <w:t xml:space="preserve">Page </w:t>
    </w:r>
    <w:r>
      <w:rPr>
        <w:color w:val="888888"/>
        <w:sz w:val="16"/>
      </w:rPr>
      <w:fldChar w:fldCharType="begin"/>
      <w:instrText>PAGE</w:instrText>
      <w:fldChar w:fldCharType="end"/>
    </w:r>
    <w:r>
      <w:rPr>
        <w:color w:val="888888"/>
        <w:sz w:val="16"/>
      </w:rPr>
      <w:t xml:space="preserve"> of </w:t>
    </w:r>
    <w:r>
      <w:rPr>
        <w:color w:val="888888"/>
        <w:sz w:val="16"/>
      </w:rPr>
      <w:fldChar w:fldCharType="begin"/>
      <w:instrText>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80"/>
      <w:jc w:val="left"/>
      <w:pBdr>
        <w:bottom w:val="single" w:sz="4" w:space="4" w:color="1A3A5C"/>
      </w:pBdr>
    </w:pPr>
    <w:r>
      <w:drawing>
        <wp:inline xmlns:a="http://schemas.openxmlformats.org/drawingml/2006/main" xmlns:pic="http://schemas.openxmlformats.org/drawingml/2006/picture">
          <wp:extent cx="411480" cy="411480"/>
          <wp:docPr id="1" name="Picture 1"/>
          <wp:cNvGraphicFramePr>
            <a:graphicFrameLocks noChangeAspect="1"/>
          </wp:cNvGraphicFramePr>
          <a:graphic>
            <a:graphicData uri="http://schemas.openxmlformats.org/drawingml/2006/picture">
              <pic:pic>
                <pic:nvPicPr>
                  <pic:cNvPr id="0" name="Waymark_HR_Group_Logo_Full.png"/>
                  <pic:cNvPicPr/>
                </pic:nvPicPr>
                <pic:blipFill>
                  <a:blip r:embed="rId1"/>
                  <a:stretch>
                    <a:fillRect/>
                  </a:stretch>
                </pic:blipFill>
                <pic:spPr>
                  <a:xfrm>
                    <a:off x="0" y="0"/>
                    <a:ext cx="411480" cy="41148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