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drawing>
          <wp:inline xmlns:a="http://schemas.openxmlformats.org/drawingml/2006/main" xmlns:pic="http://schemas.openxmlformats.org/drawingml/2006/picture">
            <wp:extent cx="2743200" cy="2743200"/>
            <wp:docPr id="1" name="Picture 1"/>
            <wp:cNvGraphicFramePr>
              <a:graphicFrameLocks noChangeAspect="1"/>
            </wp:cNvGraphicFramePr>
            <a:graphic>
              <a:graphicData uri="http://schemas.openxmlformats.org/drawingml/2006/picture">
                <pic:pic>
                  <pic:nvPicPr>
                    <pic:cNvPr id="0" name="Waymark_HR_Group_Logo_Full.png"/>
                    <pic:cNvPicPr/>
                  </pic:nvPicPr>
                  <pic:blipFill>
                    <a:blip r:embed="rId10"/>
                    <a:stretch>
                      <a:fillRect/>
                    </a:stretch>
                  </pic:blipFill>
                  <pic:spPr>
                    <a:xfrm>
                      <a:off x="0" y="0"/>
                      <a:ext cx="2743200" cy="2743200"/>
                    </a:xfrm>
                    <a:prstGeom prst="rect"/>
                  </pic:spPr>
                </pic:pic>
              </a:graphicData>
            </a:graphic>
          </wp:inline>
        </w:drawing>
      </w:r>
    </w:p>
    <w:tbl>
      <w:tblPr>
        <w:tblW w:type="auto" w:w="0"/>
        <w:jc w:val="center"/>
        <w:tblLook w:firstColumn="1" w:firstRow="1" w:lastColumn="0" w:lastRow="0" w:noHBand="0" w:noVBand="1" w:val="04A0"/>
      </w:tblPr>
      <w:tblGrid>
        <w:gridCol w:w="9360"/>
      </w:tblGrid>
      <w:tr>
        <w:tc>
          <w:tcPr>
            <w:tcW w:type="dxa" w:w="9360"/>
            <w:shd w:val="clear" w:color="auto" w:fill="1A3A5C"/>
          </w:tcPr>
          <w:p>
            <w:pPr>
              <w:spacing w:before="240" w:after="40"/>
              <w:jc w:val="center"/>
            </w:pPr>
            <w:r>
              <w:rPr>
                <w:b/>
                <w:color w:val="FFFFFF"/>
                <w:sz w:val="32"/>
              </w:rPr>
              <w:t>HR POLICY HANDBOOK</w:t>
            </w:r>
          </w:p>
          <w:p>
            <w:pPr>
              <w:spacing w:before="0" w:after="40"/>
              <w:jc w:val="center"/>
            </w:pPr>
            <w:r>
              <w:rPr>
                <w:color w:val="B0C8D8"/>
                <w:sz w:val="24"/>
              </w:rPr>
              <w:t>Acme Logistics</w:t>
            </w:r>
          </w:p>
          <w:p>
            <w:pPr>
              <w:spacing w:before="0" w:after="240"/>
              <w:jc w:val="center"/>
            </w:pPr>
            <w:r>
              <w:rPr>
                <w:color w:val="C8D8E8"/>
                <w:sz w:val="18"/>
              </w:rPr>
              <w:t>Effective Date: March 18, 2026  |  Prepared by Waymark HR Group LLC</w:t>
            </w:r>
          </w:p>
        </w:tc>
      </w:tr>
    </w:tbl>
    <w:p/>
    <w:p>
      <w:pPr>
        <w:spacing w:before="200" w:after="60"/>
        <w:pBdr>
          <w:bottom w:val="single" w:sz="4" w:space="4" w:color="007A87"/>
        </w:pBdr>
      </w:pPr>
      <w:r>
        <w:rPr>
          <w:b/>
          <w:color w:val="007A87"/>
          <w:sz w:val="20"/>
        </w:rPr>
        <w:t>INTRODUCTION</w:t>
      </w:r>
    </w:p>
    <w:p>
      <w:pPr>
        <w:spacing w:before="0" w:after="120"/>
        <w:jc w:val="left"/>
      </w:pPr>
      <w:r>
        <w:rPr>
          <w:b w:val="0"/>
          <w:i w:val="0"/>
          <w:color w:val="2C2C2C"/>
          <w:sz w:val="21"/>
        </w:rPr>
        <w:t>This HR Policy Handbook has been prepared for Acme Logistics, a Logistics organization with approximately 50 employees operating in the state of Ohio. It establishes the standards, expectations, and guidelines that govern the employment relationship and workplace conduct for all employees.</w:t>
      </w:r>
    </w:p>
    <w:p>
      <w:pPr>
        <w:spacing w:before="0" w:after="120"/>
        <w:jc w:val="left"/>
      </w:pPr>
      <w:r>
        <w:rPr>
          <w:b w:val="0"/>
          <w:i w:val="0"/>
          <w:color w:val="2C2C2C"/>
          <w:sz w:val="21"/>
        </w:rPr>
        <w:t>All employees are required to read, understand, and comply with the policies contained in this handbook. This document does not constitute an employment contract. The company reserves the right to amend, modify, or rescind any policy at any time, with or without advance notice.</w:t>
      </w:r>
    </w:p>
    <w:p>
      <w:pPr>
        <w:spacing w:before="0" w:after="280"/>
        <w:jc w:val="left"/>
      </w:pPr>
      <w:r>
        <w:rPr>
          <w:b w:val="0"/>
          <w:i w:val="0"/>
          <w:color w:val="2C2C2C"/>
          <w:sz w:val="21"/>
        </w:rPr>
        <w:t>Employees with questions regarding any policy should contact their direct manager or the Human Resources department. Legal questions should be directed to qualified employment counsel familiar with Ohio employment law.</w:t>
      </w:r>
    </w:p>
    <w:p>
      <w:r>
        <w:br w:type="page"/>
      </w:r>
    </w:p>
    <w:p>
      <w:pPr>
        <w:spacing w:before="80" w:after="120"/>
      </w:pPr>
      <w:r>
        <w:rPr>
          <w:b/>
          <w:color w:val="1A3A5C"/>
          <w:sz w:val="28"/>
        </w:rPr>
        <w:t>Policy 1: Equal Employment Opportunity (EEO)</w:t>
      </w:r>
    </w:p>
    <w:p>
      <w:pPr>
        <w:spacing w:before="200" w:after="60"/>
        <w:pBdr>
          <w:bottom w:val="single" w:sz="4" w:space="4" w:color="007A87"/>
        </w:pBdr>
      </w:pPr>
      <w:r>
        <w:rPr>
          <w:b/>
          <w:color w:val="007A87"/>
          <w:sz w:val="20"/>
        </w:rPr>
        <w:t>PURPOSE</w:t>
      </w:r>
    </w:p>
    <w:p>
      <w:pPr>
        <w:spacing w:before="0" w:after="120"/>
        <w:jc w:val="left"/>
      </w:pPr>
      <w:r>
        <w:rPr>
          <w:b w:val="0"/>
          <w:i w:val="0"/>
          <w:color w:val="2C2C2C"/>
          <w:sz w:val="21"/>
        </w:rPr>
        <w:t>Acme Logistics is an equal opportunity employer committed to providing a workplace free from discrimination. We believe that a diverse and inclusive workforce strengthens our organization and the communities we serve.</w:t>
      </w:r>
    </w:p>
    <w:p>
      <w:pPr>
        <w:spacing w:before="200" w:after="60"/>
        <w:pBdr>
          <w:bottom w:val="single" w:sz="4" w:space="4" w:color="007A87"/>
        </w:pBdr>
      </w:pPr>
      <w:r>
        <w:rPr>
          <w:b/>
          <w:color w:val="007A87"/>
          <w:sz w:val="20"/>
        </w:rPr>
        <w:t>SCOPE</w:t>
      </w:r>
    </w:p>
    <w:p>
      <w:pPr>
        <w:spacing w:before="0" w:after="120"/>
        <w:jc w:val="left"/>
      </w:pPr>
      <w:r>
        <w:rPr>
          <w:b w:val="0"/>
          <w:i w:val="0"/>
          <w:color w:val="2C2C2C"/>
          <w:sz w:val="21"/>
        </w:rPr>
        <w:t>This policy applies to all employees, applicants, contractors, and vendors of Acme Logistics in all locations, including remote workers.</w:t>
      </w:r>
    </w:p>
    <w:p>
      <w:pPr>
        <w:spacing w:before="200" w:after="60"/>
        <w:pBdr>
          <w:bottom w:val="single" w:sz="4" w:space="4" w:color="007A87"/>
        </w:pBdr>
      </w:pPr>
      <w:r>
        <w:rPr>
          <w:b/>
          <w:color w:val="007A87"/>
          <w:sz w:val="20"/>
        </w:rPr>
        <w:t>POLICY</w:t>
      </w:r>
    </w:p>
    <w:p>
      <w:pPr>
        <w:spacing w:before="0" w:after="120"/>
        <w:jc w:val="left"/>
      </w:pPr>
      <w:r>
        <w:rPr>
          <w:b w:val="0"/>
          <w:i w:val="0"/>
          <w:color w:val="2C2C2C"/>
          <w:sz w:val="21"/>
        </w:rPr>
        <w:t>Acme Logistics does not discriminate in any aspect of employment — including hiring, promotion, compensation, training, discipline, or termination — on the basis of race, color, religion, sex, national origin, age, disability, genetic information, veteran status, sexual orientation, gender identity, or any other characteristic protected under federal, Ohio state, or applicable local law.</w:t>
      </w:r>
    </w:p>
    <w:p>
      <w:pPr>
        <w:spacing w:before="0" w:after="120"/>
        <w:jc w:val="left"/>
      </w:pPr>
      <w:r>
        <w:rPr>
          <w:b w:val="0"/>
          <w:i w:val="0"/>
          <w:color w:val="2C2C2C"/>
          <w:sz w:val="21"/>
        </w:rPr>
        <w:t>This commitment applies to all employment practices and is upheld by every level of management. Reasonable accommodations will be provided to qualified individuals with disabilities or sincerely held religious beliefs, unless doing so would create an undue hardship for the company.</w:t>
      </w:r>
    </w:p>
    <w:p>
      <w:pPr>
        <w:spacing w:before="0" w:after="120"/>
        <w:jc w:val="left"/>
      </w:pPr>
      <w:r>
        <w:rPr>
          <w:b w:val="0"/>
          <w:i w:val="0"/>
          <w:color w:val="2C2C2C"/>
          <w:sz w:val="21"/>
        </w:rPr>
        <w:t>All hiring decisions are based solely on job-related qualifications, merit, and business needs.</w:t>
      </w:r>
    </w:p>
    <w:p>
      <w:pPr>
        <w:spacing w:before="200" w:after="60"/>
        <w:pBdr>
          <w:bottom w:val="single" w:sz="4" w:space="4" w:color="007A87"/>
        </w:pBdr>
      </w:pPr>
      <w:r>
        <w:rPr>
          <w:b/>
          <w:color w:val="007A87"/>
          <w:sz w:val="20"/>
        </w:rPr>
        <w:t>EMPLOYEE RESPONSIBILITIES</w:t>
      </w:r>
    </w:p>
    <w:p>
      <w:pPr>
        <w:pStyle w:val="ListBullet"/>
        <w:spacing w:after="60"/>
      </w:pPr>
      <w:r>
        <w:rPr>
          <w:color w:val="2C2C2C"/>
          <w:sz w:val="21"/>
        </w:rPr>
        <w:t>Treat all colleagues, applicants, and business partners with dignity and respect.</w:t>
      </w:r>
    </w:p>
    <w:p>
      <w:pPr>
        <w:pStyle w:val="ListBullet"/>
        <w:spacing w:after="60"/>
      </w:pPr>
      <w:r>
        <w:rPr>
          <w:color w:val="2C2C2C"/>
          <w:sz w:val="21"/>
        </w:rPr>
        <w:t>Report any observed or experienced discriminatory conduct to HR immediately.</w:t>
      </w:r>
    </w:p>
    <w:p>
      <w:pPr>
        <w:pStyle w:val="ListBullet"/>
        <w:spacing w:after="60"/>
      </w:pPr>
      <w:r>
        <w:rPr>
          <w:color w:val="2C2C2C"/>
          <w:sz w:val="21"/>
        </w:rPr>
        <w:t>Cooperate fully with any investigation related to an EEO complaint.</w:t>
      </w:r>
    </w:p>
    <w:p>
      <w:pPr>
        <w:pStyle w:val="ListBullet"/>
        <w:spacing w:after="60"/>
      </w:pPr>
      <w:r>
        <w:rPr>
          <w:color w:val="2C2C2C"/>
          <w:sz w:val="21"/>
        </w:rPr>
        <w:t>Refrain from retaliating against anyone who reports a concern in good faith.</w:t>
      </w:r>
    </w:p>
    <w:p>
      <w:pPr>
        <w:spacing w:before="200" w:after="60"/>
        <w:pBdr>
          <w:bottom w:val="single" w:sz="4" w:space="4" w:color="007A87"/>
        </w:pBdr>
      </w:pPr>
      <w:r>
        <w:rPr>
          <w:b/>
          <w:color w:val="007A87"/>
          <w:sz w:val="20"/>
        </w:rPr>
        <w:t>CONSEQUENCES FOR VIOLATIONS</w:t>
      </w:r>
    </w:p>
    <w:p>
      <w:pPr>
        <w:spacing w:before="0" w:after="120"/>
        <w:jc w:val="left"/>
      </w:pPr>
      <w:r>
        <w:rPr>
          <w:b w:val="0"/>
          <w:i w:val="0"/>
          <w:color w:val="2C2C2C"/>
          <w:sz w:val="21"/>
        </w:rPr>
        <w:t>Violations of this policy will result in disciplinary action, up to and including termination of employment. The company will also take appropriate action against any third party found to have engaged in discriminatory conduct.</w:t>
      </w:r>
    </w:p>
    <w:p>
      <w:r>
        <w:br w:type="page"/>
      </w:r>
    </w:p>
    <w:p>
      <w:pPr>
        <w:spacing w:before="80" w:after="120"/>
      </w:pPr>
      <w:r>
        <w:rPr>
          <w:b/>
          <w:color w:val="1A3A5C"/>
          <w:sz w:val="28"/>
        </w:rPr>
        <w:t>Policy 2: Anti-Harassment &amp; Anti-Discrimination</w:t>
      </w:r>
    </w:p>
    <w:p>
      <w:pPr>
        <w:spacing w:before="200" w:after="60"/>
        <w:pBdr>
          <w:bottom w:val="single" w:sz="4" w:space="4" w:color="007A87"/>
        </w:pBdr>
      </w:pPr>
      <w:r>
        <w:rPr>
          <w:b/>
          <w:color w:val="007A87"/>
          <w:sz w:val="20"/>
        </w:rPr>
        <w:t>PURPOSE</w:t>
      </w:r>
    </w:p>
    <w:p>
      <w:pPr>
        <w:spacing w:before="0" w:after="120"/>
        <w:jc w:val="left"/>
      </w:pPr>
      <w:r>
        <w:rPr>
          <w:b w:val="0"/>
          <w:i w:val="0"/>
          <w:color w:val="2C2C2C"/>
          <w:sz w:val="21"/>
        </w:rPr>
        <w:t>Acme Logistics is committed to maintaining a professional work environment in which all individuals are treated with respect. Harassment and discrimination of any kind are strictly prohibited.</w:t>
      </w:r>
    </w:p>
    <w:p>
      <w:pPr>
        <w:spacing w:before="200" w:after="60"/>
        <w:pBdr>
          <w:bottom w:val="single" w:sz="4" w:space="4" w:color="007A87"/>
        </w:pBdr>
      </w:pPr>
      <w:r>
        <w:rPr>
          <w:b/>
          <w:color w:val="007A87"/>
          <w:sz w:val="20"/>
        </w:rPr>
        <w:t>SCOPE</w:t>
      </w:r>
    </w:p>
    <w:p>
      <w:pPr>
        <w:spacing w:before="0" w:after="120"/>
        <w:jc w:val="left"/>
      </w:pPr>
      <w:r>
        <w:rPr>
          <w:b w:val="0"/>
          <w:i w:val="0"/>
          <w:color w:val="2C2C2C"/>
          <w:sz w:val="21"/>
        </w:rPr>
        <w:t>This policy applies to all employees, contractors, clients, and visitors. It covers conduct occurring in the workplace, at company-sponsored events, and through company communication systems, including email and messaging platforms.</w:t>
      </w:r>
    </w:p>
    <w:p>
      <w:pPr>
        <w:spacing w:before="200" w:after="60"/>
        <w:pBdr>
          <w:bottom w:val="single" w:sz="4" w:space="4" w:color="007A87"/>
        </w:pBdr>
      </w:pPr>
      <w:r>
        <w:rPr>
          <w:b/>
          <w:color w:val="007A87"/>
          <w:sz w:val="20"/>
        </w:rPr>
        <w:t>POLICY</w:t>
      </w:r>
    </w:p>
    <w:p>
      <w:pPr>
        <w:spacing w:before="0" w:after="120"/>
        <w:jc w:val="left"/>
      </w:pPr>
      <w:r>
        <w:rPr>
          <w:b w:val="0"/>
          <w:i w:val="0"/>
          <w:color w:val="2C2C2C"/>
          <w:sz w:val="21"/>
        </w:rPr>
        <w:t>Harassment includes any unwelcome verbal, visual, or physical conduct based on a protected characteristic that creates an intimidating, hostile, or offensive work environment, or that interferes with an individual's work performance.</w:t>
      </w:r>
    </w:p>
    <w:p>
      <w:pPr>
        <w:spacing w:before="0" w:after="120"/>
        <w:jc w:val="left"/>
      </w:pPr>
      <w:r>
        <w:rPr>
          <w:b w:val="0"/>
          <w:i w:val="0"/>
          <w:color w:val="2C2C2C"/>
          <w:sz w:val="21"/>
        </w:rPr>
        <w:t>Sexual harassment includes unwelcome sexual advances, requests for sexual favors, and other verbal or physical conduct of a sexual nature when submission to such conduct is made a condition of employment, or when such conduct unreasonably interferes with an individual's work performance.</w:t>
      </w:r>
    </w:p>
    <w:p>
      <w:pPr>
        <w:spacing w:before="0" w:after="120"/>
        <w:jc w:val="left"/>
      </w:pPr>
      <w:r>
        <w:rPr>
          <w:b w:val="0"/>
          <w:i w:val="0"/>
          <w:color w:val="2C2C2C"/>
          <w:sz w:val="21"/>
        </w:rPr>
        <w:t>Ohio state law may provide additional protections beyond federal requirements. The company complies with all applicable state and local anti-harassment statutes.</w:t>
      </w:r>
    </w:p>
    <w:p>
      <w:pPr>
        <w:spacing w:before="0" w:after="120"/>
        <w:jc w:val="left"/>
      </w:pPr>
      <w:r>
        <w:rPr>
          <w:b w:val="0"/>
          <w:i w:val="0"/>
          <w:color w:val="2C2C2C"/>
          <w:sz w:val="21"/>
        </w:rPr>
        <w:t>Retaliation against any person who reports harassment or participates in an investigation is strictly prohibited and will itself be treated as a violation of this policy.</w:t>
      </w:r>
    </w:p>
    <w:p>
      <w:pPr>
        <w:spacing w:before="200" w:after="60"/>
        <w:pBdr>
          <w:bottom w:val="single" w:sz="4" w:space="4" w:color="007A87"/>
        </w:pBdr>
      </w:pPr>
      <w:r>
        <w:rPr>
          <w:b/>
          <w:color w:val="007A87"/>
          <w:sz w:val="20"/>
        </w:rPr>
        <w:t>EMPLOYEE RESPONSIBILITIES</w:t>
      </w:r>
    </w:p>
    <w:p>
      <w:pPr>
        <w:pStyle w:val="ListBullet"/>
        <w:spacing w:after="60"/>
      </w:pPr>
      <w:r>
        <w:rPr>
          <w:color w:val="2C2C2C"/>
          <w:sz w:val="21"/>
        </w:rPr>
        <w:t>Maintain professional, respectful conduct toward all colleagues and third parties.</w:t>
      </w:r>
    </w:p>
    <w:p>
      <w:pPr>
        <w:pStyle w:val="ListBullet"/>
        <w:spacing w:after="60"/>
      </w:pPr>
      <w:r>
        <w:rPr>
          <w:color w:val="2C2C2C"/>
          <w:sz w:val="21"/>
        </w:rPr>
        <w:t>Report any witnessed or experienced harassment promptly to HR or a supervisor.</w:t>
      </w:r>
    </w:p>
    <w:p>
      <w:pPr>
        <w:pStyle w:val="ListBullet"/>
        <w:spacing w:after="60"/>
      </w:pPr>
      <w:r>
        <w:rPr>
          <w:color w:val="2C2C2C"/>
          <w:sz w:val="21"/>
        </w:rPr>
        <w:t>Cooperate honestly and fully in any investigation.</w:t>
      </w:r>
    </w:p>
    <w:p>
      <w:pPr>
        <w:pStyle w:val="ListBullet"/>
        <w:spacing w:after="60"/>
      </w:pPr>
      <w:r>
        <w:rPr>
          <w:color w:val="2C2C2C"/>
          <w:sz w:val="21"/>
        </w:rPr>
        <w:t>Maintain confidentiality regarding all complaint and investigation details.</w:t>
      </w:r>
    </w:p>
    <w:p>
      <w:pPr>
        <w:spacing w:before="200" w:after="60"/>
        <w:pBdr>
          <w:bottom w:val="single" w:sz="4" w:space="4" w:color="007A87"/>
        </w:pBdr>
      </w:pPr>
      <w:r>
        <w:rPr>
          <w:b/>
          <w:color w:val="007A87"/>
          <w:sz w:val="20"/>
        </w:rPr>
        <w:t>CONSEQUENCES FOR VIOLATIONS</w:t>
      </w:r>
    </w:p>
    <w:p>
      <w:pPr>
        <w:spacing w:before="0" w:after="120"/>
        <w:jc w:val="left"/>
      </w:pPr>
      <w:r>
        <w:rPr>
          <w:b w:val="0"/>
          <w:i w:val="0"/>
          <w:color w:val="2C2C2C"/>
          <w:sz w:val="21"/>
        </w:rPr>
        <w:t>Any employee found to have engaged in harassment or discrimination will be subject to disciplinary action up to and including immediate termination. The company may also notify appropriate authorities where conduct may constitute a violation of law.</w:t>
      </w:r>
    </w:p>
    <w:p>
      <w:r>
        <w:br w:type="page"/>
      </w:r>
    </w:p>
    <w:p>
      <w:pPr>
        <w:spacing w:before="80" w:after="120"/>
      </w:pPr>
      <w:r>
        <w:rPr>
          <w:b/>
          <w:color w:val="1A3A5C"/>
          <w:sz w:val="28"/>
        </w:rPr>
        <w:t>Policy 3: Attendance &amp; Punctuality</w:t>
      </w:r>
    </w:p>
    <w:p>
      <w:pPr>
        <w:spacing w:before="200" w:after="60"/>
        <w:pBdr>
          <w:bottom w:val="single" w:sz="4" w:space="4" w:color="007A87"/>
        </w:pBdr>
      </w:pPr>
      <w:r>
        <w:rPr>
          <w:b/>
          <w:color w:val="007A87"/>
          <w:sz w:val="20"/>
        </w:rPr>
        <w:t>PURPOSE</w:t>
      </w:r>
    </w:p>
    <w:p>
      <w:pPr>
        <w:spacing w:before="0" w:after="120"/>
        <w:jc w:val="left"/>
      </w:pPr>
      <w:r>
        <w:rPr>
          <w:b w:val="0"/>
          <w:i w:val="0"/>
          <w:color w:val="2C2C2C"/>
          <w:sz w:val="21"/>
        </w:rPr>
        <w:t>Consistent attendance and punctuality are essential to the success of Acme Logistics and to maintaining a productive, fair work environment for all team members.</w:t>
      </w:r>
    </w:p>
    <w:p>
      <w:pPr>
        <w:spacing w:before="200" w:after="60"/>
        <w:pBdr>
          <w:bottom w:val="single" w:sz="4" w:space="4" w:color="007A87"/>
        </w:pBdr>
      </w:pPr>
      <w:r>
        <w:rPr>
          <w:b/>
          <w:color w:val="007A87"/>
          <w:sz w:val="20"/>
        </w:rPr>
        <w:t>SCOPE</w:t>
      </w:r>
    </w:p>
    <w:p>
      <w:pPr>
        <w:spacing w:before="0" w:after="120"/>
        <w:jc w:val="left"/>
      </w:pPr>
      <w:r>
        <w:rPr>
          <w:b w:val="0"/>
          <w:i w:val="0"/>
          <w:color w:val="2C2C2C"/>
          <w:sz w:val="21"/>
        </w:rPr>
        <w:t>This policy applies to all full-time and part-time employees. Specific scheduling requirements may vary by department and will be communicated by the employee's manager.</w:t>
      </w:r>
    </w:p>
    <w:p>
      <w:pPr>
        <w:spacing w:before="200" w:after="60"/>
        <w:pBdr>
          <w:bottom w:val="single" w:sz="4" w:space="4" w:color="007A87"/>
        </w:pBdr>
      </w:pPr>
      <w:r>
        <w:rPr>
          <w:b/>
          <w:color w:val="007A87"/>
          <w:sz w:val="20"/>
        </w:rPr>
        <w:t>POLICY</w:t>
      </w:r>
    </w:p>
    <w:p>
      <w:pPr>
        <w:spacing w:before="0" w:after="120"/>
        <w:jc w:val="left"/>
      </w:pPr>
      <w:r>
        <w:rPr>
          <w:b w:val="0"/>
          <w:i w:val="0"/>
          <w:color w:val="2C2C2C"/>
          <w:sz w:val="21"/>
        </w:rPr>
        <w:t>Employees are expected to report to work on time and fully prepared at the start of each scheduled shift. Core business hours are established by department management in accordance with Acme Logistics operational needs.</w:t>
      </w:r>
    </w:p>
    <w:p>
      <w:pPr>
        <w:spacing w:before="0" w:after="120"/>
        <w:jc w:val="left"/>
      </w:pPr>
      <w:r>
        <w:rPr>
          <w:b w:val="0"/>
          <w:i w:val="0"/>
          <w:color w:val="2C2C2C"/>
          <w:sz w:val="21"/>
        </w:rPr>
        <w:t>If an employee is unable to report to work, they must notify their manager as early as possible and no later than the start of their scheduled shift. Failure to provide timely notice without valid justification is considered an unexcused absence.</w:t>
      </w:r>
    </w:p>
    <w:p>
      <w:pPr>
        <w:spacing w:before="0" w:after="120"/>
        <w:jc w:val="left"/>
      </w:pPr>
      <w:r>
        <w:rPr>
          <w:b w:val="0"/>
          <w:i w:val="0"/>
          <w:color w:val="2C2C2C"/>
          <w:sz w:val="21"/>
        </w:rPr>
        <w:t>Excessive absenteeism or tardiness — whether excused or unexcused — may negatively impact performance evaluations and may result in disciplinary action.</w:t>
      </w:r>
    </w:p>
    <w:p>
      <w:pPr>
        <w:spacing w:before="0" w:after="120"/>
        <w:jc w:val="left"/>
      </w:pPr>
      <w:r>
        <w:rPr>
          <w:b w:val="0"/>
          <w:i w:val="0"/>
          <w:color w:val="2C2C2C"/>
          <w:sz w:val="21"/>
        </w:rPr>
        <w:t>Ohio state law requirements regarding leave, including any applicable sick leave mandates, are incorporated into this policy and will be honored in all circumstances.</w:t>
      </w:r>
    </w:p>
    <w:p>
      <w:pPr>
        <w:spacing w:before="200" w:after="60"/>
        <w:pBdr>
          <w:bottom w:val="single" w:sz="4" w:space="4" w:color="007A87"/>
        </w:pBdr>
      </w:pPr>
      <w:r>
        <w:rPr>
          <w:b/>
          <w:color w:val="007A87"/>
          <w:sz w:val="20"/>
        </w:rPr>
        <w:t>EMPLOYEE RESPONSIBILITIES</w:t>
      </w:r>
    </w:p>
    <w:p>
      <w:pPr>
        <w:pStyle w:val="ListBullet"/>
        <w:spacing w:after="60"/>
      </w:pPr>
      <w:r>
        <w:rPr>
          <w:color w:val="2C2C2C"/>
          <w:sz w:val="21"/>
        </w:rPr>
        <w:t>Arrive on time and ready to work for every scheduled shift.</w:t>
      </w:r>
    </w:p>
    <w:p>
      <w:pPr>
        <w:pStyle w:val="ListBullet"/>
        <w:spacing w:after="60"/>
      </w:pPr>
      <w:r>
        <w:rPr>
          <w:color w:val="2C2C2C"/>
          <w:sz w:val="21"/>
        </w:rPr>
        <w:t>Notify the manager promptly when absence or tardiness is anticipated.</w:t>
      </w:r>
    </w:p>
    <w:p>
      <w:pPr>
        <w:pStyle w:val="ListBullet"/>
        <w:spacing w:after="60"/>
      </w:pPr>
      <w:r>
        <w:rPr>
          <w:color w:val="2C2C2C"/>
          <w:sz w:val="21"/>
        </w:rPr>
        <w:t>Use the appropriate system or process to record absences and time off.</w:t>
      </w:r>
    </w:p>
    <w:p>
      <w:pPr>
        <w:pStyle w:val="ListBullet"/>
        <w:spacing w:after="60"/>
      </w:pPr>
      <w:r>
        <w:rPr>
          <w:color w:val="2C2C2C"/>
          <w:sz w:val="21"/>
        </w:rPr>
        <w:t>Obtain approval for planned absences in advance whenever possible.</w:t>
      </w:r>
    </w:p>
    <w:p>
      <w:pPr>
        <w:spacing w:before="200" w:after="60"/>
        <w:pBdr>
          <w:bottom w:val="single" w:sz="4" w:space="4" w:color="007A87"/>
        </w:pBdr>
      </w:pPr>
      <w:r>
        <w:rPr>
          <w:b/>
          <w:color w:val="007A87"/>
          <w:sz w:val="20"/>
        </w:rPr>
        <w:t>CONSEQUENCES FOR VIOLATIONS</w:t>
      </w:r>
    </w:p>
    <w:p>
      <w:pPr>
        <w:spacing w:before="0" w:after="120"/>
        <w:jc w:val="left"/>
      </w:pPr>
      <w:r>
        <w:rPr>
          <w:b w:val="0"/>
          <w:i w:val="0"/>
          <w:color w:val="2C2C2C"/>
          <w:sz w:val="21"/>
        </w:rPr>
        <w:t>Unexcused absences or chronic tardiness will be addressed through a progressive disciplinary process, which may include a verbal warning, written warning, final written warning, and termination of employment, depending on severity and frequency.</w:t>
      </w:r>
    </w:p>
    <w:p>
      <w:r>
        <w:br w:type="page"/>
      </w:r>
    </w:p>
    <w:p>
      <w:pPr>
        <w:spacing w:before="80" w:after="120"/>
      </w:pPr>
      <w:r>
        <w:rPr>
          <w:b/>
          <w:color w:val="1A3A5C"/>
          <w:sz w:val="28"/>
        </w:rPr>
        <w:t>Policy 4: Paid Time Off (PTO) &amp; Leave</w:t>
      </w:r>
    </w:p>
    <w:p>
      <w:pPr>
        <w:spacing w:before="200" w:after="60"/>
        <w:pBdr>
          <w:bottom w:val="single" w:sz="4" w:space="4" w:color="007A87"/>
        </w:pBdr>
      </w:pPr>
      <w:r>
        <w:rPr>
          <w:b/>
          <w:color w:val="007A87"/>
          <w:sz w:val="20"/>
        </w:rPr>
        <w:t>PURPOSE</w:t>
      </w:r>
    </w:p>
    <w:p>
      <w:pPr>
        <w:spacing w:before="0" w:after="120"/>
        <w:jc w:val="left"/>
      </w:pPr>
      <w:r>
        <w:rPr>
          <w:b w:val="0"/>
          <w:i w:val="0"/>
          <w:color w:val="2C2C2C"/>
          <w:sz w:val="21"/>
        </w:rPr>
        <w:t>Acme Logistics recognizes that employees need time away from work for rest, personal matters, illness, and family obligations. This policy outlines the company's approach to paid time off and leave.</w:t>
      </w:r>
    </w:p>
    <w:p>
      <w:pPr>
        <w:spacing w:before="200" w:after="60"/>
        <w:pBdr>
          <w:bottom w:val="single" w:sz="4" w:space="4" w:color="007A87"/>
        </w:pBdr>
      </w:pPr>
      <w:r>
        <w:rPr>
          <w:b/>
          <w:color w:val="007A87"/>
          <w:sz w:val="20"/>
        </w:rPr>
        <w:t>SCOPE</w:t>
      </w:r>
    </w:p>
    <w:p>
      <w:pPr>
        <w:spacing w:before="0" w:after="120"/>
        <w:jc w:val="left"/>
      </w:pPr>
      <w:r>
        <w:rPr>
          <w:b w:val="0"/>
          <w:i w:val="0"/>
          <w:color w:val="2C2C2C"/>
          <w:sz w:val="21"/>
        </w:rPr>
        <w:t>This policy applies to all regular full-time employees. Part-time employees may be eligible for prorated benefits as outlined in their offer letter or employment agreement.</w:t>
      </w:r>
    </w:p>
    <w:p>
      <w:pPr>
        <w:spacing w:before="200" w:after="60"/>
        <w:pBdr>
          <w:bottom w:val="single" w:sz="4" w:space="4" w:color="007A87"/>
        </w:pBdr>
      </w:pPr>
      <w:r>
        <w:rPr>
          <w:b/>
          <w:color w:val="007A87"/>
          <w:sz w:val="20"/>
        </w:rPr>
        <w:t>POLICY</w:t>
      </w:r>
    </w:p>
    <w:p>
      <w:pPr>
        <w:spacing w:before="0" w:after="120"/>
        <w:jc w:val="left"/>
      </w:pPr>
      <w:r>
        <w:rPr>
          <w:b w:val="0"/>
          <w:i w:val="0"/>
          <w:color w:val="2C2C2C"/>
          <w:sz w:val="21"/>
        </w:rPr>
        <w:t>PTO accrues from the first day of employment based on the company's published accrual schedule. Employees are encouraged to use PTO throughout the year.</w:t>
      </w:r>
    </w:p>
    <w:p>
      <w:pPr>
        <w:spacing w:before="0" w:after="120"/>
        <w:jc w:val="left"/>
      </w:pPr>
      <w:r>
        <w:rPr>
          <w:b w:val="0"/>
          <w:i w:val="0"/>
          <w:color w:val="2C2C2C"/>
          <w:sz w:val="21"/>
        </w:rPr>
        <w:t>PTO requests must be submitted to the employee's manager for approval. Requests should be made as far in advance as possible — a minimum of two weeks' notice is expected for planned absences of three or more consecutive days.</w:t>
      </w:r>
    </w:p>
    <w:p>
      <w:pPr>
        <w:spacing w:before="0" w:after="120"/>
        <w:jc w:val="left"/>
      </w:pPr>
      <w:r>
        <w:rPr>
          <w:b w:val="0"/>
          <w:i w:val="0"/>
          <w:color w:val="2C2C2C"/>
          <w:sz w:val="21"/>
        </w:rPr>
        <w:t>Unused PTO may be carried over subject to the annual carryover cap established by the company. PTO is not paid out upon resignation or termination unless required by Ohio state law.</w:t>
      </w:r>
    </w:p>
    <w:p>
      <w:pPr>
        <w:spacing w:before="0" w:after="120"/>
        <w:jc w:val="left"/>
      </w:pPr>
      <w:r>
        <w:rPr>
          <w:b w:val="0"/>
          <w:i w:val="0"/>
          <w:color w:val="2C2C2C"/>
          <w:sz w:val="21"/>
        </w:rPr>
        <w:t>In addition to PTO, Acme Logistics provides leave in accordance with applicable federal and Ohio state law, including but not limited to: Family and Medical Leave Act (FMLA), military leave (USERRA), jury duty leave, bereavement leave, and any Ohio-specific leave entitlements.</w:t>
      </w:r>
    </w:p>
    <w:p>
      <w:pPr>
        <w:spacing w:before="200" w:after="60"/>
        <w:pBdr>
          <w:bottom w:val="single" w:sz="4" w:space="4" w:color="007A87"/>
        </w:pBdr>
      </w:pPr>
      <w:r>
        <w:rPr>
          <w:b/>
          <w:color w:val="007A87"/>
          <w:sz w:val="20"/>
        </w:rPr>
        <w:t>EMPLOYEE RESPONSIBILITIES</w:t>
      </w:r>
    </w:p>
    <w:p>
      <w:pPr>
        <w:pStyle w:val="ListBullet"/>
        <w:spacing w:after="60"/>
      </w:pPr>
      <w:r>
        <w:rPr>
          <w:color w:val="2C2C2C"/>
          <w:sz w:val="21"/>
        </w:rPr>
        <w:t>Submit PTO requests through the designated HR system in a timely manner.</w:t>
      </w:r>
    </w:p>
    <w:p>
      <w:pPr>
        <w:pStyle w:val="ListBullet"/>
        <w:spacing w:after="60"/>
      </w:pPr>
      <w:r>
        <w:rPr>
          <w:color w:val="2C2C2C"/>
          <w:sz w:val="21"/>
        </w:rPr>
        <w:t>Communicate leave needs clearly and early to minimize operational disruption.</w:t>
      </w:r>
    </w:p>
    <w:p>
      <w:pPr>
        <w:pStyle w:val="ListBullet"/>
        <w:spacing w:after="60"/>
      </w:pPr>
      <w:r>
        <w:rPr>
          <w:color w:val="2C2C2C"/>
          <w:sz w:val="21"/>
        </w:rPr>
        <w:t>Provide appropriate documentation when required (e.g., FMLA certification, jury summons).</w:t>
      </w:r>
    </w:p>
    <w:p>
      <w:pPr>
        <w:pStyle w:val="ListBullet"/>
        <w:spacing w:after="60"/>
      </w:pPr>
      <w:r>
        <w:rPr>
          <w:color w:val="2C2C2C"/>
          <w:sz w:val="21"/>
        </w:rPr>
        <w:t>Return to work as scheduled following any approved leave.</w:t>
      </w:r>
    </w:p>
    <w:p>
      <w:pPr>
        <w:spacing w:before="200" w:after="60"/>
        <w:pBdr>
          <w:bottom w:val="single" w:sz="4" w:space="4" w:color="007A87"/>
        </w:pBdr>
      </w:pPr>
      <w:r>
        <w:rPr>
          <w:b/>
          <w:color w:val="007A87"/>
          <w:sz w:val="20"/>
        </w:rPr>
        <w:t>CONSEQUENCES FOR VIOLATIONS</w:t>
      </w:r>
    </w:p>
    <w:p>
      <w:pPr>
        <w:spacing w:before="0" w:after="120"/>
        <w:jc w:val="left"/>
      </w:pPr>
      <w:r>
        <w:rPr>
          <w:b w:val="0"/>
          <w:i w:val="0"/>
          <w:color w:val="2C2C2C"/>
          <w:sz w:val="21"/>
        </w:rPr>
        <w:t>Misrepresentation of the reason for leave, or failure to return from an approved leave without prior authorization, may result in disciplinary action up to and including termination. Abuse of PTO or leave policies will be addressed accordingly.</w:t>
      </w:r>
    </w:p>
    <w:p>
      <w:r>
        <w:br w:type="page"/>
      </w:r>
    </w:p>
    <w:p>
      <w:pPr>
        <w:spacing w:before="80" w:after="120"/>
      </w:pPr>
      <w:r>
        <w:rPr>
          <w:b/>
          <w:color w:val="1A3A5C"/>
          <w:sz w:val="28"/>
        </w:rPr>
        <w:t>Policy 5: Code of Conduct</w:t>
      </w:r>
    </w:p>
    <w:p>
      <w:pPr>
        <w:spacing w:before="200" w:after="60"/>
        <w:pBdr>
          <w:bottom w:val="single" w:sz="4" w:space="4" w:color="007A87"/>
        </w:pBdr>
      </w:pPr>
      <w:r>
        <w:rPr>
          <w:b/>
          <w:color w:val="007A87"/>
          <w:sz w:val="20"/>
        </w:rPr>
        <w:t>PURPOSE</w:t>
      </w:r>
    </w:p>
    <w:p>
      <w:pPr>
        <w:spacing w:before="0" w:after="120"/>
        <w:jc w:val="left"/>
      </w:pPr>
      <w:r>
        <w:rPr>
          <w:b w:val="0"/>
          <w:i w:val="0"/>
          <w:color w:val="2C2C2C"/>
          <w:sz w:val="21"/>
        </w:rPr>
        <w:t>The Acme Logistics Code of Conduct establishes the behavioral standards expected of all employees. Upholding these standards is essential to maintaining a respectful, ethical, and productive workplace.</w:t>
      </w:r>
    </w:p>
    <w:p>
      <w:pPr>
        <w:spacing w:before="200" w:after="60"/>
        <w:pBdr>
          <w:bottom w:val="single" w:sz="4" w:space="4" w:color="007A87"/>
        </w:pBdr>
      </w:pPr>
      <w:r>
        <w:rPr>
          <w:b/>
          <w:color w:val="007A87"/>
          <w:sz w:val="20"/>
        </w:rPr>
        <w:t>SCOPE</w:t>
      </w:r>
    </w:p>
    <w:p>
      <w:pPr>
        <w:spacing w:before="0" w:after="120"/>
        <w:jc w:val="left"/>
      </w:pPr>
      <w:r>
        <w:rPr>
          <w:b w:val="0"/>
          <w:i w:val="0"/>
          <w:color w:val="2C2C2C"/>
          <w:sz w:val="21"/>
        </w:rPr>
        <w:t>This policy applies to all employees at all levels of the organization, including part-time, temporary, and contract workers. It applies to conduct in the workplace, at company events, and in any context where the employee represents the company.</w:t>
      </w:r>
    </w:p>
    <w:p>
      <w:pPr>
        <w:spacing w:before="200" w:after="60"/>
        <w:pBdr>
          <w:bottom w:val="single" w:sz="4" w:space="4" w:color="007A87"/>
        </w:pBdr>
      </w:pPr>
      <w:r>
        <w:rPr>
          <w:b/>
          <w:color w:val="007A87"/>
          <w:sz w:val="20"/>
        </w:rPr>
        <w:t>POLICY</w:t>
      </w:r>
    </w:p>
    <w:p>
      <w:pPr>
        <w:spacing w:before="0" w:after="120"/>
        <w:jc w:val="left"/>
      </w:pPr>
      <w:r>
        <w:rPr>
          <w:b w:val="0"/>
          <w:i w:val="0"/>
          <w:color w:val="2C2C2C"/>
          <w:sz w:val="21"/>
        </w:rPr>
        <w:t>Employees are expected to act with integrity, honesty, and professionalism in all work-related activities and interactions.</w:t>
      </w:r>
    </w:p>
    <w:p>
      <w:pPr>
        <w:spacing w:before="0" w:after="120"/>
        <w:jc w:val="left"/>
      </w:pPr>
      <w:r>
        <w:rPr>
          <w:b w:val="0"/>
          <w:i w:val="0"/>
          <w:color w:val="2C2C2C"/>
          <w:sz w:val="21"/>
        </w:rPr>
        <w:t>Conflicts of interest must be disclosed promptly to a supervisor or HR. Employees must not engage in activities that create or appear to create a conflict with the interests of the company.</w:t>
      </w:r>
    </w:p>
    <w:p>
      <w:pPr>
        <w:spacing w:before="0" w:after="120"/>
        <w:jc w:val="left"/>
      </w:pPr>
      <w:r>
        <w:rPr>
          <w:b w:val="0"/>
          <w:i w:val="0"/>
          <w:color w:val="2C2C2C"/>
          <w:sz w:val="21"/>
        </w:rPr>
        <w:t>Confidential company information, client data, and proprietary materials must be protected at all times and must not be disclosed to unauthorized parties.</w:t>
      </w:r>
    </w:p>
    <w:p>
      <w:pPr>
        <w:spacing w:before="0" w:after="120"/>
        <w:jc w:val="left"/>
      </w:pPr>
      <w:r>
        <w:rPr>
          <w:b w:val="0"/>
          <w:i w:val="0"/>
          <w:color w:val="2C2C2C"/>
          <w:sz w:val="21"/>
        </w:rPr>
        <w:t>Company resources — including equipment, systems, software, and working time — must be used responsibly and primarily for legitimate business purposes.</w:t>
      </w:r>
    </w:p>
    <w:p>
      <w:pPr>
        <w:spacing w:before="0" w:after="120"/>
        <w:jc w:val="left"/>
      </w:pPr>
      <w:r>
        <w:rPr>
          <w:b w:val="0"/>
          <w:i w:val="0"/>
          <w:color w:val="2C2C2C"/>
          <w:sz w:val="21"/>
        </w:rPr>
        <w:t>Employees are expected to comply with all applicable laws and regulations, as well as all company policies and procedures.</w:t>
      </w:r>
    </w:p>
    <w:p>
      <w:pPr>
        <w:spacing w:before="0" w:after="120"/>
        <w:jc w:val="left"/>
      </w:pPr>
      <w:r>
        <w:rPr>
          <w:b w:val="0"/>
          <w:i w:val="0"/>
          <w:color w:val="2C2C2C"/>
          <w:sz w:val="21"/>
        </w:rPr>
        <w:t>Workplace violence, threats, intimidation, or any behavior that endangers the safety of others will not be tolerated under any circumstances.</w:t>
      </w:r>
    </w:p>
    <w:p>
      <w:pPr>
        <w:spacing w:before="200" w:after="60"/>
        <w:pBdr>
          <w:bottom w:val="single" w:sz="4" w:space="4" w:color="007A87"/>
        </w:pBdr>
      </w:pPr>
      <w:r>
        <w:rPr>
          <w:b/>
          <w:color w:val="007A87"/>
          <w:sz w:val="20"/>
        </w:rPr>
        <w:t>EMPLOYEE RESPONSIBILITIES</w:t>
      </w:r>
    </w:p>
    <w:p>
      <w:pPr>
        <w:pStyle w:val="ListBullet"/>
        <w:spacing w:after="60"/>
      </w:pPr>
      <w:r>
        <w:rPr>
          <w:color w:val="2C2C2C"/>
          <w:sz w:val="21"/>
        </w:rPr>
        <w:t>Conduct all business activities with honesty and in full compliance with applicable law.</w:t>
      </w:r>
    </w:p>
    <w:p>
      <w:pPr>
        <w:pStyle w:val="ListBullet"/>
        <w:spacing w:after="60"/>
      </w:pPr>
      <w:r>
        <w:rPr>
          <w:color w:val="2C2C2C"/>
          <w:sz w:val="21"/>
        </w:rPr>
        <w:t>Disclose any actual or potential conflicts of interest promptly.</w:t>
      </w:r>
    </w:p>
    <w:p>
      <w:pPr>
        <w:pStyle w:val="ListBullet"/>
        <w:spacing w:after="60"/>
      </w:pPr>
      <w:r>
        <w:rPr>
          <w:color w:val="2C2C2C"/>
          <w:sz w:val="21"/>
        </w:rPr>
        <w:t>Protect confidential information and company assets.</w:t>
      </w:r>
    </w:p>
    <w:p>
      <w:pPr>
        <w:pStyle w:val="ListBullet"/>
        <w:spacing w:after="60"/>
      </w:pPr>
      <w:r>
        <w:rPr>
          <w:color w:val="2C2C2C"/>
          <w:sz w:val="21"/>
        </w:rPr>
        <w:t>Treat all colleagues, clients, and business partners with professionalism and respect.</w:t>
      </w:r>
    </w:p>
    <w:p>
      <w:pPr>
        <w:pStyle w:val="ListBullet"/>
        <w:spacing w:after="60"/>
      </w:pPr>
      <w:r>
        <w:rPr>
          <w:color w:val="2C2C2C"/>
          <w:sz w:val="21"/>
        </w:rPr>
        <w:t>Report known or suspected violations of this policy to HR or management.</w:t>
      </w:r>
    </w:p>
    <w:p>
      <w:pPr>
        <w:spacing w:before="200" w:after="60"/>
        <w:pBdr>
          <w:bottom w:val="single" w:sz="4" w:space="4" w:color="007A87"/>
        </w:pBdr>
      </w:pPr>
      <w:r>
        <w:rPr>
          <w:b/>
          <w:color w:val="007A87"/>
          <w:sz w:val="20"/>
        </w:rPr>
        <w:t>CONSEQUENCES FOR VIOLATIONS</w:t>
      </w:r>
    </w:p>
    <w:p>
      <w:pPr>
        <w:spacing w:before="0" w:after="120"/>
        <w:jc w:val="left"/>
      </w:pPr>
      <w:r>
        <w:rPr>
          <w:b w:val="0"/>
          <w:i w:val="0"/>
          <w:color w:val="2C2C2C"/>
          <w:sz w:val="21"/>
        </w:rPr>
        <w:t>Violations of the Code of Conduct will result in disciplinary action commensurate with the severity of the offense, up to and including immediate termination. Certain violations may also be referred to law enforcement authorities.</w:t>
      </w:r>
    </w:p>
    <w:p>
      <w:r>
        <w:br w:type="page"/>
      </w:r>
    </w:p>
    <w:p>
      <w:pPr>
        <w:spacing w:before="80" w:after="120"/>
      </w:pPr>
      <w:r>
        <w:rPr>
          <w:b/>
          <w:color w:val="1A3A5C"/>
          <w:sz w:val="28"/>
        </w:rPr>
        <w:t>Policy 6: Performance Review</w:t>
      </w:r>
    </w:p>
    <w:p>
      <w:pPr>
        <w:spacing w:before="200" w:after="60"/>
        <w:pBdr>
          <w:bottom w:val="single" w:sz="4" w:space="4" w:color="007A87"/>
        </w:pBdr>
      </w:pPr>
      <w:r>
        <w:rPr>
          <w:b/>
          <w:color w:val="007A87"/>
          <w:sz w:val="20"/>
        </w:rPr>
        <w:t>PURPOSE</w:t>
      </w:r>
    </w:p>
    <w:p>
      <w:pPr>
        <w:spacing w:before="0" w:after="120"/>
        <w:jc w:val="left"/>
      </w:pPr>
      <w:r>
        <w:rPr>
          <w:b w:val="0"/>
          <w:i w:val="0"/>
          <w:color w:val="2C2C2C"/>
          <w:sz w:val="21"/>
        </w:rPr>
        <w:t>Acme Logistics is committed to the professional growth and development of every employee. The performance review process provides a structured opportunity for managers and employees to assess progress, set goals, and align on expectations.</w:t>
      </w:r>
    </w:p>
    <w:p>
      <w:pPr>
        <w:spacing w:before="200" w:after="60"/>
        <w:pBdr>
          <w:bottom w:val="single" w:sz="4" w:space="4" w:color="007A87"/>
        </w:pBdr>
      </w:pPr>
      <w:r>
        <w:rPr>
          <w:b/>
          <w:color w:val="007A87"/>
          <w:sz w:val="20"/>
        </w:rPr>
        <w:t>SCOPE</w:t>
      </w:r>
    </w:p>
    <w:p>
      <w:pPr>
        <w:spacing w:before="0" w:after="120"/>
        <w:jc w:val="left"/>
      </w:pPr>
      <w:r>
        <w:rPr>
          <w:b w:val="0"/>
          <w:i w:val="0"/>
          <w:color w:val="2C2C2C"/>
          <w:sz w:val="21"/>
        </w:rPr>
        <w:t>This policy applies to all regular full-time and part-time employees. Contract workers and temporary staff are not covered under this policy unless otherwise specified in their agreement.</w:t>
      </w:r>
    </w:p>
    <w:p>
      <w:pPr>
        <w:spacing w:before="200" w:after="60"/>
        <w:pBdr>
          <w:bottom w:val="single" w:sz="4" w:space="4" w:color="007A87"/>
        </w:pBdr>
      </w:pPr>
      <w:r>
        <w:rPr>
          <w:b/>
          <w:color w:val="007A87"/>
          <w:sz w:val="20"/>
        </w:rPr>
        <w:t>POLICY</w:t>
      </w:r>
    </w:p>
    <w:p>
      <w:pPr>
        <w:spacing w:before="0" w:after="120"/>
        <w:jc w:val="left"/>
      </w:pPr>
      <w:r>
        <w:rPr>
          <w:b w:val="0"/>
          <w:i w:val="0"/>
          <w:color w:val="2C2C2C"/>
          <w:sz w:val="21"/>
        </w:rPr>
        <w:t>Formal performance reviews are conducted on an annual basis, typically during Q4. New employees receive a 90-day check-in review within their first quarter of employment.</w:t>
      </w:r>
    </w:p>
    <w:p>
      <w:pPr>
        <w:spacing w:before="0" w:after="120"/>
        <w:jc w:val="left"/>
      </w:pPr>
      <w:r>
        <w:rPr>
          <w:b w:val="0"/>
          <w:i w:val="0"/>
          <w:color w:val="2C2C2C"/>
          <w:sz w:val="21"/>
        </w:rPr>
        <w:t>Reviews are conducted by the employee's direct manager and may include input from peers, cross-functional partners, or senior leadership as appropriate.</w:t>
      </w:r>
    </w:p>
    <w:p>
      <w:pPr>
        <w:spacing w:before="0" w:after="120"/>
        <w:jc w:val="left"/>
      </w:pPr>
      <w:r>
        <w:rPr>
          <w:b w:val="0"/>
          <w:i w:val="0"/>
          <w:color w:val="2C2C2C"/>
          <w:sz w:val="21"/>
        </w:rPr>
        <w:t>The review process evaluates performance against established goals, core competencies, and behavioral expectations. Outcomes may influence compensation decisions, promotion eligibility, and development planning.</w:t>
      </w:r>
    </w:p>
    <w:p>
      <w:pPr>
        <w:spacing w:before="0" w:after="120"/>
        <w:jc w:val="left"/>
      </w:pPr>
      <w:r>
        <w:rPr>
          <w:b w:val="0"/>
          <w:i w:val="0"/>
          <w:color w:val="2C2C2C"/>
          <w:sz w:val="21"/>
        </w:rPr>
        <w:t>Managers are expected to provide ongoing, timely feedback throughout the year. Formal reviews should not be the only opportunity for performance dialogue.</w:t>
      </w:r>
    </w:p>
    <w:p>
      <w:pPr>
        <w:spacing w:before="0" w:after="120"/>
        <w:jc w:val="left"/>
      </w:pPr>
      <w:r>
        <w:rPr>
          <w:b w:val="0"/>
          <w:i w:val="0"/>
          <w:color w:val="2C2C2C"/>
          <w:sz w:val="21"/>
        </w:rPr>
        <w:t>Employees who receive an unsatisfactory performance rating may be placed on a Performance Improvement Plan (PIP) outlining specific expectations and timelines for improvement.</w:t>
      </w:r>
    </w:p>
    <w:p>
      <w:pPr>
        <w:spacing w:before="200" w:after="60"/>
        <w:pBdr>
          <w:bottom w:val="single" w:sz="4" w:space="4" w:color="007A87"/>
        </w:pBdr>
      </w:pPr>
      <w:r>
        <w:rPr>
          <w:b/>
          <w:color w:val="007A87"/>
          <w:sz w:val="20"/>
        </w:rPr>
        <w:t>EMPLOYEE RESPONSIBILITIES</w:t>
      </w:r>
    </w:p>
    <w:p>
      <w:pPr>
        <w:pStyle w:val="ListBullet"/>
        <w:spacing w:after="60"/>
      </w:pPr>
      <w:r>
        <w:rPr>
          <w:color w:val="2C2C2C"/>
          <w:sz w:val="21"/>
        </w:rPr>
        <w:t>Complete all required self-assessment materials prior to the review meeting.</w:t>
      </w:r>
    </w:p>
    <w:p>
      <w:pPr>
        <w:pStyle w:val="ListBullet"/>
        <w:spacing w:after="60"/>
      </w:pPr>
      <w:r>
        <w:rPr>
          <w:color w:val="2C2C2C"/>
          <w:sz w:val="21"/>
        </w:rPr>
        <w:t>Engage honestly and constructively in the review discussion.</w:t>
      </w:r>
    </w:p>
    <w:p>
      <w:pPr>
        <w:pStyle w:val="ListBullet"/>
        <w:spacing w:after="60"/>
      </w:pPr>
      <w:r>
        <w:rPr>
          <w:color w:val="2C2C2C"/>
          <w:sz w:val="21"/>
        </w:rPr>
        <w:t>Set and actively pursue professional development goals.</w:t>
      </w:r>
    </w:p>
    <w:p>
      <w:pPr>
        <w:pStyle w:val="ListBullet"/>
        <w:spacing w:after="60"/>
      </w:pPr>
      <w:r>
        <w:rPr>
          <w:color w:val="2C2C2C"/>
          <w:sz w:val="21"/>
        </w:rPr>
        <w:t>Managers: deliver timely, specific, and actionable feedback throughout the year.</w:t>
      </w:r>
    </w:p>
    <w:p>
      <w:pPr>
        <w:spacing w:before="200" w:after="60"/>
        <w:pBdr>
          <w:bottom w:val="single" w:sz="4" w:space="4" w:color="007A87"/>
        </w:pBdr>
      </w:pPr>
      <w:r>
        <w:rPr>
          <w:b/>
          <w:color w:val="007A87"/>
          <w:sz w:val="20"/>
        </w:rPr>
        <w:t>CONSEQUENCES FOR VIOLATIONS</w:t>
      </w:r>
    </w:p>
    <w:p>
      <w:pPr>
        <w:spacing w:before="0" w:after="120"/>
        <w:jc w:val="left"/>
      </w:pPr>
      <w:r>
        <w:rPr>
          <w:b w:val="0"/>
          <w:i w:val="0"/>
          <w:color w:val="2C2C2C"/>
          <w:sz w:val="21"/>
        </w:rPr>
        <w:t>Failure to participate in the performance review process, or sustained performance below expectations without demonstrated improvement, may result in disciplinary action up to and including termination of employment.</w:t>
      </w:r>
    </w:p>
    <w:p>
      <w:r>
        <w:br w:type="page"/>
      </w:r>
    </w:p>
    <w:p>
      <w:pPr>
        <w:spacing w:before="80" w:after="120"/>
      </w:pPr>
      <w:r>
        <w:rPr>
          <w:b/>
          <w:color w:val="1A3A5C"/>
          <w:sz w:val="28"/>
        </w:rPr>
        <w:t>Policy 7: Social Media</w:t>
      </w:r>
    </w:p>
    <w:p>
      <w:pPr>
        <w:spacing w:before="200" w:after="60"/>
        <w:pBdr>
          <w:bottom w:val="single" w:sz="4" w:space="4" w:color="007A87"/>
        </w:pBdr>
      </w:pPr>
      <w:r>
        <w:rPr>
          <w:b/>
          <w:color w:val="007A87"/>
          <w:sz w:val="20"/>
        </w:rPr>
        <w:t>PURPOSE</w:t>
      </w:r>
    </w:p>
    <w:p>
      <w:pPr>
        <w:spacing w:before="0" w:after="120"/>
        <w:jc w:val="left"/>
      </w:pPr>
      <w:r>
        <w:rPr>
          <w:b w:val="0"/>
          <w:i w:val="0"/>
          <w:color w:val="2C2C2C"/>
          <w:sz w:val="21"/>
        </w:rPr>
        <w:t>This policy provides guidance on the responsible use of social media by Acme Logistics employees, both in a professional capacity and in personal use that may intersect with the company's reputation or interests.</w:t>
      </w:r>
    </w:p>
    <w:p>
      <w:pPr>
        <w:spacing w:before="200" w:after="60"/>
        <w:pBdr>
          <w:bottom w:val="single" w:sz="4" w:space="4" w:color="007A87"/>
        </w:pBdr>
      </w:pPr>
      <w:r>
        <w:rPr>
          <w:b/>
          <w:color w:val="007A87"/>
          <w:sz w:val="20"/>
        </w:rPr>
        <w:t>SCOPE</w:t>
      </w:r>
    </w:p>
    <w:p>
      <w:pPr>
        <w:spacing w:before="0" w:after="120"/>
        <w:jc w:val="left"/>
      </w:pPr>
      <w:r>
        <w:rPr>
          <w:b w:val="0"/>
          <w:i w:val="0"/>
          <w:color w:val="2C2C2C"/>
          <w:sz w:val="21"/>
        </w:rPr>
        <w:t>This policy applies to all employees and covers all social media platforms, including but not limited to LinkedIn, X (Twitter), Facebook, Instagram, TikTok, and any personal blogs or online forums.</w:t>
      </w:r>
    </w:p>
    <w:p>
      <w:pPr>
        <w:spacing w:before="200" w:after="60"/>
        <w:pBdr>
          <w:bottom w:val="single" w:sz="4" w:space="4" w:color="007A87"/>
        </w:pBdr>
      </w:pPr>
      <w:r>
        <w:rPr>
          <w:b/>
          <w:color w:val="007A87"/>
          <w:sz w:val="20"/>
        </w:rPr>
        <w:t>POLICY</w:t>
      </w:r>
    </w:p>
    <w:p>
      <w:pPr>
        <w:spacing w:before="0" w:after="120"/>
        <w:jc w:val="left"/>
      </w:pPr>
      <w:r>
        <w:rPr>
          <w:b w:val="0"/>
          <w:i w:val="0"/>
          <w:color w:val="2C2C2C"/>
          <w:sz w:val="21"/>
        </w:rPr>
        <w:t>Employees must not share confidential, proprietary, or sensitive information about Acme Logistics, its clients, or its employees on any social media platform.</w:t>
      </w:r>
    </w:p>
    <w:p>
      <w:pPr>
        <w:spacing w:before="0" w:after="120"/>
        <w:jc w:val="left"/>
      </w:pPr>
      <w:r>
        <w:rPr>
          <w:b w:val="0"/>
          <w:i w:val="0"/>
          <w:color w:val="2C2C2C"/>
          <w:sz w:val="21"/>
        </w:rPr>
        <w:t>When posting content that references the company or the employee's role, employees must make clear that opinions expressed are their own and do not represent the official position of the company.</w:t>
      </w:r>
    </w:p>
    <w:p>
      <w:pPr>
        <w:spacing w:before="0" w:after="120"/>
        <w:jc w:val="left"/>
      </w:pPr>
      <w:r>
        <w:rPr>
          <w:b w:val="0"/>
          <w:i w:val="0"/>
          <w:color w:val="2C2C2C"/>
          <w:sz w:val="21"/>
        </w:rPr>
        <w:t>Employees are prohibited from making false, misleading, or defamatory statements about the company, its leadership, colleagues, competitors, or clients.</w:t>
      </w:r>
    </w:p>
    <w:p>
      <w:pPr>
        <w:spacing w:before="0" w:after="120"/>
        <w:jc w:val="left"/>
      </w:pPr>
      <w:r>
        <w:rPr>
          <w:b w:val="0"/>
          <w:i w:val="0"/>
          <w:color w:val="2C2C2C"/>
          <w:sz w:val="21"/>
        </w:rPr>
        <w:t>Employees must not use social media to harass, bully, or discriminate against colleagues or any other individual.</w:t>
      </w:r>
    </w:p>
    <w:p>
      <w:pPr>
        <w:spacing w:before="0" w:after="120"/>
        <w:jc w:val="left"/>
      </w:pPr>
      <w:r>
        <w:rPr>
          <w:b w:val="0"/>
          <w:i w:val="0"/>
          <w:color w:val="2C2C2C"/>
          <w:sz w:val="21"/>
        </w:rPr>
        <w:t>Official social media accounts representing Acme Logistics may only be managed by authorized personnel. Employees must not create unofficial accounts that could be mistaken for official company channels.</w:t>
      </w:r>
    </w:p>
    <w:p>
      <w:pPr>
        <w:spacing w:before="200" w:after="60"/>
        <w:pBdr>
          <w:bottom w:val="single" w:sz="4" w:space="4" w:color="007A87"/>
        </w:pBdr>
      </w:pPr>
      <w:r>
        <w:rPr>
          <w:b/>
          <w:color w:val="007A87"/>
          <w:sz w:val="20"/>
        </w:rPr>
        <w:t>EMPLOYEE RESPONSIBILITIES</w:t>
      </w:r>
    </w:p>
    <w:p>
      <w:pPr>
        <w:pStyle w:val="ListBullet"/>
        <w:spacing w:after="60"/>
      </w:pPr>
      <w:r>
        <w:rPr>
          <w:color w:val="2C2C2C"/>
          <w:sz w:val="21"/>
        </w:rPr>
        <w:t>Exercise professional judgment and discretion in all online activity that could be associated with the company.</w:t>
      </w:r>
    </w:p>
    <w:p>
      <w:pPr>
        <w:pStyle w:val="ListBullet"/>
        <w:spacing w:after="60"/>
      </w:pPr>
      <w:r>
        <w:rPr>
          <w:color w:val="2C2C2C"/>
          <w:sz w:val="21"/>
        </w:rPr>
        <w:t>Immediately report to HR any social media content that may pose a legal or reputational risk to the company.</w:t>
      </w:r>
    </w:p>
    <w:p>
      <w:pPr>
        <w:pStyle w:val="ListBullet"/>
        <w:spacing w:after="60"/>
      </w:pPr>
      <w:r>
        <w:rPr>
          <w:color w:val="2C2C2C"/>
          <w:sz w:val="21"/>
        </w:rPr>
        <w:t>Respect the privacy and confidentiality of colleagues when engaging online.</w:t>
      </w:r>
    </w:p>
    <w:p>
      <w:pPr>
        <w:spacing w:before="200" w:after="60"/>
        <w:pBdr>
          <w:bottom w:val="single" w:sz="4" w:space="4" w:color="007A87"/>
        </w:pBdr>
      </w:pPr>
      <w:r>
        <w:rPr>
          <w:b/>
          <w:color w:val="007A87"/>
          <w:sz w:val="20"/>
        </w:rPr>
        <w:t>CONSEQUENCES FOR VIOLATIONS</w:t>
      </w:r>
    </w:p>
    <w:p>
      <w:pPr>
        <w:spacing w:before="0" w:after="120"/>
        <w:jc w:val="left"/>
      </w:pPr>
      <w:r>
        <w:rPr>
          <w:b w:val="0"/>
          <w:i w:val="0"/>
          <w:color w:val="2C2C2C"/>
          <w:sz w:val="21"/>
        </w:rPr>
        <w:t>Violations of this policy — including unauthorized disclosure of confidential information or conduct that damages the company's reputation — may result in disciplinary action up to and including termination, and may expose the employee to personal legal liability.</w:t>
      </w:r>
    </w:p>
    <w:p>
      <w:r>
        <w:br w:type="page"/>
      </w:r>
    </w:p>
    <w:p>
      <w:pPr>
        <w:spacing w:before="80" w:after="120"/>
      </w:pPr>
      <w:r>
        <w:rPr>
          <w:b/>
          <w:color w:val="1A3A5C"/>
          <w:sz w:val="28"/>
        </w:rPr>
        <w:t>Policy 8: Remote Work</w:t>
      </w:r>
    </w:p>
    <w:p>
      <w:pPr>
        <w:spacing w:before="200" w:after="60"/>
        <w:pBdr>
          <w:bottom w:val="single" w:sz="4" w:space="4" w:color="007A87"/>
        </w:pBdr>
      </w:pPr>
      <w:r>
        <w:rPr>
          <w:b/>
          <w:color w:val="007A87"/>
          <w:sz w:val="20"/>
        </w:rPr>
        <w:t>PURPOSE</w:t>
      </w:r>
    </w:p>
    <w:p>
      <w:pPr>
        <w:spacing w:before="0" w:after="120"/>
        <w:jc w:val="left"/>
      </w:pPr>
      <w:r>
        <w:rPr>
          <w:b w:val="0"/>
          <w:i w:val="0"/>
          <w:color w:val="2C2C2C"/>
          <w:sz w:val="21"/>
        </w:rPr>
        <w:t>Acme Logistics recognizes that flexible work arrangements can enhance productivity and employee well-being. This policy establishes expectations for employees who work remotely on a full-time or part-time basis.</w:t>
      </w:r>
    </w:p>
    <w:p>
      <w:pPr>
        <w:spacing w:before="200" w:after="60"/>
        <w:pBdr>
          <w:bottom w:val="single" w:sz="4" w:space="4" w:color="007A87"/>
        </w:pBdr>
      </w:pPr>
      <w:r>
        <w:rPr>
          <w:b/>
          <w:color w:val="007A87"/>
          <w:sz w:val="20"/>
        </w:rPr>
        <w:t>SCOPE</w:t>
      </w:r>
    </w:p>
    <w:p>
      <w:pPr>
        <w:spacing w:before="0" w:after="120"/>
        <w:jc w:val="left"/>
      </w:pPr>
      <w:r>
        <w:rPr>
          <w:b w:val="0"/>
          <w:i w:val="0"/>
          <w:color w:val="2C2C2C"/>
          <w:sz w:val="21"/>
        </w:rPr>
        <w:t>This policy applies to all employees who have been formally approved for remote work arrangements by their manager and Human Resources. Approval is required in advance and is not guaranteed for any position.</w:t>
      </w:r>
    </w:p>
    <w:p>
      <w:pPr>
        <w:spacing w:before="200" w:after="60"/>
        <w:pBdr>
          <w:bottom w:val="single" w:sz="4" w:space="4" w:color="007A87"/>
        </w:pBdr>
      </w:pPr>
      <w:r>
        <w:rPr>
          <w:b/>
          <w:color w:val="007A87"/>
          <w:sz w:val="20"/>
        </w:rPr>
        <w:t>POLICY</w:t>
      </w:r>
    </w:p>
    <w:p>
      <w:pPr>
        <w:spacing w:before="0" w:after="120"/>
        <w:jc w:val="left"/>
      </w:pPr>
      <w:r>
        <w:rPr>
          <w:b w:val="0"/>
          <w:i w:val="0"/>
          <w:color w:val="2C2C2C"/>
          <w:sz w:val="21"/>
        </w:rPr>
        <w:t>Remote work arrangements must be approved in writing by the employee's manager and HR. Approval may be revoked at any time based on business needs or performance.</w:t>
      </w:r>
    </w:p>
    <w:p>
      <w:pPr>
        <w:spacing w:before="0" w:after="120"/>
        <w:jc w:val="left"/>
      </w:pPr>
      <w:r>
        <w:rPr>
          <w:b w:val="0"/>
          <w:i w:val="0"/>
          <w:color w:val="2C2C2C"/>
          <w:sz w:val="21"/>
        </w:rPr>
        <w:t>Remote employees are expected to maintain the same level of productivity, availability, and professionalism as if working on-site. Core business hours must be observed unless an alternative schedule is approved.</w:t>
      </w:r>
    </w:p>
    <w:p>
      <w:pPr>
        <w:spacing w:before="0" w:after="120"/>
        <w:jc w:val="left"/>
      </w:pPr>
      <w:r>
        <w:rPr>
          <w:b w:val="0"/>
          <w:i w:val="0"/>
          <w:color w:val="2C2C2C"/>
          <w:sz w:val="21"/>
        </w:rPr>
        <w:t>Employees are responsible for maintaining a safe, dedicated, and distraction-free workspace. The company is not responsible for personal utility or internet costs unless otherwise specified in a written agreement.</w:t>
      </w:r>
    </w:p>
    <w:p>
      <w:pPr>
        <w:spacing w:before="0" w:after="120"/>
        <w:jc w:val="left"/>
      </w:pPr>
      <w:r>
        <w:rPr>
          <w:b w:val="0"/>
          <w:i w:val="0"/>
          <w:color w:val="2C2C2C"/>
          <w:sz w:val="21"/>
        </w:rPr>
        <w:t>Company-issued equipment must be used for all work activities. Employees must adhere to all IT security requirements, including VPN usage and endpoint protection.</w:t>
      </w:r>
    </w:p>
    <w:p>
      <w:pPr>
        <w:spacing w:before="0" w:after="120"/>
        <w:jc w:val="left"/>
      </w:pPr>
      <w:r>
        <w:rPr>
          <w:b w:val="0"/>
          <w:i w:val="0"/>
          <w:color w:val="2C2C2C"/>
          <w:sz w:val="21"/>
        </w:rPr>
        <w:t>Employees working remotely from outside Ohio or outside the United States must obtain prior written approval from HR, as this may have tax, benefits, and legal implications for the company.</w:t>
      </w:r>
    </w:p>
    <w:p>
      <w:pPr>
        <w:spacing w:before="200" w:after="60"/>
        <w:pBdr>
          <w:bottom w:val="single" w:sz="4" w:space="4" w:color="007A87"/>
        </w:pBdr>
      </w:pPr>
      <w:r>
        <w:rPr>
          <w:b/>
          <w:color w:val="007A87"/>
          <w:sz w:val="20"/>
        </w:rPr>
        <w:t>EMPLOYEE RESPONSIBILITIES</w:t>
      </w:r>
    </w:p>
    <w:p>
      <w:pPr>
        <w:pStyle w:val="ListBullet"/>
        <w:spacing w:after="60"/>
      </w:pPr>
      <w:r>
        <w:rPr>
          <w:color w:val="2C2C2C"/>
          <w:sz w:val="21"/>
        </w:rPr>
        <w:t>Be available and responsive during agreed-upon working hours.</w:t>
      </w:r>
    </w:p>
    <w:p>
      <w:pPr>
        <w:pStyle w:val="ListBullet"/>
        <w:spacing w:after="60"/>
      </w:pPr>
      <w:r>
        <w:rPr>
          <w:color w:val="2C2C2C"/>
          <w:sz w:val="21"/>
        </w:rPr>
        <w:t>Maintain a secure, professional remote work environment.</w:t>
      </w:r>
    </w:p>
    <w:p>
      <w:pPr>
        <w:pStyle w:val="ListBullet"/>
        <w:spacing w:after="60"/>
      </w:pPr>
      <w:r>
        <w:rPr>
          <w:color w:val="2C2C2C"/>
          <w:sz w:val="21"/>
        </w:rPr>
        <w:t>Protect company data and comply with all IT and data security policies.</w:t>
      </w:r>
    </w:p>
    <w:p>
      <w:pPr>
        <w:pStyle w:val="ListBullet"/>
        <w:spacing w:after="60"/>
      </w:pPr>
      <w:r>
        <w:rPr>
          <w:color w:val="2C2C2C"/>
          <w:sz w:val="21"/>
        </w:rPr>
        <w:t>Communicate proactively with the manager regarding any issues affecting performance or availability.</w:t>
      </w:r>
    </w:p>
    <w:p>
      <w:pPr>
        <w:pStyle w:val="ListBullet"/>
        <w:spacing w:after="60"/>
      </w:pPr>
      <w:r>
        <w:rPr>
          <w:color w:val="2C2C2C"/>
          <w:sz w:val="21"/>
        </w:rPr>
        <w:t>Attend required on-site meetings or events when requested by management.</w:t>
      </w:r>
    </w:p>
    <w:p>
      <w:pPr>
        <w:spacing w:before="200" w:after="60"/>
        <w:pBdr>
          <w:bottom w:val="single" w:sz="4" w:space="4" w:color="007A87"/>
        </w:pBdr>
      </w:pPr>
      <w:r>
        <w:rPr>
          <w:b/>
          <w:color w:val="007A87"/>
          <w:sz w:val="20"/>
        </w:rPr>
        <w:t>CONSEQUENCES FOR VIOLATIONS</w:t>
      </w:r>
    </w:p>
    <w:p>
      <w:pPr>
        <w:spacing w:before="0" w:after="120"/>
        <w:jc w:val="left"/>
      </w:pPr>
      <w:r>
        <w:rPr>
          <w:b w:val="0"/>
          <w:i w:val="0"/>
          <w:color w:val="2C2C2C"/>
          <w:sz w:val="21"/>
        </w:rPr>
        <w:t>Failure to comply with remote work expectations — including productivity issues, security breaches, or unauthorized changes to work location — may result in revocation of remote work privileges and further disciplinary action up to and including termination.</w:t>
      </w:r>
    </w:p>
    <w:p>
      <w:r>
        <w:br w:type="page"/>
      </w:r>
    </w:p>
    <w:p>
      <w:pPr>
        <w:spacing w:before="200" w:after="60"/>
        <w:pBdr>
          <w:bottom w:val="single" w:sz="4" w:space="4" w:color="007A87"/>
        </w:pBdr>
      </w:pPr>
      <w:r>
        <w:rPr>
          <w:b/>
          <w:color w:val="007A87"/>
          <w:sz w:val="20"/>
        </w:rPr>
        <w:t>EMPLOYEE ACKNOWLEDGMENT</w:t>
      </w:r>
    </w:p>
    <w:p>
      <w:pPr>
        <w:spacing w:before="0" w:after="600"/>
        <w:jc w:val="left"/>
      </w:pPr>
      <w:r>
        <w:rPr>
          <w:b w:val="0"/>
          <w:i w:val="0"/>
          <w:color w:val="2C2C2C"/>
          <w:sz w:val="21"/>
        </w:rPr>
        <w:t>By signing below, I acknowledge that I have received, read, and understand the Acme Logistics HR Policy Handbook. I agree to comply with all policies and understand that violations may result in disciplinary action, up to and including termination of employment.</w:t>
      </w:r>
    </w:p>
    <w:tbl>
      <w:tblPr>
        <w:tblStyle w:val="TableGrid"/>
        <w:tblW w:type="auto" w:w="0"/>
        <w:tblLook w:firstColumn="1" w:firstRow="1" w:lastColumn="0" w:lastRow="0" w:noHBand="0" w:noVBand="1" w:val="04A0"/>
      </w:tblPr>
      <w:tblGrid>
        <w:gridCol w:w="4680"/>
        <w:gridCol w:w="4680"/>
      </w:tblGrid>
      <w:tr>
        <w:tc>
          <w:tcPr>
            <w:tcW w:type="dxa" w:w="4680"/>
          </w:tcPr>
          <w:p>
            <w:pPr>
              <w:spacing w:before="80" w:after="80"/>
            </w:pPr>
            <w:r>
              <w:rPr>
                <w:b/>
                <w:color w:val="2C2C2C"/>
                <w:sz w:val="20"/>
              </w:rPr>
              <w:t>Employee Full Name (Print)</w:t>
            </w:r>
          </w:p>
        </w:tc>
        <w:tc>
          <w:tcPr>
            <w:tcW w:type="dxa" w:w="4680"/>
          </w:tcPr>
          <w:p>
            <w:pPr>
              <w:spacing w:before="80" w:after="80"/>
            </w:pPr>
            <w:r>
              <w:rPr>
                <w:sz w:val="20"/>
              </w:rPr>
              <w:t xml:space="preserve"> </w:t>
            </w:r>
          </w:p>
        </w:tc>
      </w:tr>
    </w:tbl>
    <w:p/>
    <w:tbl>
      <w:tblPr>
        <w:tblStyle w:val="TableGrid"/>
        <w:tblW w:type="auto" w:w="0"/>
        <w:tblLook w:firstColumn="1" w:firstRow="1" w:lastColumn="0" w:lastRow="0" w:noHBand="0" w:noVBand="1" w:val="04A0"/>
      </w:tblPr>
      <w:tblGrid>
        <w:gridCol w:w="4680"/>
        <w:gridCol w:w="4680"/>
      </w:tblGrid>
      <w:tr>
        <w:tc>
          <w:tcPr>
            <w:tcW w:type="dxa" w:w="4680"/>
          </w:tcPr>
          <w:p>
            <w:pPr>
              <w:spacing w:before="80" w:after="80"/>
            </w:pPr>
            <w:r>
              <w:rPr>
                <w:b/>
                <w:color w:val="2C2C2C"/>
                <w:sz w:val="20"/>
              </w:rPr>
              <w:t>Employee Signature</w:t>
            </w:r>
          </w:p>
        </w:tc>
        <w:tc>
          <w:tcPr>
            <w:tcW w:type="dxa" w:w="4680"/>
          </w:tcPr>
          <w:p>
            <w:pPr>
              <w:spacing w:before="80" w:after="80"/>
            </w:pPr>
            <w:r>
              <w:rPr>
                <w:sz w:val="20"/>
              </w:rPr>
              <w:t xml:space="preserve"> </w:t>
            </w:r>
          </w:p>
        </w:tc>
      </w:tr>
    </w:tbl>
    <w:p/>
    <w:tbl>
      <w:tblPr>
        <w:tblStyle w:val="TableGrid"/>
        <w:tblW w:type="auto" w:w="0"/>
        <w:tblLook w:firstColumn="1" w:firstRow="1" w:lastColumn="0" w:lastRow="0" w:noHBand="0" w:noVBand="1" w:val="04A0"/>
      </w:tblPr>
      <w:tblGrid>
        <w:gridCol w:w="4680"/>
        <w:gridCol w:w="4680"/>
      </w:tblGrid>
      <w:tr>
        <w:tc>
          <w:tcPr>
            <w:tcW w:type="dxa" w:w="4680"/>
          </w:tcPr>
          <w:p>
            <w:pPr>
              <w:spacing w:before="80" w:after="80"/>
            </w:pPr>
            <w:r>
              <w:rPr>
                <w:b/>
                <w:color w:val="2C2C2C"/>
                <w:sz w:val="20"/>
              </w:rPr>
              <w:t>Date</w:t>
            </w:r>
          </w:p>
        </w:tc>
        <w:tc>
          <w:tcPr>
            <w:tcW w:type="dxa" w:w="4680"/>
          </w:tcPr>
          <w:p>
            <w:pPr>
              <w:spacing w:before="80" w:after="80"/>
            </w:pPr>
            <w:r>
              <w:rPr>
                <w:sz w:val="20"/>
              </w:rPr>
              <w:t xml:space="preserve"> </w:t>
            </w:r>
          </w:p>
        </w:tc>
      </w:tr>
    </w:tbl>
    <w:p/>
    <w:tbl>
      <w:tblPr>
        <w:tblStyle w:val="TableGrid"/>
        <w:tblW w:type="auto" w:w="0"/>
        <w:tblLook w:firstColumn="1" w:firstRow="1" w:lastColumn="0" w:lastRow="0" w:noHBand="0" w:noVBand="1" w:val="04A0"/>
      </w:tblPr>
      <w:tblGrid>
        <w:gridCol w:w="4680"/>
        <w:gridCol w:w="4680"/>
      </w:tblGrid>
      <w:tr>
        <w:tc>
          <w:tcPr>
            <w:tcW w:type="dxa" w:w="4680"/>
          </w:tcPr>
          <w:p>
            <w:pPr>
              <w:spacing w:before="80" w:after="80"/>
            </w:pPr>
            <w:r>
              <w:rPr>
                <w:b/>
                <w:color w:val="2C2C2C"/>
                <w:sz w:val="20"/>
              </w:rPr>
              <w:t>Department</w:t>
            </w:r>
          </w:p>
        </w:tc>
        <w:tc>
          <w:tcPr>
            <w:tcW w:type="dxa" w:w="4680"/>
          </w:tcPr>
          <w:p>
            <w:pPr>
              <w:spacing w:before="80" w:after="80"/>
            </w:pPr>
            <w:r>
              <w:rPr>
                <w:sz w:val="20"/>
              </w:rPr>
              <w:t xml:space="preserve"> </w:t>
            </w:r>
          </w:p>
        </w:tc>
      </w:tr>
    </w:tbl>
    <w:p/>
    <w:tbl>
      <w:tblPr>
        <w:tblStyle w:val="TableGrid"/>
        <w:tblW w:type="auto" w:w="0"/>
        <w:tblLook w:firstColumn="1" w:firstRow="1" w:lastColumn="0" w:lastRow="0" w:noHBand="0" w:noVBand="1" w:val="04A0"/>
      </w:tblPr>
      <w:tblGrid>
        <w:gridCol w:w="4680"/>
        <w:gridCol w:w="4680"/>
      </w:tblGrid>
      <w:tr>
        <w:tc>
          <w:tcPr>
            <w:tcW w:type="dxa" w:w="4680"/>
          </w:tcPr>
          <w:p>
            <w:pPr>
              <w:spacing w:before="80" w:after="80"/>
            </w:pPr>
            <w:r>
              <w:rPr>
                <w:b/>
                <w:color w:val="2C2C2C"/>
                <w:sz w:val="20"/>
              </w:rPr>
              <w:t>Manager Name</w:t>
            </w:r>
          </w:p>
        </w:tc>
        <w:tc>
          <w:tcPr>
            <w:tcW w:type="dxa" w:w="4680"/>
          </w:tcPr>
          <w:p>
            <w:pPr>
              <w:spacing w:before="80" w:after="80"/>
            </w:pPr>
            <w:r>
              <w:rPr>
                <w:sz w:val="20"/>
              </w:rPr>
              <w:t xml:space="preserve"> </w:t>
            </w:r>
          </w:p>
        </w:tc>
      </w:tr>
    </w:tbl>
    <w:p/>
    <w:p>
      <w:pPr>
        <w:spacing w:before="240" w:after="120"/>
        <w:jc w:val="left"/>
      </w:pPr>
      <w:r>
        <w:rPr>
          <w:b w:val="0"/>
          <w:i/>
          <w:color w:val="888888"/>
          <w:sz w:val="19"/>
        </w:rPr>
        <w:t>Please return a signed copy of this page to Human Resources. A copy will be retained in your personnel file.</w:t>
      </w:r>
    </w:p>
    <w:sectPr w:rsidR="00FC693F" w:rsidRPr="0006063C" w:rsidSect="00034616">
      <w:footerReference w:type="default" r:id="rId9"/>
      <w:pgSz w:w="12240" w:h="15840"/>
      <w:pgMar w:top="1080"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Bdr>
        <w:top w:val="single" w:sz="4" w:space="1" w:color="007A87"/>
      </w:pBdr>
    </w:pPr>
    <w:r>
      <w:rPr>
        <w:color w:val="888888"/>
        <w:sz w:val="16"/>
      </w:rPr>
      <w:t>Waymark HR Group LLC  |  716-225-6347  |  Jamie.Wahler@waymarkhrgroup.com  |  www.waymarkhrgroup.com</w:t>
    </w:r>
  </w:p>
  <w:p>
    <w:pPr>
      <w:spacing w:before="0"/>
      <w:jc w:val="center"/>
    </w:pPr>
    <w:r>
      <w:rPr>
        <w:color w:val="888888"/>
        <w:sz w:val="16"/>
      </w:rPr>
      <w:t xml:space="preserve">Page </w:t>
    </w:r>
    <w:r>
      <w:rPr>
        <w:color w:val="888888"/>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