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OGE Facilities Maintenance</w:t>
        <w:br/>
        <w:t>AI Agent Demo</w:t>
      </w:r>
    </w:p>
    <w:p>
      <w:pPr>
        <w:pStyle w:val="Subtitle"/>
        <w:jc w:val="center"/>
      </w:pPr>
      <w:r>
        <w:t>Presenter script with copy/paste prompts</w:t>
      </w:r>
    </w:p>
    <w:p>
      <w:pPr>
        <w:jc w:val="center"/>
      </w:pPr>
      <w:r>
        <w:rPr>
          <w:i/>
        </w:rPr>
        <w:t>Target length: 5–7 minutes  |  Synthetic demonstration data</w:t>
      </w:r>
    </w:p>
    <w:tbl>
      <w:tblPr>
        <w:tblW w:type="auto" w:w="0"/>
        <w:tblLayout w:type="fixed"/>
        <w:tblLook w:firstColumn="1" w:firstRow="1" w:lastColumn="0" w:lastRow="0" w:noHBand="0" w:noVBand="1" w:val="04A0"/>
      </w:tblPr>
      <w:tblGrid>
        <w:gridCol w:w="10080"/>
      </w:tblGrid>
      <w:tr>
        <w:tc>
          <w:tcPr>
            <w:tcW w:type="dxa" w:w="10080"/>
            <w:shd w:fill="17365D"/>
            <w:tcMar>
              <w:top w:w="180" w:type="dxa"/>
              <w:start w:w="220" w:type="dxa"/>
              <w:bottom w:w="180" w:type="dxa"/>
              <w:end w:w="220" w:type="dxa"/>
            </w:tcMar>
          </w:tcPr>
          <w:p>
            <w:r>
              <w:rPr>
                <w:color w:val="FFFFFF"/>
                <w:sz w:val="23"/>
              </w:rPr>
              <w:t>Demo story: one conversational agent combines Fabric analytics, SQL vector retrieval, and controlled SharePoint knowledge—without presenting synthetic historical evidence as an authorized maintenance instruction.</w:t>
            </w:r>
          </w:p>
        </w:tc>
      </w:tr>
    </w:tbl>
    <w:p>
      <w:pPr>
        <w:pStyle w:val="Heading1"/>
      </w:pPr>
      <w:r>
        <w:t>Before the demo</w:t>
      </w:r>
    </w:p>
    <w:p>
      <w:pPr>
        <w:pStyle w:val="ListBullet"/>
        <w:spacing w:after="40"/>
      </w:pPr>
      <w:r>
        <w:t>Confirm the Fabric capacity is active and the OGE Maintenance Operations Advisor is published.</w:t>
      </w:r>
    </w:p>
    <w:p>
      <w:pPr>
        <w:pStyle w:val="ListBullet"/>
        <w:spacing w:after="40"/>
      </w:pPr>
      <w:r>
        <w:t>Open the OGE Maintenance Knowledge Advisor test panel and start a new conversation.</w:t>
      </w:r>
    </w:p>
    <w:p>
      <w:pPr>
        <w:pStyle w:val="ListBullet"/>
        <w:spacing w:after="40"/>
      </w:pPr>
      <w:r>
        <w:t>Authenticate the Fabric IQ Data MCP and SharePoint connections if prompted.</w:t>
      </w:r>
    </w:p>
    <w:p>
      <w:pPr>
        <w:pStyle w:val="ListBullet"/>
        <w:spacing w:after="40"/>
      </w:pPr>
      <w:r>
        <w:t>Keep this document open beside the test panel for direct prompt copy/paste.</w:t>
      </w:r>
    </w:p>
    <w:p>
      <w:pPr>
        <w:pStyle w:val="ListBullet"/>
        <w:spacing w:after="40"/>
      </w:pPr>
      <w:r>
        <w:t>Remind the audience that every work order, person, cost, and document is synthetic.</w:t>
      </w:r>
    </w:p>
    <w:p>
      <w:pPr>
        <w:pStyle w:val="Heading1"/>
      </w:pPr>
      <w:r>
        <w:t>30-second opening</w:t>
      </w:r>
    </w:p>
    <w:p>
      <w:pPr>
        <w:spacing w:after="80"/>
      </w:pPr>
      <w:r>
        <w:rPr>
          <w:b/>
          <w:color w:val="17365D"/>
        </w:rPr>
        <w:t xml:space="preserve">Say: </w:t>
      </w:r>
      <w:r>
        <w:t>This demo shows a single maintenance assistant orchestrating three grounding paths. Fabric supplies governed operational metrics, Fabric SQL vector search retrieves analogous completed work, and SharePoint supplies controlled procedures and manuals. The agent chooses and combines those sources based on the question.</w:t>
      </w:r>
    </w:p>
    <w:p>
      <w:pPr>
        <w:pStyle w:val="Heading1"/>
      </w:pPr>
      <w:r>
        <w:t>Demo at a glance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7365D"/>
            <w:vAlign w:val="center"/>
          </w:tcPr>
          <w:p>
            <w:r>
              <w:rPr>
                <w:b/>
                <w:color w:val="FFFFFF"/>
              </w:rPr>
              <w:t>Step</w:t>
            </w:r>
          </w:p>
        </w:tc>
        <w:tc>
          <w:tcPr>
            <w:tcW w:type="dxa" w:w="2520"/>
            <w:shd w:fill="17365D"/>
            <w:vAlign w:val="center"/>
          </w:tcPr>
          <w:p>
            <w:r>
              <w:rPr>
                <w:b/>
                <w:color w:val="FFFFFF"/>
              </w:rPr>
              <w:t>Capability</w:t>
            </w:r>
          </w:p>
        </w:tc>
        <w:tc>
          <w:tcPr>
            <w:tcW w:type="dxa" w:w="2520"/>
            <w:shd w:fill="17365D"/>
            <w:vAlign w:val="center"/>
          </w:tcPr>
          <w:p>
            <w:r>
              <w:rPr>
                <w:b/>
                <w:color w:val="FFFFFF"/>
              </w:rPr>
              <w:t>Source</w:t>
            </w:r>
          </w:p>
        </w:tc>
        <w:tc>
          <w:tcPr>
            <w:tcW w:type="dxa" w:w="2520"/>
            <w:shd w:fill="17365D"/>
            <w:vAlign w:val="center"/>
          </w:tcPr>
          <w:p>
            <w:r>
              <w:rPr>
                <w:b/>
                <w:color w:val="FFFFFF"/>
              </w:rPr>
              <w:t>Time</w:t>
            </w:r>
          </w:p>
        </w:tc>
      </w:tr>
      <w:tr>
        <w:tc>
          <w:tcPr>
            <w:tcW w:type="dxa" w:w="2520"/>
            <w:tcMar>
              <w:top w:w="100" w:type="dxa"/>
              <w:start w:w="120" w:type="dxa"/>
              <w:bottom w:w="100" w:type="dxa"/>
              <w:end w:w="120" w:type="dxa"/>
            </w:tcMar>
          </w:tcPr>
          <w:p>
            <w:r>
              <w:t>1</w:t>
            </w:r>
          </w:p>
        </w:tc>
        <w:tc>
          <w:tcPr>
            <w:tcW w:type="dxa" w:w="2520"/>
            <w:tcMar>
              <w:top w:w="100" w:type="dxa"/>
              <w:start w:w="120" w:type="dxa"/>
              <w:bottom w:w="100" w:type="dxa"/>
              <w:end w:w="120" w:type="dxa"/>
            </w:tcMar>
          </w:tcPr>
          <w:p>
            <w:r>
              <w:t>Operational KPI</w:t>
            </w:r>
          </w:p>
        </w:tc>
        <w:tc>
          <w:tcPr>
            <w:tcW w:type="dxa" w:w="2520"/>
            <w:tcMar>
              <w:top w:w="100" w:type="dxa"/>
              <w:start w:w="120" w:type="dxa"/>
              <w:bottom w:w="100" w:type="dxa"/>
              <w:end w:w="120" w:type="dxa"/>
            </w:tcMar>
          </w:tcPr>
          <w:p>
            <w:r>
              <w:t>Fabric semantic model</w:t>
            </w:r>
          </w:p>
        </w:tc>
        <w:tc>
          <w:tcPr>
            <w:tcW w:type="dxa" w:w="2520"/>
            <w:tcMar>
              <w:top w:w="100" w:type="dxa"/>
              <w:start w:w="120" w:type="dxa"/>
              <w:bottom w:w="100" w:type="dxa"/>
              <w:end w:w="120" w:type="dxa"/>
            </w:tcMar>
          </w:tcPr>
          <w:p>
            <w:r>
              <w:t>45 sec</w:t>
            </w:r>
          </w:p>
        </w:tc>
      </w:tr>
      <w:tr>
        <w:tc>
          <w:tcPr>
            <w:tcW w:type="dxa" w:w="2520"/>
            <w:tcMar>
              <w:top w:w="100" w:type="dxa"/>
              <w:start w:w="120" w:type="dxa"/>
              <w:bottom w:w="100" w:type="dxa"/>
              <w:end w:w="120" w:type="dxa"/>
            </w:tcMar>
          </w:tcPr>
          <w:p>
            <w:r>
              <w:t>2</w:t>
            </w:r>
          </w:p>
        </w:tc>
        <w:tc>
          <w:tcPr>
            <w:tcW w:type="dxa" w:w="2520"/>
            <w:tcMar>
              <w:top w:w="100" w:type="dxa"/>
              <w:start w:w="120" w:type="dxa"/>
              <w:bottom w:w="100" w:type="dxa"/>
              <w:end w:w="120" w:type="dxa"/>
            </w:tcMar>
          </w:tcPr>
          <w:p>
            <w:r>
              <w:t>Prioritized analysis</w:t>
            </w:r>
          </w:p>
        </w:tc>
        <w:tc>
          <w:tcPr>
            <w:tcW w:type="dxa" w:w="2520"/>
            <w:tcMar>
              <w:top w:w="100" w:type="dxa"/>
              <w:start w:w="120" w:type="dxa"/>
              <w:bottom w:w="100" w:type="dxa"/>
              <w:end w:w="120" w:type="dxa"/>
            </w:tcMar>
          </w:tcPr>
          <w:p>
            <w:r>
              <w:t>Fabric semantic model</w:t>
            </w:r>
          </w:p>
        </w:tc>
        <w:tc>
          <w:tcPr>
            <w:tcW w:type="dxa" w:w="2520"/>
            <w:tcMar>
              <w:top w:w="100" w:type="dxa"/>
              <w:start w:w="120" w:type="dxa"/>
              <w:bottom w:w="100" w:type="dxa"/>
              <w:end w:w="120" w:type="dxa"/>
            </w:tcMar>
          </w:tcPr>
          <w:p>
            <w:r>
              <w:t>45 sec</w:t>
            </w:r>
          </w:p>
        </w:tc>
      </w:tr>
      <w:tr>
        <w:tc>
          <w:tcPr>
            <w:tcW w:type="dxa" w:w="2520"/>
            <w:tcMar>
              <w:top w:w="100" w:type="dxa"/>
              <w:start w:w="120" w:type="dxa"/>
              <w:bottom w:w="100" w:type="dxa"/>
              <w:end w:w="120" w:type="dxa"/>
            </w:tcMar>
          </w:tcPr>
          <w:p>
            <w:r>
              <w:t>3</w:t>
            </w:r>
          </w:p>
        </w:tc>
        <w:tc>
          <w:tcPr>
            <w:tcW w:type="dxa" w:w="2520"/>
            <w:tcMar>
              <w:top w:w="100" w:type="dxa"/>
              <w:start w:w="120" w:type="dxa"/>
              <w:bottom w:w="100" w:type="dxa"/>
              <w:end w:w="120" w:type="dxa"/>
            </w:tcMar>
          </w:tcPr>
          <w:p>
            <w:r>
              <w:t>Analogous-case retrieval</w:t>
            </w:r>
          </w:p>
        </w:tc>
        <w:tc>
          <w:tcPr>
            <w:tcW w:type="dxa" w:w="2520"/>
            <w:tcMar>
              <w:top w:w="100" w:type="dxa"/>
              <w:start w:w="120" w:type="dxa"/>
              <w:bottom w:w="100" w:type="dxa"/>
              <w:end w:w="120" w:type="dxa"/>
            </w:tcMar>
          </w:tcPr>
          <w:p>
            <w:r>
              <w:t>Fabric SQL vector store</w:t>
            </w:r>
          </w:p>
        </w:tc>
        <w:tc>
          <w:tcPr>
            <w:tcW w:type="dxa" w:w="2520"/>
            <w:tcMar>
              <w:top w:w="100" w:type="dxa"/>
              <w:start w:w="120" w:type="dxa"/>
              <w:bottom w:w="100" w:type="dxa"/>
              <w:end w:w="120" w:type="dxa"/>
            </w:tcMar>
          </w:tcPr>
          <w:p>
            <w:r>
              <w:t>75 sec</w:t>
            </w:r>
          </w:p>
        </w:tc>
      </w:tr>
      <w:tr>
        <w:tc>
          <w:tcPr>
            <w:tcW w:type="dxa" w:w="2520"/>
            <w:tcMar>
              <w:top w:w="100" w:type="dxa"/>
              <w:start w:w="120" w:type="dxa"/>
              <w:bottom w:w="100" w:type="dxa"/>
              <w:end w:w="120" w:type="dxa"/>
            </w:tcMar>
          </w:tcPr>
          <w:p>
            <w:r>
              <w:t>4</w:t>
            </w:r>
          </w:p>
        </w:tc>
        <w:tc>
          <w:tcPr>
            <w:tcW w:type="dxa" w:w="2520"/>
            <w:tcMar>
              <w:top w:w="100" w:type="dxa"/>
              <w:start w:w="120" w:type="dxa"/>
              <w:bottom w:w="100" w:type="dxa"/>
              <w:end w:w="120" w:type="dxa"/>
            </w:tcMar>
          </w:tcPr>
          <w:p>
            <w:r>
              <w:t>Controlled guidance</w:t>
            </w:r>
          </w:p>
        </w:tc>
        <w:tc>
          <w:tcPr>
            <w:tcW w:type="dxa" w:w="2520"/>
            <w:tcMar>
              <w:top w:w="100" w:type="dxa"/>
              <w:start w:w="120" w:type="dxa"/>
              <w:bottom w:w="100" w:type="dxa"/>
              <w:end w:w="120" w:type="dxa"/>
            </w:tcMar>
          </w:tcPr>
          <w:p>
            <w:r>
              <w:t>SharePoint knowledge</w:t>
            </w:r>
          </w:p>
        </w:tc>
        <w:tc>
          <w:tcPr>
            <w:tcW w:type="dxa" w:w="2520"/>
            <w:tcMar>
              <w:top w:w="100" w:type="dxa"/>
              <w:start w:w="120" w:type="dxa"/>
              <w:bottom w:w="100" w:type="dxa"/>
              <w:end w:w="120" w:type="dxa"/>
            </w:tcMar>
          </w:tcPr>
          <w:p>
            <w:r>
              <w:t>60 sec</w:t>
            </w:r>
          </w:p>
        </w:tc>
      </w:tr>
      <w:tr>
        <w:tc>
          <w:tcPr>
            <w:tcW w:type="dxa" w:w="2520"/>
            <w:tcMar>
              <w:top w:w="100" w:type="dxa"/>
              <w:start w:w="120" w:type="dxa"/>
              <w:bottom w:w="100" w:type="dxa"/>
              <w:end w:w="120" w:type="dxa"/>
            </w:tcMar>
          </w:tcPr>
          <w:p>
            <w:r>
              <w:t>5</w:t>
            </w:r>
          </w:p>
        </w:tc>
        <w:tc>
          <w:tcPr>
            <w:tcW w:type="dxa" w:w="2520"/>
            <w:tcMar>
              <w:top w:w="100" w:type="dxa"/>
              <w:start w:w="120" w:type="dxa"/>
              <w:bottom w:w="100" w:type="dxa"/>
              <w:end w:w="120" w:type="dxa"/>
            </w:tcMar>
          </w:tcPr>
          <w:p>
            <w:r>
              <w:t>Combined RAG finale</w:t>
            </w:r>
          </w:p>
        </w:tc>
        <w:tc>
          <w:tcPr>
            <w:tcW w:type="dxa" w:w="2520"/>
            <w:tcMar>
              <w:top w:w="100" w:type="dxa"/>
              <w:start w:w="120" w:type="dxa"/>
              <w:bottom w:w="100" w:type="dxa"/>
              <w:end w:w="120" w:type="dxa"/>
            </w:tcMar>
          </w:tcPr>
          <w:p>
            <w:r>
              <w:t>Fabric + SQL vector + SharePoint</w:t>
            </w:r>
          </w:p>
        </w:tc>
        <w:tc>
          <w:tcPr>
            <w:tcW w:type="dxa" w:w="2520"/>
            <w:tcMar>
              <w:top w:w="100" w:type="dxa"/>
              <w:start w:w="120" w:type="dxa"/>
              <w:bottom w:w="100" w:type="dxa"/>
              <w:end w:w="120" w:type="dxa"/>
            </w:tcMar>
          </w:tcPr>
          <w:p>
            <w:r>
              <w:t>90 sec</w:t>
            </w:r>
          </w:p>
        </w:tc>
      </w:tr>
    </w:tbl>
    <w:p>
      <w:pPr>
        <w:sectPr>
          <w:footerReference w:type="default" r:id="rId9"/>
          <w:pgSz w:w="12240" w:h="15840"/>
          <w:pgMar w:top="936" w:right="1080" w:bottom="936" w:left="1080" w:header="720" w:footer="720" w:gutter="0"/>
          <w:cols w:space="720"/>
          <w:docGrid w:linePitch="360"/>
        </w:sectPr>
      </w:pPr>
    </w:p>
    <w:p>
      <w:pPr>
        <w:pStyle w:val="Heading1"/>
        <w:keepNext/>
      </w:pPr>
      <w:r>
        <w:t>1. Start with trusted operational metrics</w:t>
      </w:r>
      <w:r>
        <w:rPr>
          <w:color w:val="107C10"/>
          <w:sz w:val="22"/>
        </w:rPr>
        <w:t xml:space="preserve">  |  45 seconds</w:t>
      </w:r>
    </w:p>
    <w:p>
      <w:pPr>
        <w:spacing w:after="80"/>
      </w:pPr>
      <w:r>
        <w:rPr>
          <w:b/>
          <w:color w:val="17365D"/>
        </w:rPr>
        <w:t xml:space="preserve">Say: </w:t>
      </w:r>
      <w:r>
        <w:t>First, I’ll ask a plain-language operational question. The Copilot Studio agent routes it to the Fabric Data Agent, which applies the governed measure definitions.</w:t>
      </w:r>
    </w:p>
    <w:p>
      <w:pPr>
        <w:spacing w:after="80"/>
      </w:pPr>
      <w:r>
        <w:rPr>
          <w:b/>
          <w:color w:val="0078D4"/>
          <w:sz w:val="18"/>
        </w:rPr>
        <w:t>COPY / PASTE PROMPT</w:t>
      </w:r>
    </w:p>
    <w:tbl>
      <w:tblPr>
        <w:tblW w:type="auto" w:w="0"/>
        <w:tblLayout w:type="fixed"/>
        <w:tblLook w:firstColumn="1" w:firstRow="1" w:lastColumn="0" w:lastRow="0" w:noHBand="0" w:noVBand="1" w:val="04A0"/>
      </w:tblPr>
      <w:tblGrid>
        <w:gridCol w:w="10080"/>
      </w:tblGrid>
      <w:tr>
        <w:tc>
          <w:tcPr>
            <w:tcW w:type="dxa" w:w="9792"/>
            <w:shd w:fill="EAF4FB"/>
            <w:tcMar>
              <w:top w:w="140" w:type="dxa"/>
              <w:start w:w="180" w:type="dxa"/>
              <w:bottom w:w="140" w:type="dxa"/>
              <w:end w:w="180" w:type="dxa"/>
            </w:tcMar>
          </w:tcPr>
          <w:p>
            <w:pPr>
              <w:spacing w:after="0"/>
            </w:pPr>
            <w:r>
              <w:rPr>
                <w:rFonts w:ascii="Aptos" w:hAnsi="Aptos"/>
                <w:color w:val="17365D"/>
                <w:sz w:val="21"/>
              </w:rPr>
              <w:t>How many work orders are in the model, and how many are currently open? State the definition used for open work orders.</w:t>
            </w:r>
          </w:p>
        </w:tc>
      </w:tr>
    </w:tbl>
    <w:p>
      <w:pPr>
        <w:spacing w:after="80"/>
      </w:pPr>
      <w:r>
        <w:rPr>
          <w:b/>
          <w:color w:val="17365D"/>
        </w:rPr>
        <w:t xml:space="preserve">Point out: </w:t>
      </w:r>
      <w:r/>
    </w:p>
    <w:p>
      <w:pPr>
        <w:pStyle w:val="ListBullet"/>
        <w:spacing w:after="40"/>
      </w:pPr>
      <w:r>
        <w:t>The answer should report 1,500 total work orders and 551 open work orders.</w:t>
      </w:r>
    </w:p>
    <w:p>
      <w:pPr>
        <w:pStyle w:val="ListBullet"/>
        <w:spacing w:after="40"/>
      </w:pPr>
      <w:r>
        <w:t>Open excludes COMP, CLOSE, and CAN statuses.</w:t>
      </w:r>
    </w:p>
    <w:p>
      <w:pPr>
        <w:pStyle w:val="ListBullet"/>
        <w:spacing w:after="40"/>
      </w:pPr>
      <w:r>
        <w:t>The response should identify the records as synthetic.</w:t>
      </w:r>
    </w:p>
    <w:p>
      <w:pPr>
        <w:spacing w:after="80"/>
      </w:pPr>
      <w:r>
        <w:rPr>
          <w:b/>
          <w:color w:val="17365D"/>
        </w:rPr>
        <w:t xml:space="preserve">Fallback prompt: </w:t>
      </w:r>
      <w:r>
        <w:t>Give me Work Order Count and Open Work Order Count using the Fabric model’s explicit measures.</w:t>
      </w:r>
    </w:p>
    <w:p/>
    <w:p>
      <w:pPr>
        <w:pStyle w:val="Heading1"/>
        <w:keepNext/>
      </w:pPr>
      <w:r>
        <w:t>2. Turn metrics into a prioritized view</w:t>
      </w:r>
      <w:r>
        <w:rPr>
          <w:color w:val="107C10"/>
          <w:sz w:val="22"/>
        </w:rPr>
        <w:t xml:space="preserve">  |  45 seconds</w:t>
      </w:r>
    </w:p>
    <w:p>
      <w:pPr>
        <w:spacing w:after="80"/>
      </w:pPr>
      <w:r>
        <w:rPr>
          <w:b/>
          <w:color w:val="17365D"/>
        </w:rPr>
        <w:t xml:space="preserve">Say: </w:t>
      </w:r>
      <w:r>
        <w:t>The same governed model can answer a ranked business question, not just return a total.</w:t>
      </w:r>
    </w:p>
    <w:p>
      <w:pPr>
        <w:spacing w:after="80"/>
      </w:pPr>
      <w:r>
        <w:rPr>
          <w:b/>
          <w:color w:val="0078D4"/>
          <w:sz w:val="18"/>
        </w:rPr>
        <w:t>COPY / PASTE PROMPT</w:t>
      </w:r>
    </w:p>
    <w:tbl>
      <w:tblPr>
        <w:tblW w:type="auto" w:w="0"/>
        <w:tblLayout w:type="fixed"/>
        <w:tblLook w:firstColumn="1" w:firstRow="1" w:lastColumn="0" w:lastRow="0" w:noHBand="0" w:noVBand="1" w:val="04A0"/>
      </w:tblPr>
      <w:tblGrid>
        <w:gridCol w:w="10080"/>
      </w:tblGrid>
      <w:tr>
        <w:tc>
          <w:tcPr>
            <w:tcW w:type="dxa" w:w="9792"/>
            <w:shd w:fill="EAF4FB"/>
            <w:tcMar>
              <w:top w:w="140" w:type="dxa"/>
              <w:start w:w="180" w:type="dxa"/>
              <w:bottom w:w="140" w:type="dxa"/>
              <w:end w:w="180" w:type="dxa"/>
            </w:tcMar>
          </w:tcPr>
          <w:p>
            <w:pPr>
              <w:spacing w:after="0"/>
            </w:pPr>
            <w:r>
              <w:rPr>
                <w:rFonts w:ascii="Aptos" w:hAnsi="Aptos"/>
                <w:color w:val="17365D"/>
                <w:sz w:val="21"/>
              </w:rPr>
              <w:t>Show the five facilities with the highest high-priority backlog. Include site name, open work-order count, high-priority backlog, and the percentage of open work orders that are high priority. Sort highest to lowest.</w:t>
            </w:r>
          </w:p>
        </w:tc>
      </w:tr>
    </w:tbl>
    <w:p>
      <w:pPr>
        <w:spacing w:after="80"/>
      </w:pPr>
      <w:r>
        <w:rPr>
          <w:b/>
          <w:color w:val="17365D"/>
        </w:rPr>
        <w:t xml:space="preserve">Point out: </w:t>
      </w:r>
      <w:r/>
    </w:p>
    <w:p>
      <w:pPr>
        <w:pStyle w:val="ListBullet"/>
        <w:spacing w:after="40"/>
      </w:pPr>
      <w:r>
        <w:t>A five-row ranked table rather than a narrative-only answer.</w:t>
      </w:r>
    </w:p>
    <w:p>
      <w:pPr>
        <w:pStyle w:val="ListBullet"/>
        <w:spacing w:after="40"/>
      </w:pPr>
      <w:r>
        <w:t>High-priority backlog means open Priority 1 or Priority 2 work orders.</w:t>
      </w:r>
    </w:p>
    <w:p>
      <w:pPr>
        <w:pStyle w:val="ListBullet"/>
        <w:spacing w:after="40"/>
      </w:pPr>
      <w:r>
        <w:t>The agent should state the measure and filters it used.</w:t>
      </w:r>
    </w:p>
    <w:p>
      <w:pPr>
        <w:spacing w:after="80"/>
      </w:pPr>
      <w:r>
        <w:rPr>
          <w:b/>
          <w:color w:val="17365D"/>
        </w:rPr>
        <w:t xml:space="preserve">Fallback prompt: </w:t>
      </w:r>
      <w:r>
        <w:t>Rank five sites by High Priority Backlog and include Open Work Order Count.</w:t>
      </w:r>
    </w:p>
    <w:p/>
    <w:p>
      <w:pPr>
        <w:pStyle w:val="Heading1"/>
        <w:keepNext/>
      </w:pPr>
      <w:r>
        <w:t>3. Demonstrate SQL vector retrieval</w:t>
      </w:r>
      <w:r>
        <w:rPr>
          <w:color w:val="107C10"/>
          <w:sz w:val="22"/>
        </w:rPr>
        <w:t xml:space="preserve">  |  75 seconds</w:t>
      </w:r>
    </w:p>
    <w:p>
      <w:pPr>
        <w:spacing w:after="80"/>
      </w:pPr>
      <w:r>
        <w:rPr>
          <w:b/>
          <w:color w:val="17365D"/>
        </w:rPr>
        <w:t xml:space="preserve">Say: </w:t>
      </w:r>
      <w:r>
        <w:t>Now I’ll switch from aggregation to semantic retrieval. This prompt should generate an embedding for the problem description and search completed work orders in Fabric SQL.</w:t>
      </w:r>
    </w:p>
    <w:p>
      <w:pPr>
        <w:spacing w:after="80"/>
      </w:pPr>
      <w:r>
        <w:rPr>
          <w:b/>
          <w:color w:val="0078D4"/>
          <w:sz w:val="18"/>
        </w:rPr>
        <w:t>COPY / PASTE PROMPT</w:t>
      </w:r>
    </w:p>
    <w:tbl>
      <w:tblPr>
        <w:tblW w:type="auto" w:w="0"/>
        <w:tblLayout w:type="fixed"/>
        <w:tblLook w:firstColumn="1" w:firstRow="1" w:lastColumn="0" w:lastRow="0" w:noHBand="0" w:noVBand="1" w:val="04A0"/>
      </w:tblPr>
      <w:tblGrid>
        <w:gridCol w:w="10080"/>
      </w:tblGrid>
      <w:tr>
        <w:tc>
          <w:tcPr>
            <w:tcW w:type="dxa" w:w="9792"/>
            <w:shd w:fill="EAF4FB"/>
            <w:tcMar>
              <w:top w:w="140" w:type="dxa"/>
              <w:start w:w="180" w:type="dxa"/>
              <w:bottom w:w="140" w:type="dxa"/>
              <w:end w:w="180" w:type="dxa"/>
            </w:tcMar>
          </w:tcPr>
          <w:p>
            <w:pPr>
              <w:spacing w:after="0"/>
            </w:pPr>
            <w:r>
              <w:rPr>
                <w:rFonts w:ascii="Aptos" w:hAnsi="Aptos"/>
                <w:color w:val="17365D"/>
                <w:sz w:val="21"/>
              </w:rPr>
              <w:t>Find the five completed work orders most semantically similar to a pump with low discharge pressure and mechanical problems. Include the work-order number, asset, description, problem code, cause code, remedy code, and similarity score in a table.</w:t>
            </w:r>
          </w:p>
        </w:tc>
      </w:tr>
    </w:tbl>
    <w:p>
      <w:pPr>
        <w:spacing w:after="80"/>
      </w:pPr>
      <w:r>
        <w:rPr>
          <w:b/>
          <w:color w:val="17365D"/>
        </w:rPr>
        <w:t xml:space="preserve">Point out: </w:t>
      </w:r>
      <w:r/>
    </w:p>
    <w:p>
      <w:pPr>
        <w:pStyle w:val="ListBullet"/>
        <w:spacing w:after="40"/>
      </w:pPr>
      <w:r>
        <w:t>Five distinct work-order numbers in the WO####### format.</w:t>
      </w:r>
    </w:p>
    <w:p>
      <w:pPr>
        <w:pStyle w:val="ListBullet"/>
        <w:spacing w:after="40"/>
      </w:pPr>
      <w:r>
        <w:t>Similarity scores and completed COMP or CLOSE records.</w:t>
      </w:r>
    </w:p>
    <w:p>
      <w:pPr>
        <w:pStyle w:val="ListBullet"/>
        <w:spacing w:after="40"/>
      </w:pPr>
      <w:r>
        <w:t>Historical cases are presented as evidence—not proof of root cause or instructions.</w:t>
      </w:r>
    </w:p>
    <w:p>
      <w:pPr>
        <w:pStyle w:val="ListBullet"/>
        <w:spacing w:after="40"/>
      </w:pPr>
      <w:r>
        <w:t>This is the vector capability exercised by the deployment smoke test.</w:t>
      </w:r>
    </w:p>
    <w:p>
      <w:pPr>
        <w:spacing w:after="80"/>
      </w:pPr>
      <w:r>
        <w:rPr>
          <w:b/>
          <w:color w:val="17365D"/>
        </w:rPr>
        <w:t xml:space="preserve">Fallback prompt: </w:t>
      </w:r>
      <w:r>
        <w:t>Search completed COMP or CLOSE records in ai.work_order_search using VECTOR_SEARCH and cosine similarity. Return five results.</w:t>
      </w:r>
    </w:p>
    <w:p/>
    <w:p>
      <w:pPr>
        <w:pStyle w:val="Heading1"/>
        <w:keepNext/>
      </w:pPr>
      <w:r>
        <w:t>4. Ground guidance in a controlled document</w:t>
      </w:r>
      <w:r>
        <w:rPr>
          <w:color w:val="107C10"/>
          <w:sz w:val="22"/>
        </w:rPr>
        <w:t xml:space="preserve">  |  60 seconds</w:t>
      </w:r>
    </w:p>
    <w:p>
      <w:pPr>
        <w:spacing w:after="80"/>
      </w:pPr>
      <w:r>
        <w:rPr>
          <w:b/>
          <w:color w:val="17365D"/>
        </w:rPr>
        <w:t xml:space="preserve">Say: </w:t>
      </w:r>
      <w:r>
        <w:t>Operational records tell us what happened; controlled documents tell us the approved process. This question should use SharePoint knowledge rather than invent guidance.</w:t>
      </w:r>
    </w:p>
    <w:p>
      <w:pPr>
        <w:spacing w:after="80"/>
      </w:pPr>
      <w:r>
        <w:rPr>
          <w:b/>
          <w:color w:val="0078D4"/>
          <w:sz w:val="18"/>
        </w:rPr>
        <w:t>COPY / PASTE PROMPT</w:t>
      </w:r>
    </w:p>
    <w:tbl>
      <w:tblPr>
        <w:tblW w:type="auto" w:w="0"/>
        <w:tblLayout w:type="fixed"/>
        <w:tblLook w:firstColumn="1" w:firstRow="1" w:lastColumn="0" w:lastRow="0" w:noHBand="0" w:noVBand="1" w:val="04A0"/>
      </w:tblPr>
      <w:tblGrid>
        <w:gridCol w:w="10080"/>
      </w:tblGrid>
      <w:tr>
        <w:tc>
          <w:tcPr>
            <w:tcW w:type="dxa" w:w="9792"/>
            <w:shd w:fill="EAF4FB"/>
            <w:tcMar>
              <w:top w:w="140" w:type="dxa"/>
              <w:start w:w="180" w:type="dxa"/>
              <w:bottom w:w="140" w:type="dxa"/>
              <w:end w:w="180" w:type="dxa"/>
            </w:tcMar>
          </w:tcPr>
          <w:p>
            <w:pPr>
              <w:spacing w:after="0"/>
            </w:pPr>
            <w:r>
              <w:rPr>
                <w:rFonts w:ascii="Aptos" w:hAnsi="Aptos"/>
                <w:color w:val="17365D"/>
                <w:sz w:val="21"/>
              </w:rPr>
              <w:t>Using SOP-ELEC-001, summarize the document’s purpose, prerequisites, major lockout/tagout controls, and closeout expectations. Cite the document title, number, and revision. Do not authorize work.</w:t>
            </w:r>
          </w:p>
        </w:tc>
      </w:tr>
    </w:tbl>
    <w:p>
      <w:pPr>
        <w:spacing w:after="80"/>
      </w:pPr>
      <w:r>
        <w:rPr>
          <w:b/>
          <w:color w:val="17365D"/>
        </w:rPr>
        <w:t xml:space="preserve">Point out: </w:t>
      </w:r>
      <w:r/>
    </w:p>
    <w:p>
      <w:pPr>
        <w:pStyle w:val="ListBullet"/>
        <w:spacing w:after="40"/>
      </w:pPr>
      <w:r>
        <w:t>Citation to SOP-ELEC-001, Electrical Lockout and Tagout for Facility Equipment, Revision 4.</w:t>
      </w:r>
    </w:p>
    <w:p>
      <w:pPr>
        <w:pStyle w:val="ListBullet"/>
        <w:spacing w:after="40"/>
      </w:pPr>
      <w:r>
        <w:t>A concise summary with an explicit direction to follow approved local authorization.</w:t>
      </w:r>
    </w:p>
    <w:p>
      <w:pPr>
        <w:pStyle w:val="ListBullet"/>
        <w:spacing w:after="40"/>
      </w:pPr>
      <w:r>
        <w:t>No claim that the assistant can authorize switching, energized work, or return to service.</w:t>
      </w:r>
    </w:p>
    <w:p>
      <w:pPr>
        <w:spacing w:after="80"/>
      </w:pPr>
      <w:r>
        <w:rPr>
          <w:b/>
          <w:color w:val="17365D"/>
        </w:rPr>
        <w:t xml:space="preserve">Fallback prompt: </w:t>
      </w:r>
      <w:r>
        <w:t>Search the Standard Operating Procedures source specifically for SOP-ELEC-001 and cite it.</w:t>
      </w:r>
    </w:p>
    <w:p/>
    <w:p>
      <w:pPr>
        <w:pStyle w:val="Heading1"/>
        <w:keepNext/>
      </w:pPr>
      <w:r>
        <w:t>5. Combine historical evidence and technical guidance</w:t>
      </w:r>
      <w:r>
        <w:rPr>
          <w:color w:val="107C10"/>
          <w:sz w:val="22"/>
        </w:rPr>
        <w:t xml:space="preserve">  |  90 seconds</w:t>
      </w:r>
    </w:p>
    <w:p>
      <w:pPr>
        <w:spacing w:after="80"/>
      </w:pPr>
      <w:r>
        <w:rPr>
          <w:b/>
          <w:color w:val="17365D"/>
        </w:rPr>
        <w:t xml:space="preserve">Say: </w:t>
      </w:r>
      <w:r>
        <w:t>For the finale, one question asks the agent to retrieve analogous work from the SQL vector store and then ground technical guidance in the pump manual. The response should keep historical evidence and controlled guidance clearly separated.</w:t>
      </w:r>
    </w:p>
    <w:p>
      <w:pPr>
        <w:spacing w:after="80"/>
      </w:pPr>
      <w:r>
        <w:rPr>
          <w:b/>
          <w:color w:val="0078D4"/>
          <w:sz w:val="18"/>
        </w:rPr>
        <w:t>COPY / PASTE PROMPT</w:t>
      </w:r>
    </w:p>
    <w:tbl>
      <w:tblPr>
        <w:tblW w:type="auto" w:w="0"/>
        <w:tblLayout w:type="fixed"/>
        <w:tblLook w:firstColumn="1" w:firstRow="1" w:lastColumn="0" w:lastRow="0" w:noHBand="0" w:noVBand="1" w:val="04A0"/>
      </w:tblPr>
      <w:tblGrid>
        <w:gridCol w:w="10080"/>
      </w:tblGrid>
      <w:tr>
        <w:tc>
          <w:tcPr>
            <w:tcW w:type="dxa" w:w="9792"/>
            <w:shd w:fill="EAF4FB"/>
            <w:tcMar>
              <w:top w:w="140" w:type="dxa"/>
              <w:start w:w="180" w:type="dxa"/>
              <w:bottom w:w="140" w:type="dxa"/>
              <w:end w:w="180" w:type="dxa"/>
            </w:tcMar>
          </w:tcPr>
          <w:p>
            <w:pPr>
              <w:spacing w:after="0"/>
            </w:pPr>
            <w:r>
              <w:rPr>
                <w:rFonts w:ascii="Aptos" w:hAnsi="Aptos"/>
                <w:color w:val="17365D"/>
                <w:sz w:val="21"/>
              </w:rPr>
              <w:t>A centrifugal pump has low discharge pressure and abnormal mechanical noise. First, find the five most similar completed work orders and summarize the recorded problem, cause, remedy, and similarity for each. Then use MAN-PUMP-410 to summarize the relevant inspection and troubleshooting guidance. Clearly separate historical evidence from controlled-document guidance, cite the work-order numbers and manual title/number/revision, and do not present a historical remedy as an instruction.</w:t>
            </w:r>
          </w:p>
        </w:tc>
      </w:tr>
    </w:tbl>
    <w:p>
      <w:pPr>
        <w:spacing w:after="80"/>
      </w:pPr>
      <w:r>
        <w:rPr>
          <w:b/>
          <w:color w:val="17365D"/>
        </w:rPr>
        <w:t xml:space="preserve">Point out: </w:t>
      </w:r>
      <w:r/>
    </w:p>
    <w:p>
      <w:pPr>
        <w:pStyle w:val="ListBullet"/>
        <w:spacing w:after="40"/>
      </w:pPr>
      <w:r>
        <w:t>The Fabric Data Agent supplies cited analogous work orders from vector search.</w:t>
      </w:r>
    </w:p>
    <w:p>
      <w:pPr>
        <w:pStyle w:val="ListBullet"/>
        <w:spacing w:after="40"/>
      </w:pPr>
      <w:r>
        <w:t>SharePoint supplies MAN-PUMP-410, Horizontal Centrifugal Pump Maintenance Guide, Revision 2.</w:t>
      </w:r>
    </w:p>
    <w:p>
      <w:pPr>
        <w:pStyle w:val="ListBullet"/>
        <w:spacing w:after="40"/>
      </w:pPr>
      <w:r>
        <w:t>The final answer visibly separates historical evidence from manual guidance.</w:t>
      </w:r>
    </w:p>
    <w:p>
      <w:pPr>
        <w:pStyle w:val="ListBullet"/>
        <w:spacing w:after="40"/>
      </w:pPr>
      <w:r>
        <w:t>The agent preserves safety and authorization boundaries.</w:t>
      </w:r>
    </w:p>
    <w:p>
      <w:pPr>
        <w:spacing w:after="80"/>
      </w:pPr>
      <w:r>
        <w:rPr>
          <w:b/>
          <w:color w:val="17365D"/>
        </w:rPr>
        <w:t xml:space="preserve">Fallback prompt: </w:t>
      </w:r>
      <w:r>
        <w:t>Handle this in two labeled sections: (1) Fabric historical evidence and (2) MAN-PUMP-410 controlled guidance.</w:t>
      </w:r>
    </w:p>
    <w:p/>
    <w:p>
      <w:pPr>
        <w:pStyle w:val="Heading1"/>
      </w:pPr>
      <w:r>
        <w:t>Optional technical-manual prompt</w:t>
      </w:r>
    </w:p>
    <w:tbl>
      <w:tblPr>
        <w:tblW w:type="auto" w:w="0"/>
        <w:tblLayout w:type="fixed"/>
        <w:tblLook w:firstColumn="1" w:firstRow="1" w:lastColumn="0" w:lastRow="0" w:noHBand="0" w:noVBand="1" w:val="04A0"/>
      </w:tblPr>
      <w:tblGrid>
        <w:gridCol w:w="10080"/>
      </w:tblGrid>
      <w:tr>
        <w:tc>
          <w:tcPr>
            <w:tcW w:type="dxa" w:w="9792"/>
            <w:shd w:fill="EAF4FB"/>
            <w:tcMar>
              <w:top w:w="140" w:type="dxa"/>
              <w:start w:w="180" w:type="dxa"/>
              <w:bottom w:w="140" w:type="dxa"/>
              <w:end w:w="180" w:type="dxa"/>
            </w:tcMar>
          </w:tcPr>
          <w:p>
            <w:pPr>
              <w:spacing w:after="0"/>
            </w:pPr>
            <w:r>
              <w:rPr>
                <w:rFonts w:ascii="Aptos" w:hAnsi="Aptos"/>
                <w:color w:val="17365D"/>
                <w:sz w:val="21"/>
              </w:rPr>
              <w:t>According to MAN-GEN-510, what should be checked before, during, and after an emergency generator load test? Cite the manual title, document number, and revision. Distinguish inspection guidance from any authorization required to perform the test.</w:t>
            </w:r>
          </w:p>
        </w:tc>
      </w:tr>
    </w:tbl>
    <w:p>
      <w:pPr>
        <w:spacing w:after="80"/>
      </w:pPr>
      <w:r>
        <w:rPr>
          <w:b/>
          <w:color w:val="17365D"/>
        </w:rPr>
        <w:t xml:space="preserve">Expected: </w:t>
      </w:r>
      <w:r>
        <w:t>A grounded response citing MAN-GEN-510, Emergency Generator Inspection and Load Test Guide, Revision 4.</w:t>
      </w:r>
    </w:p>
    <w:p>
      <w:pPr>
        <w:pStyle w:val="Heading1"/>
      </w:pPr>
      <w:r>
        <w:t>Close</w:t>
      </w:r>
    </w:p>
    <w:p>
      <w:pPr>
        <w:spacing w:after="80"/>
      </w:pPr>
      <w:r>
        <w:rPr>
          <w:b/>
          <w:color w:val="17365D"/>
        </w:rPr>
        <w:t xml:space="preserve">Say: </w:t>
      </w:r>
      <w:r>
        <w:t>The key point is not just conversational access. The agent orchestrates governed metrics, semantic retrieval, and controlled documents while preserving source citations and safety boundaries. The source system remains read-only, vector embeddings stay in Fabric, and the user gets one coherent experience in Copilot Studio.</w:t>
      </w:r>
    </w:p>
    <w:p>
      <w:pPr>
        <w:pStyle w:val="Heading1"/>
      </w:pPr>
      <w:r>
        <w:t>Presenter recovery notes</w:t>
      </w:r>
    </w:p>
    <w:tbl>
      <w:tblPr>
        <w:tblStyle w:val="TableGrid"/>
        <w:tblW w:type="auto" w:w="0"/>
        <w:tblLook w:firstColumn="1" w:firstRow="1" w:lastColumn="0" w:lastRow="0" w:noHBand="0" w:noVBand="1" w:val="04A0"/>
      </w:tblPr>
      <w:tblGrid>
        <w:gridCol w:w="5040"/>
        <w:gridCol w:w="5040"/>
      </w:tblGrid>
      <w:tr>
        <w:tc>
          <w:tcPr>
            <w:tcW w:type="dxa" w:w="5040"/>
            <w:shd w:fill="17365D"/>
          </w:tcPr>
          <w:p>
            <w:r>
              <w:rPr>
                <w:b/>
                <w:color w:val="FFFFFF"/>
              </w:rPr>
              <w:t>If this happens</w:t>
            </w:r>
          </w:p>
        </w:tc>
        <w:tc>
          <w:tcPr>
            <w:tcW w:type="dxa" w:w="5040"/>
            <w:shd w:fill="17365D"/>
          </w:tcPr>
          <w:p>
            <w:r>
              <w:rPr>
                <w:b/>
                <w:color w:val="FFFFFF"/>
              </w:rPr>
              <w:t>Do this</w:t>
            </w:r>
          </w:p>
        </w:tc>
      </w:tr>
      <w:tr>
        <w:tc>
          <w:tcPr>
            <w:tcW w:type="dxa" w:w="5040"/>
            <w:tcMar>
              <w:top w:w="100" w:type="dxa"/>
              <w:start w:w="120" w:type="dxa"/>
              <w:bottom w:w="100" w:type="dxa"/>
              <w:end w:w="120" w:type="dxa"/>
            </w:tcMar>
          </w:tcPr>
          <w:p>
            <w:r>
              <w:t>Connection prompt appears</w:t>
            </w:r>
          </w:p>
        </w:tc>
        <w:tc>
          <w:tcPr>
            <w:tcW w:type="dxa" w:w="5040"/>
            <w:tcMar>
              <w:top w:w="100" w:type="dxa"/>
              <w:start w:w="120" w:type="dxa"/>
              <w:bottom w:w="100" w:type="dxa"/>
              <w:end w:w="120" w:type="dxa"/>
            </w:tcMar>
          </w:tcPr>
          <w:p>
            <w:r>
              <w:t>Select Connect, authenticate, then resend the same prompt.</w:t>
            </w:r>
          </w:p>
        </w:tc>
      </w:tr>
      <w:tr>
        <w:tc>
          <w:tcPr>
            <w:tcW w:type="dxa" w:w="5040"/>
            <w:tcMar>
              <w:top w:w="100" w:type="dxa"/>
              <w:start w:w="120" w:type="dxa"/>
              <w:bottom w:w="100" w:type="dxa"/>
              <w:end w:w="120" w:type="dxa"/>
            </w:tcMar>
          </w:tcPr>
          <w:p>
            <w:r>
              <w:t>Agent uses the wrong source</w:t>
            </w:r>
          </w:p>
        </w:tc>
        <w:tc>
          <w:tcPr>
            <w:tcW w:type="dxa" w:w="5040"/>
            <w:tcMar>
              <w:top w:w="100" w:type="dxa"/>
              <w:start w:w="120" w:type="dxa"/>
              <w:bottom w:w="100" w:type="dxa"/>
              <w:end w:w="120" w:type="dxa"/>
            </w:tcMar>
          </w:tcPr>
          <w:p>
            <w:r>
              <w:t>Use the listed fallback prompt with the source name explicitly stated.</w:t>
            </w:r>
          </w:p>
        </w:tc>
      </w:tr>
      <w:tr>
        <w:tc>
          <w:tcPr>
            <w:tcW w:type="dxa" w:w="5040"/>
            <w:tcMar>
              <w:top w:w="100" w:type="dxa"/>
              <w:start w:w="120" w:type="dxa"/>
              <w:bottom w:w="100" w:type="dxa"/>
              <w:end w:w="120" w:type="dxa"/>
            </w:tcMar>
          </w:tcPr>
          <w:p>
            <w:r>
              <w:t>Vector answer has fewer than five rows</w:t>
            </w:r>
          </w:p>
        </w:tc>
        <w:tc>
          <w:tcPr>
            <w:tcW w:type="dxa" w:w="5040"/>
            <w:tcMar>
              <w:top w:w="100" w:type="dxa"/>
              <w:start w:w="120" w:type="dxa"/>
              <w:bottom w:w="100" w:type="dxa"/>
              <w:end w:w="120" w:type="dxa"/>
            </w:tcMar>
          </w:tcPr>
          <w:p>
            <w:r>
              <w:t>Ask for exactly five COMP or CLOSE records from ai.work_order_search.</w:t>
            </w:r>
          </w:p>
        </w:tc>
      </w:tr>
      <w:tr>
        <w:tc>
          <w:tcPr>
            <w:tcW w:type="dxa" w:w="5040"/>
            <w:tcMar>
              <w:top w:w="100" w:type="dxa"/>
              <w:start w:w="120" w:type="dxa"/>
              <w:bottom w:w="100" w:type="dxa"/>
              <w:end w:w="120" w:type="dxa"/>
            </w:tcMar>
          </w:tcPr>
          <w:p>
            <w:r>
              <w:t>Document citation is missing</w:t>
            </w:r>
          </w:p>
        </w:tc>
        <w:tc>
          <w:tcPr>
            <w:tcW w:type="dxa" w:w="5040"/>
            <w:tcMar>
              <w:top w:w="100" w:type="dxa"/>
              <w:start w:w="120" w:type="dxa"/>
              <w:bottom w:w="100" w:type="dxa"/>
              <w:end w:w="120" w:type="dxa"/>
            </w:tcMar>
          </w:tcPr>
          <w:p>
            <w:r>
              <w:t>Ask it to cite the document number, title, and revision explicitly.</w:t>
            </w:r>
          </w:p>
        </w:tc>
      </w:tr>
      <w:tr>
        <w:tc>
          <w:tcPr>
            <w:tcW w:type="dxa" w:w="5040"/>
            <w:tcMar>
              <w:top w:w="100" w:type="dxa"/>
              <w:start w:w="120" w:type="dxa"/>
              <w:bottom w:w="100" w:type="dxa"/>
              <w:end w:w="120" w:type="dxa"/>
            </w:tcMar>
          </w:tcPr>
          <w:p>
            <w:r>
              <w:t>Response blends evidence and guidance</w:t>
            </w:r>
          </w:p>
        </w:tc>
        <w:tc>
          <w:tcPr>
            <w:tcW w:type="dxa" w:w="5040"/>
            <w:tcMar>
              <w:top w:w="100" w:type="dxa"/>
              <w:start w:w="120" w:type="dxa"/>
              <w:bottom w:w="100" w:type="dxa"/>
              <w:end w:w="120" w:type="dxa"/>
            </w:tcMar>
          </w:tcPr>
          <w:p>
            <w:r>
              <w:t>Ask for two labeled sections: historical evidence and controlled guidance.</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OGE Facilities Maintenance &amp; Reliability Demo  |  Synthetic demonstration content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8D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078D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OGE Facilities Maintenance AI Agent Demo Script</dc:title>
  <dc:subject>Copilot Studio presenter guide and copy/paste prompts</dc:subject>
  <dc:creator>Contoso</dc:creator>
  <cp:keywords/>
  <dc:description>generated by python-docx</dc:description>
  <cp:lastModifiedBy/>
  <cp:revision>1</cp:revision>
  <dcterms:created xsi:type="dcterms:W3CDTF">2013-12-23T23:15:00Z</dcterms:created>
  <dcterms:modified xsi:type="dcterms:W3CDTF">2013-12-23T23:15:00Z</dcterms:modified>
  <cp:category/>
</cp:coreProperties>
</file>