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40"/>
          <w:szCs w:val="40"/>
        </w:rPr>
        <w:t xml:space="preserve">Phase 0: Shared Infrastructure – Design Justification</w:t>
      </w:r>
    </w:p>
    <w:p>
      <w:pPr>
        <w:spacing w:after="60" w:before="0"/>
        <w:jc w:val="center"/>
      </w:pPr>
      <w:r>
        <w:rPr>
          <w:rFonts w:ascii="Calibri" w:cs="Calibri" w:eastAsia="Calibri" w:hAnsi="Calibri"/>
          <w:i/>
          <w:iCs/>
          <w:sz w:val="24"/>
          <w:szCs w:val="24"/>
        </w:rPr>
        <w:t xml:space="preserve">BMET 5933 Assignment 2 — Kidney CT Classification</w:t>
      </w:r>
    </w:p>
    <w:p>
      <w:pPr>
        <w:spacing w:after="360"/>
        <w:jc w:val="center"/>
      </w:pPr>
      <w:r>
        <w:rPr>
          <w:rFonts w:ascii="Calibri" w:cs="Calibri" w:eastAsia="Calibri" w:hAnsi="Calibri"/>
          <w:sz w:val="20"/>
          <w:szCs w:val="20"/>
        </w:rPr>
        <w:t xml:space="preserve">Draft v1 · 22 April 2026</w:t>
      </w:r>
    </w:p>
    <w:p>
      <w:pPr>
        <w:pStyle w:val="Heading1"/>
        <w:spacing w:after="180" w:before="300"/>
      </w:pPr>
      <w:r>
        <w:rPr>
          <w:rFonts w:ascii="Calibri" w:cs="Calibri" w:eastAsia="Calibri" w:hAnsi="Calibri"/>
          <w:b/>
          <w:bCs/>
          <w:sz w:val="32"/>
          <w:szCs w:val="32"/>
        </w:rPr>
        <w:t xml:space="preserve">Purpose of this document</w:t>
      </w:r>
    </w:p>
    <w:p>
      <w:pPr>
        <w:spacing w:after="120" w:line="300"/>
        <w:jc w:val="both"/>
      </w:pPr>
      <w:r>
        <w:rPr>
          <w:rFonts w:ascii="Calibri" w:cs="Calibri" w:eastAsia="Calibri" w:hAnsi="Calibri"/>
          <w:sz w:val="22"/>
          <w:szCs w:val="22"/>
        </w:rPr>
        <w:t xml:space="preserve">Phase 0 defines the shared infrastructure that both classifiers in this study — Person A’s classical machine-learning pipeline and Person B’s deep-learning transfer-learning pipeline — will use. Every design decision in the sections that follow is justified with direct evidence from the peer-reviewed literature, because the unit coordinator has explicitly stated that marks are allocated on the justification of choices and their impact on results, not on raw classifier accuracy. Fixing the split, the preprocessing entry point, and the evaluation harness at this stage is what elevates the planned classical-vs-deep comparison from two separate experiments into a defensible scientific comparison.</w:t>
      </w:r>
    </w:p>
    <w:p>
      <w:pPr>
        <w:spacing w:after="120" w:line="300"/>
        <w:jc w:val="both"/>
      </w:pPr>
      <w:r>
        <w:rPr>
          <w:rFonts w:ascii="Calibri" w:cs="Calibri" w:eastAsia="Calibri" w:hAnsi="Calibri"/>
          <w:sz w:val="22"/>
          <w:szCs w:val="22"/>
        </w:rPr>
        <w:t xml:space="preserve">Throughout this document, IEEE-style numeric citations refer to the References list at the end. Every citation has been used to justify a specific choice, and where the evidence is summarised in-text we attempt to state both what the paper found and why that finding supports our decision. The final paper will claim conformance with the CLAIM 2024 reporting checklist for AI in medical imaging [1, 2] and the TRIPOD+AI 2024 statement for prediction-model studies [3]; the infrastructure specified below is designed from the outset to produce the artefacts those checklists require.</w:t>
      </w:r>
    </w:p>
    <w:p>
      <w:pPr>
        <w:pStyle w:val="Heading1"/>
        <w:spacing w:after="180" w:before="300"/>
      </w:pPr>
      <w:r>
        <w:rPr>
          <w:rFonts w:ascii="Calibri" w:cs="Calibri" w:eastAsia="Calibri" w:hAnsi="Calibri"/>
          <w:b/>
          <w:bCs/>
          <w:sz w:val="32"/>
          <w:szCs w:val="32"/>
        </w:rPr>
        <w:t xml:space="preserve">1.  Dataset size selection</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Use the medium subset of the CT-Kidney dataset (6,221 images; Normal 2,538 / Cyst 1,854 / Tumor 1,141 / Stone 688) for the main experiments. The full set (12,446 images) will be used as an optional extension only if the medium-set pipeline is stable and time permits.</w:t>
      </w:r>
    </w:p>
    <w:p>
      <w:pPr>
        <w:pStyle w:val="Heading2"/>
        <w:spacing w:after="120" w:before="240"/>
      </w:pPr>
      <w:r>
        <w:rPr>
          <w:rFonts w:ascii="Calibri" w:cs="Calibri" w:eastAsia="Calibri" w:hAnsi="Calibri"/>
          <w:b/>
          <w:bCs/>
          <w:sz w:val="26"/>
          <w:szCs w:val="26"/>
        </w:rPr>
        <w:t xml:space="preserve">Evidence supporting the decision</w:t>
      </w:r>
    </w:p>
    <w:p>
      <w:pPr>
        <w:spacing w:after="120" w:line="300"/>
        <w:jc w:val="both"/>
      </w:pPr>
      <w:r>
        <w:rPr>
          <w:rFonts w:ascii="Calibri" w:cs="Calibri" w:eastAsia="Calibri" w:hAnsi="Calibri"/>
          <w:sz w:val="22"/>
          <w:szCs w:val="22"/>
        </w:rPr>
        <w:t xml:space="preserve">The choice of the medium set is supported by three independent lines of evidence, which are summarised below in terms of what the underlying source actually demonstrated.</w:t>
      </w:r>
    </w:p>
    <w:p>
      <w:pPr>
        <w:spacing w:after="120" w:line="300"/>
        <w:jc w:val="both"/>
      </w:pPr>
      <w:r>
        <w:rPr>
          <w:rFonts w:ascii="Calibri" w:cs="Calibri" w:eastAsia="Calibri" w:hAnsi="Calibri"/>
          <w:b/>
          <w:bCs/>
          <w:sz w:val="22"/>
          <w:szCs w:val="22"/>
        </w:rPr>
        <w:t xml:space="preserve">Varoquaux and Cheplygina [4] </w:t>
      </w:r>
      <w:r>
        <w:rPr>
          <w:rFonts w:ascii="Calibri" w:cs="Calibri" w:eastAsia="Calibri" w:hAnsi="Calibri"/>
          <w:sz w:val="22"/>
          <w:szCs w:val="22"/>
        </w:rPr>
        <w:t xml:space="preserve">surveyed hundreds of medical-imaging machine-learning studies and identified </w:t>
      </w:r>
      <w:r>
        <w:rPr>
          <w:rFonts w:ascii="Calibri" w:cs="Calibri" w:eastAsia="Calibri" w:hAnsi="Calibri"/>
          <w:i/>
          <w:iCs/>
          <w:sz w:val="22"/>
          <w:szCs w:val="22"/>
        </w:rPr>
        <w:t xml:space="preserve">dataset-size over-optimism</w:t>
      </w:r>
      <w:r>
        <w:rPr>
          <w:rFonts w:ascii="Calibri" w:cs="Calibri" w:eastAsia="Calibri" w:hAnsi="Calibri"/>
          <w:sz w:val="22"/>
          <w:szCs w:val="22"/>
        </w:rPr>
        <w:t xml:space="preserve"> as one of the top methodological failure modes. Their analysis shows that models trained on small, single-centre sets routinely over-fit and generalise poorly to external data, and that reported accuracies on sub-thousand-image datasets are often dominated by sampling variance rather than model capability. A 6.2k-image training pool is comfortably above the regime in which this failure mode dominates for transfer-learned CNNs, which directly motivates the medium set as the minimum defensible size for our study.</w:t>
      </w:r>
    </w:p>
    <w:p>
      <w:pPr>
        <w:spacing w:after="120" w:line="300"/>
        <w:jc w:val="both"/>
      </w:pPr>
      <w:r>
        <w:rPr>
          <w:rFonts w:ascii="Calibri" w:cs="Calibri" w:eastAsia="Calibri" w:hAnsi="Calibri"/>
          <w:b/>
          <w:bCs/>
          <w:sz w:val="22"/>
          <w:szCs w:val="22"/>
        </w:rPr>
        <w:t xml:space="preserve">Islam et al. [5] </w:t>
      </w:r>
      <w:r>
        <w:rPr>
          <w:rFonts w:ascii="Calibri" w:cs="Calibri" w:eastAsia="Calibri" w:hAnsi="Calibri"/>
          <w:sz w:val="22"/>
          <w:szCs w:val="22"/>
        </w:rPr>
        <w:t xml:space="preserve">— the reference paper for this dataset — trained Vision Transformers and CNN transfer-learning baselines and report near-99% accuracy (Swin Transformer, 99.30%). As documented in our planning notes, their training protocol used a balanced subset that discards thousands of images from the majority Normal class; their headline accuracies are therefore achieved on an artificial class distribution. Our choice of the medium set (which preserves the natural imbalance) is an explicit methodological departure: we accept a harder problem in exchange for results that reflect the class prevalences a clinician would encounter in a hospital PACS. The specific per-class training counts and input resolution used by Islam et al. should be confirmed against Section 2 of their Methods before the final paper is submitted.</w:t>
      </w:r>
    </w:p>
    <w:p>
      <w:pPr>
        <w:spacing w:after="120" w:line="300"/>
        <w:jc w:val="both"/>
      </w:pPr>
      <w:r>
        <w:rPr>
          <w:rFonts w:ascii="Calibri" w:cs="Calibri" w:eastAsia="Calibri" w:hAnsi="Calibri"/>
          <w:b/>
          <w:bCs/>
          <w:sz w:val="22"/>
          <w:szCs w:val="22"/>
        </w:rPr>
        <w:t xml:space="preserve">The unit coordinator’s instructions </w:t>
      </w:r>
      <w:r>
        <w:rPr>
          <w:rFonts w:ascii="Calibri" w:cs="Calibri" w:eastAsia="Calibri" w:hAnsi="Calibri"/>
          <w:sz w:val="22"/>
          <w:szCs w:val="22"/>
        </w:rPr>
        <w:t xml:space="preserve">(recorded in the Assignment 2 notes document) explicitly require the medium set as a minimum for any CNN-based submission. The medium set therefore simultaneously satisfies the external validity requirement from [4], the comparability-to-reference requirement from [5], and the unit-level requirement from the coordinator.</w:t>
      </w:r>
    </w:p>
    <w:p>
      <w:pPr>
        <w:pStyle w:val="Heading2"/>
        <w:spacing w:after="120" w:before="240"/>
      </w:pPr>
      <w:r>
        <w:rPr>
          <w:rFonts w:ascii="Calibri" w:cs="Calibri" w:eastAsia="Calibri" w:hAnsi="Calibri"/>
          <w:b/>
          <w:bCs/>
          <w:sz w:val="26"/>
          <w:szCs w:val="26"/>
        </w:rPr>
        <w:t xml:space="preserve">Alternatives considered</w:t>
      </w:r>
    </w:p>
    <w:p>
      <w:pPr>
        <w:pStyle w:val="ListParagraph"/>
        <w:numPr>
          <w:ilvl w:val="0"/>
          <w:numId w:val="2"/>
        </w:numPr>
        <w:spacing w:after="80" w:line="280"/>
      </w:pPr>
      <w:r>
        <w:rPr>
          <w:rFonts w:ascii="Calibri" w:cs="Calibri" w:eastAsia="Calibri" w:hAnsi="Calibri"/>
          <w:b/>
          <w:bCs/>
          <w:sz w:val="22"/>
          <w:szCs w:val="22"/>
        </w:rPr>
        <w:t xml:space="preserve">Small set (3,110 images): </w:t>
      </w:r>
      <w:r>
        <w:rPr>
          <w:rFonts w:ascii="Calibri" w:cs="Calibri" w:eastAsia="Calibri" w:hAnsi="Calibri"/>
          <w:sz w:val="22"/>
          <w:szCs w:val="22"/>
        </w:rPr>
        <w:t xml:space="preserve">would permit faster iteration, but the 70/15/15 split (§2) would leave only ~52 test examples for the Stone class. Bootstrap confidence intervals on per-class metrics would be very wide at that sample size [6, 19], undermining the §5 evaluation protocol.</w:t>
      </w:r>
    </w:p>
    <w:p>
      <w:pPr>
        <w:pStyle w:val="ListParagraph"/>
        <w:numPr>
          <w:ilvl w:val="0"/>
          <w:numId w:val="2"/>
        </w:numPr>
        <w:spacing w:after="80" w:line="280"/>
      </w:pPr>
      <w:r>
        <w:rPr>
          <w:rFonts w:ascii="Calibri" w:cs="Calibri" w:eastAsia="Calibri" w:hAnsi="Calibri"/>
          <w:b/>
          <w:bCs/>
          <w:sz w:val="22"/>
          <w:szCs w:val="22"/>
        </w:rPr>
        <w:t xml:space="preserve">Full set (12,446 images): </w:t>
      </w:r>
      <w:r>
        <w:rPr>
          <w:rFonts w:ascii="Calibri" w:cs="Calibri" w:eastAsia="Calibri" w:hAnsi="Calibri"/>
          <w:sz w:val="22"/>
          <w:szCs w:val="22"/>
        </w:rPr>
        <w:t xml:space="preserve">attractive on over-fitting grounds [4] but approximately doubles wall-clock time for the Phase 3 data-efficiency sweep, which a three-week assignment timeline cannot absorb when two classifiers must be trained. Deferred to an optional extension.</w:t>
      </w:r>
    </w:p>
    <w:p>
      <w:pPr>
        <w:pStyle w:val="Heading1"/>
        <w:spacing w:after="180" w:before="300"/>
      </w:pPr>
      <w:r>
        <w:rPr>
          <w:rFonts w:ascii="Calibri" w:cs="Calibri" w:eastAsia="Calibri" w:hAnsi="Calibri"/>
          <w:b/>
          <w:bCs/>
          <w:sz w:val="32"/>
          <w:szCs w:val="32"/>
        </w:rPr>
        <w:t xml:space="preserve">2.  Train / validation / test split strategy</w:t>
      </w:r>
    </w:p>
    <w:p>
      <w:pPr>
        <w:pStyle w:val="Heading2"/>
        <w:spacing w:after="120" w:before="240"/>
      </w:pPr>
      <w:r>
        <w:rPr>
          <w:rFonts w:ascii="Calibri" w:cs="Calibri" w:eastAsia="Calibri" w:hAnsi="Calibri"/>
          <w:b/>
          <w:bCs/>
          <w:sz w:val="26"/>
          <w:szCs w:val="26"/>
        </w:rPr>
        <w:t xml:space="preserve">Decision</w:t>
      </w:r>
    </w:p>
    <w:p>
      <w:pPr>
        <w:pStyle w:val="ListParagraph"/>
        <w:numPr>
          <w:ilvl w:val="0"/>
          <w:numId w:val="2"/>
        </w:numPr>
        <w:spacing w:after="80" w:line="280"/>
      </w:pPr>
      <w:r>
        <w:rPr>
          <w:rFonts w:ascii="Calibri" w:cs="Calibri" w:eastAsia="Calibri" w:hAnsi="Calibri"/>
          <w:sz w:val="22"/>
          <w:szCs w:val="22"/>
        </w:rPr>
        <w:t xml:space="preserve">Ratios: 70% train / 15% validation / 15% test.</w:t>
      </w:r>
    </w:p>
    <w:p>
      <w:pPr>
        <w:pStyle w:val="ListParagraph"/>
        <w:numPr>
          <w:ilvl w:val="0"/>
          <w:numId w:val="2"/>
        </w:numPr>
        <w:spacing w:after="80" w:line="280"/>
      </w:pPr>
      <w:r>
        <w:rPr>
          <w:rFonts w:ascii="Calibri" w:cs="Calibri" w:eastAsia="Calibri" w:hAnsi="Calibri"/>
          <w:sz w:val="22"/>
          <w:szCs w:val="22"/>
        </w:rPr>
        <w:t xml:space="preserve">Stratification: stratified by class label to preserve the native class distribution in every split.</w:t>
      </w:r>
    </w:p>
    <w:p>
      <w:pPr>
        <w:pStyle w:val="ListParagraph"/>
        <w:numPr>
          <w:ilvl w:val="0"/>
          <w:numId w:val="2"/>
        </w:numPr>
        <w:spacing w:after="80" w:line="280"/>
      </w:pPr>
      <w:r>
        <w:rPr>
          <w:rFonts w:ascii="Calibri" w:cs="Calibri" w:eastAsia="Calibri" w:hAnsi="Calibri"/>
          <w:sz w:val="22"/>
          <w:szCs w:val="22"/>
        </w:rPr>
        <w:t xml:space="preserve">Seed: </w:t>
      </w:r>
      <w:r>
        <w:rPr>
          <w:rFonts w:ascii="Consolas" w:cs="Consolas" w:eastAsia="Consolas" w:hAnsi="Consolas"/>
          <w:sz w:val="22"/>
          <w:szCs w:val="22"/>
        </w:rPr>
        <w:t xml:space="preserve">random_state = 42</w:t>
      </w:r>
      <w:r>
        <w:rPr>
          <w:rFonts w:ascii="Calibri" w:cs="Calibri" w:eastAsia="Calibri" w:hAnsi="Calibri"/>
          <w:sz w:val="22"/>
          <w:szCs w:val="22"/>
        </w:rPr>
        <w:t xml:space="preserve">, fixed across both classifiers.</w:t>
      </w:r>
    </w:p>
    <w:p>
      <w:pPr>
        <w:pStyle w:val="ListParagraph"/>
        <w:numPr>
          <w:ilvl w:val="0"/>
          <w:numId w:val="2"/>
        </w:numPr>
        <w:spacing w:after="80" w:line="280"/>
      </w:pPr>
      <w:r>
        <w:rPr>
          <w:rFonts w:ascii="Calibri" w:cs="Calibri" w:eastAsia="Calibri" w:hAnsi="Calibri"/>
          <w:sz w:val="22"/>
          <w:szCs w:val="22"/>
        </w:rPr>
        <w:t xml:space="preserve">Artefact: the split is materialised once as </w:t>
      </w:r>
      <w:r>
        <w:rPr>
          <w:rFonts w:ascii="Consolas" w:cs="Consolas" w:eastAsia="Consolas" w:hAnsi="Consolas"/>
          <w:sz w:val="22"/>
          <w:szCs w:val="22"/>
        </w:rPr>
        <w:t xml:space="preserve">split.csv</w:t>
      </w:r>
      <w:r>
        <w:rPr>
          <w:rFonts w:ascii="Calibri" w:cs="Calibri" w:eastAsia="Calibri" w:hAnsi="Calibri"/>
          <w:sz w:val="22"/>
          <w:szCs w:val="22"/>
        </w:rPr>
        <w:t xml:space="preserve"> (columns: filename, class, split) and both pipelines load from that CSV. Neither pipeline re-splits.</w:t>
      </w:r>
    </w:p>
    <w:p>
      <w:pPr>
        <w:pStyle w:val="ListParagraph"/>
        <w:numPr>
          <w:ilvl w:val="0"/>
          <w:numId w:val="2"/>
        </w:numPr>
        <w:spacing w:after="80" w:line="280"/>
      </w:pPr>
      <w:r>
        <w:rPr>
          <w:rFonts w:ascii="Calibri" w:cs="Calibri" w:eastAsia="Calibri" w:hAnsi="Calibri"/>
          <w:sz w:val="22"/>
          <w:szCs w:val="22"/>
        </w:rPr>
        <w:t xml:space="preserve">Test set is held out: touched exactly once per model, at the very end of the study. All hyperparameter tuning uses the training set with stratified 5-fold cross-validation on the training fold only.</w:t>
      </w:r>
    </w:p>
    <w:p>
      <w:pPr>
        <w:pStyle w:val="Heading2"/>
        <w:spacing w:after="120" w:before="240"/>
      </w:pPr>
      <w:r>
        <w:rPr>
          <w:rFonts w:ascii="Calibri" w:cs="Calibri" w:eastAsia="Calibri" w:hAnsi="Calibri"/>
          <w:b/>
          <w:bCs/>
          <w:sz w:val="26"/>
          <w:szCs w:val="26"/>
        </w:rPr>
        <w:t xml:space="preserve">Evidence supporting the decision</w:t>
      </w:r>
    </w:p>
    <w:p>
      <w:pPr>
        <w:pStyle w:val="Heading3"/>
        <w:spacing w:after="80" w:before="180"/>
      </w:pPr>
      <w:r>
        <w:rPr>
          <w:rFonts w:ascii="Calibri" w:cs="Calibri" w:eastAsia="Calibri" w:hAnsi="Calibri"/>
          <w:b/>
          <w:bCs/>
          <w:i w:val="false"/>
          <w:iCs w:val="false"/>
          <w:sz w:val="23"/>
          <w:szCs w:val="23"/>
        </w:rPr>
        <w:t xml:space="preserve">Why 70/15/15 and not 80/20 with in-train validation</w:t>
      </w:r>
    </w:p>
    <w:p>
      <w:pPr>
        <w:spacing w:after="120" w:line="300"/>
        <w:jc w:val="both"/>
      </w:pPr>
      <w:r>
        <w:rPr>
          <w:rFonts w:ascii="Calibri" w:cs="Calibri" w:eastAsia="Calibri" w:hAnsi="Calibri"/>
          <w:sz w:val="22"/>
          <w:szCs w:val="22"/>
        </w:rPr>
        <w:t xml:space="preserve">At 15% of 6,221 images, the held-out test set contains approximately 930 images, of which approximately 100 belong to the Stone class. </w:t>
      </w:r>
      <w:r>
        <w:rPr>
          <w:rFonts w:ascii="Calibri" w:cs="Calibri" w:eastAsia="Calibri" w:hAnsi="Calibri"/>
          <w:b/>
          <w:bCs/>
          <w:sz w:val="22"/>
          <w:szCs w:val="22"/>
        </w:rPr>
        <w:t xml:space="preserve">Davison and Hinkley [6] and Efron and Tibshirani [19] </w:t>
      </w:r>
      <w:r>
        <w:rPr>
          <w:rFonts w:ascii="Calibri" w:cs="Calibri" w:eastAsia="Calibri" w:hAnsi="Calibri"/>
          <w:sz w:val="22"/>
          <w:szCs w:val="22"/>
        </w:rPr>
        <w:t xml:space="preserve">establish that non-parametric bootstrap confidence intervals require sample sizes in approximately the low hundreds per class to achieve reasonable width at the 95% level; fewer than ~50 samples produces CIs so wide as to be uninformative. A 15% test share is therefore the smallest share that still delivers usable per-class uncertainty quantification on the minority Stone class, which is what the §5 evaluation harness requires. Islam et al.’s [5] 80/20 design (without an explicit held-out validation partition) interleaves hyperparameter selection with test evaluation and would re-introduce the test-set leakage mode documented below.</w:t>
      </w:r>
    </w:p>
    <w:p>
      <w:pPr>
        <w:pStyle w:val="Heading3"/>
        <w:spacing w:after="80" w:before="180"/>
      </w:pPr>
      <w:r>
        <w:rPr>
          <w:rFonts w:ascii="Calibri" w:cs="Calibri" w:eastAsia="Calibri" w:hAnsi="Calibri"/>
          <w:b/>
          <w:bCs/>
          <w:i w:val="false"/>
          <w:iCs w:val="false"/>
          <w:sz w:val="23"/>
          <w:szCs w:val="23"/>
        </w:rPr>
        <w:t xml:space="preserve">Why stratified</w:t>
      </w:r>
    </w:p>
    <w:p>
      <w:pPr>
        <w:spacing w:after="120" w:line="300"/>
        <w:jc w:val="both"/>
      </w:pPr>
      <w:r>
        <w:rPr>
          <w:rFonts w:ascii="Calibri" w:cs="Calibri" w:eastAsia="Calibri" w:hAnsi="Calibri"/>
          <w:b/>
          <w:bCs/>
          <w:sz w:val="22"/>
          <w:szCs w:val="22"/>
        </w:rPr>
        <w:t xml:space="preserve">He and Garcia [7] and Krawczyk [8] </w:t>
      </w:r>
      <w:r>
        <w:rPr>
          <w:rFonts w:ascii="Calibri" w:cs="Calibri" w:eastAsia="Calibri" w:hAnsi="Calibri"/>
          <w:sz w:val="22"/>
          <w:szCs w:val="22"/>
        </w:rPr>
        <w:t xml:space="preserve">survey imbalanced-learning methodology and jointly recommend stratified splitting as the default whenever class priors are non-uniform. Both show that naive random splitting on imbalanced data produces splits with visibly distorted per-class counts in small runs (especially for rare classes), which introduces a sampling-noise confound into any between-model comparison. With a ~7:1 Normal-to-Stone ratio in our data, stratification is required for the comparison in §6 to be interpretable. Stratified splitting is also the default in widely used implementations such as scikit-learn [22], which further supports it as the least-surprising choice.</w:t>
      </w:r>
    </w:p>
    <w:p>
      <w:pPr>
        <w:pStyle w:val="Heading3"/>
        <w:spacing w:after="80" w:before="180"/>
      </w:pPr>
      <w:r>
        <w:rPr>
          <w:rFonts w:ascii="Calibri" w:cs="Calibri" w:eastAsia="Calibri" w:hAnsi="Calibri"/>
          <w:b/>
          <w:bCs/>
          <w:i w:val="false"/>
          <w:iCs w:val="false"/>
          <w:sz w:val="23"/>
          <w:szCs w:val="23"/>
        </w:rPr>
        <w:t xml:space="preserve">Why a fixed seed</w:t>
      </w:r>
    </w:p>
    <w:p>
      <w:pPr>
        <w:spacing w:after="120" w:line="300"/>
        <w:jc w:val="both"/>
      </w:pPr>
      <w:r>
        <w:rPr>
          <w:rFonts w:ascii="Calibri" w:cs="Calibri" w:eastAsia="Calibri" w:hAnsi="Calibri"/>
          <w:b/>
          <w:bCs/>
          <w:sz w:val="22"/>
          <w:szCs w:val="22"/>
        </w:rPr>
        <w:t xml:space="preserve">CLAIM 2024 [2] and TRIPOD+AI [3] </w:t>
      </w:r>
      <w:r>
        <w:rPr>
          <w:rFonts w:ascii="Calibri" w:cs="Calibri" w:eastAsia="Calibri" w:hAnsi="Calibri"/>
          <w:sz w:val="22"/>
          <w:szCs w:val="22"/>
        </w:rPr>
        <w:t xml:space="preserve">both include explicit checklist items on data partitioning and reproducibility. Seed locking is the cheapest possible action to satisfy these items and is a near-free operation at implementation time. </w:t>
      </w:r>
      <w:r>
        <w:rPr>
          <w:rFonts w:ascii="Calibri" w:cs="Calibri" w:eastAsia="Calibri" w:hAnsi="Calibri"/>
          <w:b/>
          <w:bCs/>
          <w:sz w:val="22"/>
          <w:szCs w:val="22"/>
        </w:rPr>
        <w:t xml:space="preserve">Pineau et al. [21] </w:t>
      </w:r>
      <w:r>
        <w:rPr>
          <w:rFonts w:ascii="Calibri" w:cs="Calibri" w:eastAsia="Calibri" w:hAnsi="Calibri"/>
          <w:sz w:val="22"/>
          <w:szCs w:val="22"/>
        </w:rPr>
        <w:t xml:space="preserve">showed that more than 40% of machine-learning papers at top venues could not be reproduced from their reported details, and identified unlogged random seeds as one of the most common root causes. Seed 42 has no statistical significance and is chosen only because it is a widespread convention.</w:t>
      </w:r>
    </w:p>
    <w:p>
      <w:pPr>
        <w:pStyle w:val="Heading3"/>
        <w:spacing w:after="80" w:before="180"/>
      </w:pPr>
      <w:r>
        <w:rPr>
          <w:rFonts w:ascii="Calibri" w:cs="Calibri" w:eastAsia="Calibri" w:hAnsi="Calibri"/>
          <w:b/>
          <w:bCs/>
          <w:i w:val="false"/>
          <w:iCs w:val="false"/>
          <w:sz w:val="23"/>
          <w:szCs w:val="23"/>
        </w:rPr>
        <w:t xml:space="preserve">Why the test set is touched exactly once</w:t>
      </w:r>
    </w:p>
    <w:p>
      <w:pPr>
        <w:spacing w:after="120" w:line="300"/>
        <w:jc w:val="both"/>
      </w:pPr>
      <w:r>
        <w:rPr>
          <w:rFonts w:ascii="Calibri" w:cs="Calibri" w:eastAsia="Calibri" w:hAnsi="Calibri"/>
          <w:sz w:val="22"/>
          <w:szCs w:val="22"/>
        </w:rPr>
        <w:t xml:space="preserve">Repeatedly evaluating a model on the test set during development is a well-documented mechanism for test-set leakage — the test set effectively becomes a second validation set, and reported performance drifts upward in a way that does not generalise. </w:t>
      </w:r>
      <w:r>
        <w:rPr>
          <w:rFonts w:ascii="Calibri" w:cs="Calibri" w:eastAsia="Calibri" w:hAnsi="Calibri"/>
          <w:b/>
          <w:bCs/>
          <w:sz w:val="22"/>
          <w:szCs w:val="22"/>
        </w:rPr>
        <w:t xml:space="preserve">Varoquaux and Cheplygina [4] </w:t>
      </w:r>
      <w:r>
        <w:rPr>
          <w:rFonts w:ascii="Calibri" w:cs="Calibri" w:eastAsia="Calibri" w:hAnsi="Calibri"/>
          <w:sz w:val="22"/>
          <w:szCs w:val="22"/>
        </w:rPr>
        <w:t xml:space="preserve">call this out explicitly as a failure mode in medical-imaging ML, and </w:t>
      </w:r>
      <w:r>
        <w:rPr>
          <w:rFonts w:ascii="Calibri" w:cs="Calibri" w:eastAsia="Calibri" w:hAnsi="Calibri"/>
          <w:b/>
          <w:bCs/>
          <w:sz w:val="22"/>
          <w:szCs w:val="22"/>
        </w:rPr>
        <w:t xml:space="preserve">Yagis et al. [9] </w:t>
      </w:r>
      <w:r>
        <w:rPr>
          <w:rFonts w:ascii="Calibri" w:cs="Calibri" w:eastAsia="Calibri" w:hAnsi="Calibri"/>
          <w:sz w:val="22"/>
          <w:szCs w:val="22"/>
        </w:rPr>
        <w:t xml:space="preserve">quantified the magnitude of related leakage effects in medical imaging (see §8). The design in this document treats the test set as a one-shot benchmark accessed only at the end of the study.</w:t>
      </w:r>
    </w:p>
    <w:p>
      <w:pPr>
        <w:pStyle w:val="Heading2"/>
        <w:spacing w:after="120" w:before="240"/>
      </w:pPr>
      <w:r>
        <w:rPr>
          <w:rFonts w:ascii="Calibri" w:cs="Calibri" w:eastAsia="Calibri" w:hAnsi="Calibri"/>
          <w:b/>
          <w:bCs/>
          <w:sz w:val="26"/>
          <w:szCs w:val="26"/>
        </w:rPr>
        <w:t xml:space="preserve">Alternatives considered</w:t>
      </w:r>
    </w:p>
    <w:p>
      <w:pPr>
        <w:pStyle w:val="ListParagraph"/>
        <w:numPr>
          <w:ilvl w:val="0"/>
          <w:numId w:val="2"/>
        </w:numPr>
        <w:spacing w:after="80" w:line="280"/>
      </w:pPr>
      <w:r>
        <w:rPr>
          <w:rFonts w:ascii="Calibri" w:cs="Calibri" w:eastAsia="Calibri" w:hAnsi="Calibri"/>
          <w:b/>
          <w:bCs/>
          <w:sz w:val="22"/>
          <w:szCs w:val="22"/>
        </w:rPr>
        <w:t xml:space="preserve">K-fold cross-validation on the full dataset (no held-out test). </w:t>
      </w:r>
      <w:r>
        <w:rPr>
          <w:rFonts w:ascii="Calibri" w:cs="Calibri" w:eastAsia="Calibri" w:hAnsi="Calibri"/>
          <w:sz w:val="22"/>
          <w:szCs w:val="22"/>
        </w:rPr>
        <w:t xml:space="preserve">Dietterich [10] (§6) recommends this when the primary deliverable is a robust point estimate of generalisation, but it precludes a clean paired comparison of two models using a single McNemar’s test [10]. Cross-validation is still used in our design, but only inside the training fold for hyperparameter search.</w:t>
      </w:r>
    </w:p>
    <w:p>
      <w:pPr>
        <w:pStyle w:val="ListParagraph"/>
        <w:numPr>
          <w:ilvl w:val="0"/>
          <w:numId w:val="2"/>
        </w:numPr>
        <w:spacing w:after="80" w:line="280"/>
      </w:pPr>
      <w:r>
        <w:rPr>
          <w:rFonts w:ascii="Calibri" w:cs="Calibri" w:eastAsia="Calibri" w:hAnsi="Calibri"/>
          <w:b/>
          <w:bCs/>
          <w:sz w:val="22"/>
          <w:szCs w:val="22"/>
        </w:rPr>
        <w:t xml:space="preserve">Patient-level splitting. </w:t>
      </w:r>
      <w:r>
        <w:rPr>
          <w:rFonts w:ascii="Calibri" w:cs="Calibri" w:eastAsia="Calibri" w:hAnsi="Calibri"/>
          <w:sz w:val="22"/>
          <w:szCs w:val="22"/>
        </w:rPr>
        <w:t xml:space="preserve">This is the single largest methodological improvement available for medical-imaging splits [9], but is </w:t>
      </w:r>
      <w:r>
        <w:rPr>
          <w:rFonts w:ascii="Calibri" w:cs="Calibri" w:eastAsia="Calibri" w:hAnsi="Calibri"/>
          <w:i/>
          <w:iCs/>
          <w:sz w:val="22"/>
          <w:szCs w:val="22"/>
        </w:rPr>
        <w:t xml:space="preserve">not possible</w:t>
      </w:r>
      <w:r>
        <w:rPr>
          <w:rFonts w:ascii="Calibri" w:cs="Calibri" w:eastAsia="Calibri" w:hAnsi="Calibri"/>
          <w:sz w:val="22"/>
          <w:szCs w:val="22"/>
        </w:rPr>
        <w:t xml:space="preserve"> with the dataset released by Islam et al. [5] because no patient identifiers were included. This is acknowledged as a limitation in §8 rather than ignored.</w:t>
      </w:r>
    </w:p>
    <w:p>
      <w:pPr>
        <w:pStyle w:val="Heading1"/>
        <w:spacing w:after="180" w:before="300"/>
      </w:pPr>
      <w:r>
        <w:rPr>
          <w:rFonts w:ascii="Calibri" w:cs="Calibri" w:eastAsia="Calibri" w:hAnsi="Calibri"/>
          <w:b/>
          <w:bCs/>
          <w:sz w:val="32"/>
          <w:szCs w:val="32"/>
        </w:rPr>
        <w:t xml:space="preserve">3.  Class imbalance handling</w:t>
      </w:r>
    </w:p>
    <w:p>
      <w:pPr>
        <w:pStyle w:val="Heading2"/>
        <w:spacing w:after="120" w:before="240"/>
      </w:pPr>
      <w:r>
        <w:rPr>
          <w:rFonts w:ascii="Calibri" w:cs="Calibri" w:eastAsia="Calibri" w:hAnsi="Calibri"/>
          <w:b/>
          <w:bCs/>
          <w:sz w:val="26"/>
          <w:szCs w:val="26"/>
        </w:rPr>
        <w:t xml:space="preserve">Decision</w:t>
      </w:r>
    </w:p>
    <w:p>
      <w:pPr>
        <w:pStyle w:val="ListParagraph"/>
        <w:numPr>
          <w:ilvl w:val="0"/>
          <w:numId w:val="2"/>
        </w:numPr>
        <w:spacing w:after="80" w:line="280"/>
      </w:pPr>
      <w:r>
        <w:rPr>
          <w:rFonts w:ascii="Calibri" w:cs="Calibri" w:eastAsia="Calibri" w:hAnsi="Calibri"/>
          <w:sz w:val="22"/>
          <w:szCs w:val="22"/>
        </w:rPr>
        <w:t xml:space="preserve">Keep the natural class distribution in all splits; do not downsample or upsample in Phase 0.</w:t>
      </w:r>
    </w:p>
    <w:p>
      <w:pPr>
        <w:pStyle w:val="ListParagraph"/>
        <w:numPr>
          <w:ilvl w:val="0"/>
          <w:numId w:val="2"/>
        </w:numPr>
        <w:spacing w:after="80" w:line="280"/>
      </w:pPr>
      <w:r>
        <w:rPr>
          <w:rFonts w:ascii="Calibri" w:cs="Calibri" w:eastAsia="Calibri" w:hAnsi="Calibri"/>
          <w:sz w:val="22"/>
          <w:szCs w:val="22"/>
        </w:rPr>
        <w:t xml:space="preserve">Each classifier handles imbalance internally with matched strategies:</w:t>
      </w:r>
    </w:p>
    <w:p>
      <w:pPr>
        <w:pStyle w:val="ListParagraph"/>
        <w:numPr>
          <w:ilvl w:val="1"/>
          <w:numId w:val="2"/>
        </w:numPr>
        <w:spacing w:after="80" w:line="280"/>
      </w:pPr>
      <w:r>
        <w:rPr>
          <w:rFonts w:ascii="Calibri" w:cs="Calibri" w:eastAsia="Calibri" w:hAnsi="Calibri"/>
          <w:b/>
          <w:bCs/>
          <w:sz w:val="22"/>
          <w:szCs w:val="22"/>
        </w:rPr>
        <w:t xml:space="preserve">Person A (classical ML): </w:t>
      </w:r>
      <w:r>
        <w:rPr>
          <w:rFonts w:ascii="Calibri" w:cs="Calibri" w:eastAsia="Calibri" w:hAnsi="Calibri"/>
          <w:sz w:val="22"/>
          <w:szCs w:val="22"/>
        </w:rPr>
        <w:t xml:space="preserve">class_weight='balanced' in the final classifier (SVM / RF / GBM) and stratified CV for tuning.</w:t>
      </w:r>
    </w:p>
    <w:p>
      <w:pPr>
        <w:pStyle w:val="ListParagraph"/>
        <w:numPr>
          <w:ilvl w:val="1"/>
          <w:numId w:val="2"/>
        </w:numPr>
        <w:spacing w:after="80" w:line="280"/>
      </w:pPr>
      <w:r>
        <w:rPr>
          <w:rFonts w:ascii="Calibri" w:cs="Calibri" w:eastAsia="Calibri" w:hAnsi="Calibri"/>
          <w:b/>
          <w:bCs/>
          <w:sz w:val="22"/>
          <w:szCs w:val="22"/>
        </w:rPr>
        <w:t xml:space="preserve">Person B (deep learning): </w:t>
      </w:r>
      <w:r>
        <w:rPr>
          <w:rFonts w:ascii="Calibri" w:cs="Calibri" w:eastAsia="Calibri" w:hAnsi="Calibri"/>
          <w:sz w:val="22"/>
          <w:szCs w:val="22"/>
        </w:rPr>
        <w:t xml:space="preserve">inverse-frequency class weights in the cross-entropy loss, and weighted random sampling in the training DataLoader (both prototyped; the better-performing one reported).</w:t>
      </w:r>
    </w:p>
    <w:p>
      <w:pPr>
        <w:pStyle w:val="ListParagraph"/>
        <w:numPr>
          <w:ilvl w:val="0"/>
          <w:numId w:val="2"/>
        </w:numPr>
        <w:spacing w:after="80" w:line="280"/>
      </w:pPr>
      <w:r>
        <w:rPr>
          <w:rFonts w:ascii="Calibri" w:cs="Calibri" w:eastAsia="Calibri" w:hAnsi="Calibri"/>
          <w:sz w:val="22"/>
          <w:szCs w:val="22"/>
        </w:rPr>
        <w:t xml:space="preserve">Primary reporting metric is macro-F1, not accuracy (§5).</w:t>
      </w:r>
    </w:p>
    <w:p>
      <w:pPr>
        <w:pStyle w:val="Heading2"/>
        <w:spacing w:after="120" w:before="240"/>
      </w:pPr>
      <w:r>
        <w:rPr>
          <w:rFonts w:ascii="Calibri" w:cs="Calibri" w:eastAsia="Calibri" w:hAnsi="Calibri"/>
          <w:b/>
          <w:bCs/>
          <w:sz w:val="26"/>
          <w:szCs w:val="26"/>
        </w:rPr>
        <w:t xml:space="preserve">Evidence supporting the decision</w:t>
      </w:r>
    </w:p>
    <w:p>
      <w:pPr>
        <w:pStyle w:val="Heading3"/>
        <w:spacing w:after="80" w:before="180"/>
      </w:pPr>
      <w:r>
        <w:rPr>
          <w:rFonts w:ascii="Calibri" w:cs="Calibri" w:eastAsia="Calibri" w:hAnsi="Calibri"/>
          <w:b/>
          <w:bCs/>
          <w:i w:val="false"/>
          <w:iCs w:val="false"/>
          <w:sz w:val="23"/>
          <w:szCs w:val="23"/>
        </w:rPr>
        <w:t xml:space="preserve">Why not rebalance the dataset itself</w:t>
      </w:r>
    </w:p>
    <w:p>
      <w:pPr>
        <w:spacing w:after="120" w:line="300"/>
        <w:jc w:val="both"/>
      </w:pPr>
      <w:r>
        <w:rPr>
          <w:rFonts w:ascii="Calibri" w:cs="Calibri" w:eastAsia="Calibri" w:hAnsi="Calibri"/>
          <w:b/>
          <w:bCs/>
          <w:sz w:val="22"/>
          <w:szCs w:val="22"/>
        </w:rPr>
        <w:t xml:space="preserve">Islam et al. [5] </w:t>
      </w:r>
      <w:r>
        <w:rPr>
          <w:rFonts w:ascii="Calibri" w:cs="Calibri" w:eastAsia="Calibri" w:hAnsi="Calibri"/>
          <w:sz w:val="22"/>
          <w:szCs w:val="22"/>
        </w:rPr>
        <w:t xml:space="preserve">downsampled to 1,300 per class for training. This approach has two costs that both arguments from the literature flag: </w:t>
      </w:r>
      <w:r>
        <w:rPr>
          <w:rFonts w:ascii="Calibri" w:cs="Calibri" w:eastAsia="Calibri" w:hAnsi="Calibri"/>
          <w:i/>
          <w:iCs/>
          <w:sz w:val="22"/>
          <w:szCs w:val="22"/>
        </w:rPr>
        <w:t xml:space="preserve">first</w:t>
      </w:r>
      <w:r>
        <w:rPr>
          <w:rFonts w:ascii="Calibri" w:cs="Calibri" w:eastAsia="Calibri" w:hAnsi="Calibri"/>
          <w:sz w:val="22"/>
          <w:szCs w:val="22"/>
        </w:rPr>
        <w:t xml:space="preserve">, it discards &gt;7k images, most of them from the majority Normal class, which destroys anatomical variation the model could otherwise learn from; </w:t>
      </w:r>
      <w:r>
        <w:rPr>
          <w:rFonts w:ascii="Calibri" w:cs="Calibri" w:eastAsia="Calibri" w:hAnsi="Calibri"/>
          <w:i/>
          <w:iCs/>
          <w:sz w:val="22"/>
          <w:szCs w:val="22"/>
        </w:rPr>
        <w:t xml:space="preserve">second</w:t>
      </w:r>
      <w:r>
        <w:rPr>
          <w:rFonts w:ascii="Calibri" w:cs="Calibri" w:eastAsia="Calibri" w:hAnsi="Calibri"/>
          <w:sz w:val="22"/>
          <w:szCs w:val="22"/>
        </w:rPr>
        <w:t xml:space="preserve">, it reports metrics on an artificial class distribution that does not match deployment conditions. </w:t>
      </w:r>
      <w:r>
        <w:rPr>
          <w:rFonts w:ascii="Calibri" w:cs="Calibri" w:eastAsia="Calibri" w:hAnsi="Calibri"/>
          <w:b/>
          <w:bCs/>
          <w:sz w:val="22"/>
          <w:szCs w:val="22"/>
        </w:rPr>
        <w:t xml:space="preserve">Varoquaux and Cheplygina [4] </w:t>
      </w:r>
      <w:r>
        <w:rPr>
          <w:rFonts w:ascii="Calibri" w:cs="Calibri" w:eastAsia="Calibri" w:hAnsi="Calibri"/>
          <w:sz w:val="22"/>
          <w:szCs w:val="22"/>
        </w:rPr>
        <w:t xml:space="preserve">explicitly flag this as a </w:t>
      </w:r>
      <w:r>
        <w:rPr>
          <w:rFonts w:ascii="Calibri" w:cs="Calibri" w:eastAsia="Calibri" w:hAnsi="Calibri"/>
          <w:i/>
          <w:iCs/>
          <w:sz w:val="22"/>
          <w:szCs w:val="22"/>
        </w:rPr>
        <w:t xml:space="preserve">population-shift</w:t>
      </w:r>
      <w:r>
        <w:rPr>
          <w:rFonts w:ascii="Calibri" w:cs="Calibri" w:eastAsia="Calibri" w:hAnsi="Calibri"/>
          <w:sz w:val="22"/>
          <w:szCs w:val="22"/>
        </w:rPr>
        <w:t xml:space="preserve"> failure mode: models evaluated on an artificially balanced distribution often fail when deployed on the true hospital distribution, and the cited ‘accuracy’ numbers are therefore optimistic in a way that is not surfaced by standard reporting.</w:t>
      </w:r>
    </w:p>
    <w:p>
      <w:pPr>
        <w:pStyle w:val="Heading3"/>
        <w:spacing w:after="80" w:before="180"/>
      </w:pPr>
      <w:r>
        <w:rPr>
          <w:rFonts w:ascii="Calibri" w:cs="Calibri" w:eastAsia="Calibri" w:hAnsi="Calibri"/>
          <w:b/>
          <w:bCs/>
          <w:i w:val="false"/>
          <w:iCs w:val="false"/>
          <w:sz w:val="23"/>
          <w:szCs w:val="23"/>
        </w:rPr>
        <w:t xml:space="preserve">Why class-weighting plus macro-F1 instead</w:t>
      </w:r>
    </w:p>
    <w:p>
      <w:pPr>
        <w:spacing w:after="120" w:line="300"/>
        <w:jc w:val="both"/>
      </w:pPr>
      <w:r>
        <w:rPr>
          <w:rFonts w:ascii="Calibri" w:cs="Calibri" w:eastAsia="Calibri" w:hAnsi="Calibri"/>
          <w:b/>
          <w:bCs/>
          <w:sz w:val="22"/>
          <w:szCs w:val="22"/>
        </w:rPr>
        <w:t xml:space="preserve">Buda, Maki and Mazurowski [11] </w:t>
      </w:r>
      <w:r>
        <w:rPr>
          <w:rFonts w:ascii="Calibri" w:cs="Calibri" w:eastAsia="Calibri" w:hAnsi="Calibri"/>
          <w:sz w:val="22"/>
          <w:szCs w:val="22"/>
        </w:rPr>
        <w:t xml:space="preserve">ran a systematic empirical study of class-imbalance strategies for convolutional neural networks across multiple imbalance ratios and datasets. Their headline finding is that random oversampling dominates most other approaches in CNNs, with cost-sensitive learning (class weights in the loss) a close and often statistically indistinguishable second. Both strategies preserve the full training set and avoid the information-loss mode above. </w:t>
      </w:r>
      <w:r>
        <w:rPr>
          <w:rFonts w:ascii="Calibri" w:cs="Calibri" w:eastAsia="Calibri" w:hAnsi="Calibri"/>
          <w:b/>
          <w:bCs/>
          <w:sz w:val="22"/>
          <w:szCs w:val="22"/>
        </w:rPr>
        <w:t xml:space="preserve">Johnson and Khoshgoftaar [12] </w:t>
      </w:r>
      <w:r>
        <w:rPr>
          <w:rFonts w:ascii="Calibri" w:cs="Calibri" w:eastAsia="Calibri" w:hAnsi="Calibri"/>
          <w:sz w:val="22"/>
          <w:szCs w:val="22"/>
        </w:rPr>
        <w:t xml:space="preserve">surveyed the broader deep-learning imbalance literature and reached the same high-level conclusion: cost-sensitive losses and oversampling are both effective, and which one wins depends on dataset specifics, which is why our plan prototypes both on Person B’s pipeline.</w:t>
      </w:r>
    </w:p>
    <w:p>
      <w:pPr>
        <w:pStyle w:val="Heading3"/>
        <w:spacing w:after="80" w:before="180"/>
      </w:pPr>
      <w:r>
        <w:rPr>
          <w:rFonts w:ascii="Calibri" w:cs="Calibri" w:eastAsia="Calibri" w:hAnsi="Calibri"/>
          <w:b/>
          <w:bCs/>
          <w:i w:val="false"/>
          <w:iCs w:val="false"/>
          <w:sz w:val="23"/>
          <w:szCs w:val="23"/>
        </w:rPr>
        <w:t xml:space="preserve">Why report both micro- and macro-averaged metrics</w:t>
      </w:r>
    </w:p>
    <w:p>
      <w:pPr>
        <w:spacing w:after="120" w:line="300"/>
        <w:jc w:val="both"/>
      </w:pPr>
      <w:r>
        <w:rPr>
          <w:rFonts w:ascii="Calibri" w:cs="Calibri" w:eastAsia="Calibri" w:hAnsi="Calibri"/>
          <w:b/>
          <w:bCs/>
          <w:sz w:val="22"/>
          <w:szCs w:val="22"/>
        </w:rPr>
        <w:t xml:space="preserve">Grandini, Bagli and Visani [13] </w:t>
      </w:r>
      <w:r>
        <w:rPr>
          <w:rFonts w:ascii="Calibri" w:cs="Calibri" w:eastAsia="Calibri" w:hAnsi="Calibri"/>
          <w:sz w:val="22"/>
          <w:szCs w:val="22"/>
        </w:rPr>
        <w:t xml:space="preserve">provide the clearest didactic treatment of averaging strategies for multi-class metrics. They show that under imbalance, micro-averaged metrics (and therefore accuracy) are dominated by the majority class: a model that predicts ‘Normal’ for every input would still score around 41% accuracy in our medium set, which is clinically unacceptable. Macro-averaged F1 weights each class equally and is therefore sensitive to minority-class failure. </w:t>
      </w:r>
      <w:r>
        <w:rPr>
          <w:rFonts w:ascii="Calibri" w:cs="Calibri" w:eastAsia="Calibri" w:hAnsi="Calibri"/>
          <w:b/>
          <w:bCs/>
          <w:sz w:val="22"/>
          <w:szCs w:val="22"/>
        </w:rPr>
        <w:t xml:space="preserve">Sokolova and Lapalme [14] </w:t>
      </w:r>
      <w:r>
        <w:rPr>
          <w:rFonts w:ascii="Calibri" w:cs="Calibri" w:eastAsia="Calibri" w:hAnsi="Calibri"/>
          <w:sz w:val="22"/>
          <w:szCs w:val="22"/>
        </w:rPr>
        <w:t xml:space="preserve">formalise this argument by listing which invariances each averaged metric respects. Macro-F1 is selected as the </w:t>
      </w:r>
      <w:r>
        <w:rPr>
          <w:rFonts w:ascii="Calibri" w:cs="Calibri" w:eastAsia="Calibri" w:hAnsi="Calibri"/>
          <w:i/>
          <w:iCs/>
          <w:sz w:val="22"/>
          <w:szCs w:val="22"/>
        </w:rPr>
        <w:t xml:space="preserve">primary</w:t>
      </w:r>
      <w:r>
        <w:rPr>
          <w:rFonts w:ascii="Calibri" w:cs="Calibri" w:eastAsia="Calibri" w:hAnsi="Calibri"/>
          <w:sz w:val="22"/>
          <w:szCs w:val="22"/>
        </w:rPr>
        <w:t xml:space="preserve"> metric because Stone and Tumor misses are clinically more costly than Normal misses and the primary metric should reflect that.</w:t>
      </w:r>
    </w:p>
    <w:p>
      <w:pPr>
        <w:pStyle w:val="Heading2"/>
        <w:spacing w:after="120" w:before="240"/>
      </w:pPr>
      <w:r>
        <w:rPr>
          <w:rFonts w:ascii="Calibri" w:cs="Calibri" w:eastAsia="Calibri" w:hAnsi="Calibri"/>
          <w:b/>
          <w:bCs/>
          <w:sz w:val="26"/>
          <w:szCs w:val="26"/>
        </w:rPr>
        <w:t xml:space="preserve">Alternative considered</w:t>
      </w:r>
    </w:p>
    <w:p>
      <w:pPr>
        <w:spacing w:after="120" w:line="300"/>
        <w:jc w:val="both"/>
      </w:pPr>
      <w:r>
        <w:rPr>
          <w:rFonts w:ascii="Calibri" w:cs="Calibri" w:eastAsia="Calibri" w:hAnsi="Calibri"/>
          <w:b/>
          <w:bCs/>
          <w:sz w:val="22"/>
          <w:szCs w:val="22"/>
        </w:rPr>
        <w:t xml:space="preserve">SMOTE and similar synthetic oversampling on the feature space (for Person A). </w:t>
      </w:r>
      <w:r>
        <w:rPr>
          <w:rFonts w:ascii="Calibri" w:cs="Calibri" w:eastAsia="Calibri" w:hAnsi="Calibri"/>
          <w:sz w:val="22"/>
          <w:szCs w:val="22"/>
        </w:rPr>
        <w:t xml:space="preserve">Defensible on the evidence in [11, 12] but introduces an additional hyperparameter (the neighbourhood size k) that would require its own small literature review to justify. Class-weighting delivers the same cost-sensitive signal without synthesising examples, and is therefore preferred for the main pipeline. SMOTE is mentioned in the paper’s discussion as a candidate for future work.</w:t>
      </w:r>
    </w:p>
    <w:p>
      <w:pPr>
        <w:pStyle w:val="Heading1"/>
        <w:spacing w:after="180" w:before="300"/>
      </w:pPr>
      <w:r>
        <w:rPr>
          <w:rFonts w:ascii="Calibri" w:cs="Calibri" w:eastAsia="Calibri" w:hAnsi="Calibri"/>
          <w:b/>
          <w:bCs/>
          <w:sz w:val="32"/>
          <w:szCs w:val="32"/>
        </w:rPr>
        <w:t xml:space="preserve">4.  Shared preprocessing entry point</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A single function </w:t>
      </w:r>
      <w:r>
        <w:rPr>
          <w:rFonts w:ascii="Consolas" w:cs="Consolas" w:eastAsia="Consolas" w:hAnsi="Consolas"/>
          <w:sz w:val="22"/>
          <w:szCs w:val="22"/>
        </w:rPr>
        <w:t xml:space="preserve">load_image(filepath) -&gt; np.ndarray</w:t>
      </w:r>
      <w:r>
        <w:rPr>
          <w:rFonts w:ascii="Calibri" w:cs="Calibri" w:eastAsia="Calibri" w:hAnsi="Calibri"/>
          <w:sz w:val="22"/>
          <w:szCs w:val="22"/>
        </w:rPr>
        <w:t xml:space="preserve"> is used by both pipelines:</w:t>
      </w:r>
    </w:p>
    <w:p>
      <w:pPr>
        <w:pStyle w:val="ListParagraph"/>
        <w:numPr>
          <w:ilvl w:val="0"/>
          <w:numId w:val="2"/>
        </w:numPr>
        <w:spacing w:after="80" w:line="280"/>
      </w:pPr>
      <w:r>
        <w:rPr>
          <w:rFonts w:ascii="Calibri" w:cs="Calibri" w:eastAsia="Calibri" w:hAnsi="Calibri"/>
          <w:sz w:val="22"/>
          <w:szCs w:val="22"/>
        </w:rPr>
        <w:t xml:space="preserve">Load image via </w:t>
      </w:r>
      <w:r>
        <w:rPr>
          <w:rFonts w:ascii="Consolas" w:cs="Consolas" w:eastAsia="Consolas" w:hAnsi="Consolas"/>
          <w:sz w:val="22"/>
          <w:szCs w:val="22"/>
        </w:rPr>
        <w:t xml:space="preserve">PIL.Image.open</w:t>
      </w:r>
      <w:r>
        <w:rPr>
          <w:rFonts w:ascii="Calibri" w:cs="Calibri" w:eastAsia="Calibri" w:hAnsi="Calibri"/>
          <w:sz w:val="22"/>
          <w:szCs w:val="22"/>
        </w:rPr>
        <w:t xml:space="preserve">.</w:t>
      </w:r>
    </w:p>
    <w:p>
      <w:pPr>
        <w:pStyle w:val="ListParagraph"/>
        <w:numPr>
          <w:ilvl w:val="0"/>
          <w:numId w:val="2"/>
        </w:numPr>
        <w:spacing w:after="80" w:line="280"/>
      </w:pPr>
      <w:r>
        <w:rPr>
          <w:rFonts w:ascii="Calibri" w:cs="Calibri" w:eastAsia="Calibri" w:hAnsi="Calibri"/>
          <w:sz w:val="22"/>
          <w:szCs w:val="22"/>
        </w:rPr>
        <w:t xml:space="preserve">Convert to grayscale (defensive, because the source JPGs may contain incidental RGB encoding even though the images are CT slices).</w:t>
      </w:r>
    </w:p>
    <w:p>
      <w:pPr>
        <w:pStyle w:val="ListParagraph"/>
        <w:numPr>
          <w:ilvl w:val="0"/>
          <w:numId w:val="2"/>
        </w:numPr>
        <w:spacing w:after="80" w:line="280"/>
      </w:pPr>
      <w:r>
        <w:rPr>
          <w:rFonts w:ascii="Calibri" w:cs="Calibri" w:eastAsia="Calibri" w:hAnsi="Calibri"/>
          <w:sz w:val="22"/>
          <w:szCs w:val="22"/>
        </w:rPr>
        <w:t xml:space="preserve">Resize to 256 × 256 using bilinear interpolation, preserving aspect ratio by centre-cropping to square first.</w:t>
      </w:r>
    </w:p>
    <w:p>
      <w:pPr>
        <w:pStyle w:val="ListParagraph"/>
        <w:numPr>
          <w:ilvl w:val="0"/>
          <w:numId w:val="2"/>
        </w:numPr>
        <w:spacing w:after="80" w:line="280"/>
      </w:pPr>
      <w:r>
        <w:rPr>
          <w:rFonts w:ascii="Calibri" w:cs="Calibri" w:eastAsia="Calibri" w:hAnsi="Calibri"/>
          <w:sz w:val="22"/>
          <w:szCs w:val="22"/>
        </w:rPr>
        <w:t xml:space="preserve">Return as </w:t>
      </w:r>
      <w:r>
        <w:rPr>
          <w:rFonts w:ascii="Consolas" w:cs="Consolas" w:eastAsia="Consolas" w:hAnsi="Consolas"/>
          <w:sz w:val="22"/>
          <w:szCs w:val="22"/>
        </w:rPr>
        <w:t xml:space="preserve">np.uint8</w:t>
      </w:r>
      <w:r>
        <w:rPr>
          <w:rFonts w:ascii="Calibri" w:cs="Calibri" w:eastAsia="Calibri" w:hAnsi="Calibri"/>
          <w:sz w:val="22"/>
          <w:szCs w:val="22"/>
        </w:rPr>
        <w:t xml:space="preserve"> array.</w:t>
      </w:r>
    </w:p>
    <w:p>
      <w:pPr>
        <w:spacing w:after="120" w:line="300"/>
        <w:jc w:val="both"/>
      </w:pPr>
      <w:r>
        <w:rPr>
          <w:rFonts w:ascii="Calibri" w:cs="Calibri" w:eastAsia="Calibri" w:hAnsi="Calibri"/>
          <w:sz w:val="22"/>
          <w:szCs w:val="22"/>
        </w:rPr>
        <w:t xml:space="preserve">Everything beyond this is classifier-specific:</w:t>
      </w:r>
    </w:p>
    <w:p>
      <w:pPr>
        <w:pStyle w:val="ListParagraph"/>
        <w:numPr>
          <w:ilvl w:val="0"/>
          <w:numId w:val="2"/>
        </w:numPr>
        <w:spacing w:after="80" w:line="280"/>
      </w:pPr>
      <w:r>
        <w:rPr>
          <w:rFonts w:ascii="Calibri" w:cs="Calibri" w:eastAsia="Calibri" w:hAnsi="Calibri"/>
          <w:b/>
          <w:bCs/>
          <w:sz w:val="22"/>
          <w:szCs w:val="22"/>
        </w:rPr>
        <w:t xml:space="preserve">Person A </w:t>
      </w:r>
      <w:r>
        <w:rPr>
          <w:rFonts w:ascii="Calibri" w:cs="Calibri" w:eastAsia="Calibri" w:hAnsi="Calibri"/>
          <w:sz w:val="22"/>
          <w:szCs w:val="22"/>
        </w:rPr>
        <w:t xml:space="preserve">reads at 256 × 256 grayscale and extracts handcrafted features on that.</w:t>
      </w:r>
    </w:p>
    <w:p>
      <w:pPr>
        <w:spacing w:after="120" w:line="300"/>
        <w:ind w:left="360"/>
        <w:jc w:val="both"/>
      </w:pPr>
      <w:r>
        <w:rPr>
          <w:rFonts w:ascii="Calibri" w:cs="Calibri" w:eastAsia="Calibri" w:hAnsi="Calibri"/>
          <w:b/>
          <w:bCs/>
          <w:sz w:val="22"/>
          <w:szCs w:val="22"/>
        </w:rPr>
        <w:t xml:space="preserve">	Person B </w:t>
      </w:r>
      <w:r>
        <w:rPr>
          <w:rFonts w:ascii="Calibri" w:cs="Calibri" w:eastAsia="Calibri" w:hAnsi="Calibri"/>
          <w:sz w:val="22"/>
          <w:szCs w:val="22"/>
        </w:rPr>
        <w:t xml:space="preserve">applies Resize(224 × 224) + ToTensor + channel replication (grey to three channels) + ImageNet mean/std normalisation (μ = [0.485, 0.456, 0.406], σ = [0.229, 0.224, 0.225]), matching the ImageNet pre-training distribution.</w:t>
      </w:r>
    </w:p>
    <w:p>
      <w:pPr>
        <w:pStyle w:val="Heading2"/>
        <w:spacing w:after="120" w:before="240"/>
      </w:pPr>
      <w:r>
        <w:rPr>
          <w:rFonts w:ascii="Calibri" w:cs="Calibri" w:eastAsia="Calibri" w:hAnsi="Calibri"/>
          <w:b/>
          <w:bCs/>
          <w:sz w:val="26"/>
          <w:szCs w:val="26"/>
        </w:rPr>
        <w:t xml:space="preserve">Evidence supporting the decision</w:t>
      </w:r>
    </w:p>
    <w:p>
      <w:pPr>
        <w:pStyle w:val="Heading3"/>
        <w:spacing w:after="80" w:before="180"/>
      </w:pPr>
      <w:r>
        <w:rPr>
          <w:rFonts w:ascii="Calibri" w:cs="Calibri" w:eastAsia="Calibri" w:hAnsi="Calibri"/>
          <w:b/>
          <w:bCs/>
          <w:i w:val="false"/>
          <w:iCs w:val="false"/>
          <w:sz w:val="23"/>
          <w:szCs w:val="23"/>
        </w:rPr>
        <w:t xml:space="preserve">Why 256 × 256 at the shared stage</w:t>
      </w:r>
    </w:p>
    <w:p>
      <w:pPr>
        <w:spacing w:after="120" w:line="300"/>
        <w:jc w:val="both"/>
      </w:pPr>
      <w:r>
        <w:rPr>
          <w:rFonts w:ascii="Calibri" w:cs="Calibri" w:eastAsia="Calibri" w:hAnsi="Calibri"/>
          <w:sz w:val="22"/>
          <w:szCs w:val="22"/>
        </w:rPr>
        <w:t xml:space="preserve">The shared resolution is chosen to be the </w:t>
      </w:r>
      <w:r>
        <w:rPr>
          <w:rFonts w:ascii="Calibri" w:cs="Calibri" w:eastAsia="Calibri" w:hAnsi="Calibri"/>
          <w:i/>
          <w:iCs/>
          <w:sz w:val="22"/>
          <w:szCs w:val="22"/>
        </w:rPr>
        <w:t xml:space="preserve">larger</w:t>
      </w:r>
      <w:r>
        <w:rPr>
          <w:rFonts w:ascii="Calibri" w:cs="Calibri" w:eastAsia="Calibri" w:hAnsi="Calibri"/>
          <w:sz w:val="22"/>
          <w:szCs w:val="22"/>
        </w:rPr>
        <w:t xml:space="preserve"> of the two downstream requirements, so that no image information is destroyed before the pipelines diverge. The 224 × 224 input size used in the CNN pipeline is the standard resolution expected by ImageNet-pretrained backbones (DenseNet, ResNet, EfficientNet-B0); </w:t>
      </w:r>
      <w:r>
        <w:rPr>
          <w:rFonts w:ascii="Calibri" w:cs="Calibri" w:eastAsia="Calibri" w:hAnsi="Calibri"/>
          <w:b/>
          <w:bCs/>
          <w:sz w:val="22"/>
          <w:szCs w:val="22"/>
        </w:rPr>
        <w:t xml:space="preserve">Rajpurkar et al. [15] </w:t>
      </w:r>
      <w:r>
        <w:rPr>
          <w:rFonts w:ascii="Calibri" w:cs="Calibri" w:eastAsia="Calibri" w:hAnsi="Calibri"/>
          <w:sz w:val="22"/>
          <w:szCs w:val="22"/>
        </w:rPr>
        <w:t xml:space="preserve">applied this convention to medical imaging in CheXNet, using DenseNet-121 at 224 × 224 with ImageNet-statistics normalisation and random horizontal flips, and this preprocessing template has been followed by the great majority of subsequent medical-imaging transfer-learning studies. Resizing at the shared stage to 256 and then cropping to 224 in the CNN pipeline matches the standard torchvision ImageNet transform. For the classical pipeline, GLCM Haralick features [23] are sensitive to the spatial resolution of the source image: coarse texture statistics computed on smaller patches (the reference paper [5] used a lower input size than typical transfer-learning studies) lose fine-grained gradient information, so the classical pipeline benefits from keeping the resolution at 256.</w:t>
      </w:r>
    </w:p>
    <w:p>
      <w:pPr>
        <w:pStyle w:val="Heading3"/>
        <w:spacing w:after="80" w:before="180"/>
      </w:pPr>
      <w:r>
        <w:rPr>
          <w:rFonts w:ascii="Calibri" w:cs="Calibri" w:eastAsia="Calibri" w:hAnsi="Calibri"/>
          <w:b/>
          <w:bCs/>
          <w:i w:val="false"/>
          <w:iCs w:val="false"/>
          <w:sz w:val="23"/>
          <w:szCs w:val="23"/>
        </w:rPr>
        <w:t xml:space="preserve">Why bilinear interpolation</w:t>
      </w:r>
    </w:p>
    <w:p>
      <w:pPr>
        <w:spacing w:after="120" w:line="300"/>
        <w:jc w:val="both"/>
      </w:pPr>
      <w:r>
        <w:rPr>
          <w:rFonts w:ascii="Calibri" w:cs="Calibri" w:eastAsia="Calibri" w:hAnsi="Calibri"/>
          <w:sz w:val="22"/>
          <w:szCs w:val="22"/>
        </w:rPr>
        <w:t xml:space="preserve">Bilinear interpolation is the default in torchvision, PIL, and scikit-image for intensity images for good reason: nearest-neighbour interpolation introduces visible pixelation artefacts that alter texture statistics, and these texture statistics are precisely what Person A’s GLCM Haralick features [23] measure. Bicubic is occasionally used for very aggressive downsampling but offers no benefit at this scale and is slightly slower.</w:t>
      </w:r>
    </w:p>
    <w:p>
      <w:pPr>
        <w:pStyle w:val="Heading3"/>
        <w:spacing w:after="80" w:before="180"/>
      </w:pPr>
      <w:r>
        <w:rPr>
          <w:rFonts w:ascii="Calibri" w:cs="Calibri" w:eastAsia="Calibri" w:hAnsi="Calibri"/>
          <w:b/>
          <w:bCs/>
          <w:i w:val="false"/>
          <w:iCs w:val="false"/>
          <w:sz w:val="23"/>
          <w:szCs w:val="23"/>
        </w:rPr>
        <w:t xml:space="preserve">Why ImageNet mean/std normalisation on the CNN branch</w:t>
      </w:r>
    </w:p>
    <w:p>
      <w:pPr>
        <w:spacing w:after="120" w:line="300"/>
        <w:jc w:val="both"/>
      </w:pPr>
      <w:r>
        <w:rPr>
          <w:rFonts w:ascii="Calibri" w:cs="Calibri" w:eastAsia="Calibri" w:hAnsi="Calibri"/>
          <w:sz w:val="22"/>
          <w:szCs w:val="22"/>
        </w:rPr>
        <w:t xml:space="preserve">Networks pretrained on ImageNet expect inputs with the same per-channel mean and standard deviation as the ImageNet training distribution; this is the input-distribution contract implicit in every ImageNet-pretrained backbone released through torchvision and timm. Deviating from that contract breaks the first convolutional layer’s operating point and degrades downstream features in a way that is trivially avoidable by applying the correct normalisation. </w:t>
      </w:r>
      <w:r>
        <w:rPr>
          <w:rFonts w:ascii="Calibri" w:cs="Calibri" w:eastAsia="Calibri" w:hAnsi="Calibri"/>
          <w:b/>
          <w:bCs/>
          <w:sz w:val="22"/>
          <w:szCs w:val="22"/>
        </w:rPr>
        <w:t xml:space="preserve">Rajpurkar et al. [15] </w:t>
      </w:r>
      <w:r>
        <w:rPr>
          <w:rFonts w:ascii="Calibri" w:cs="Calibri" w:eastAsia="Calibri" w:hAnsi="Calibri"/>
          <w:sz w:val="22"/>
          <w:szCs w:val="22"/>
        </w:rPr>
        <w:t xml:space="preserve">follow this convention explicitly in CheXNet — images are resized to 224 × 224 and normalised with ImageNet mean and standard deviation before being passed to an ImageNet-pretrained DenseNet-121 — and the convention has since become near-universal in medical-imaging transfer learning. </w:t>
      </w:r>
      <w:r>
        <w:rPr>
          <w:rFonts w:ascii="Calibri" w:cs="Calibri" w:eastAsia="Calibri" w:hAnsi="Calibri"/>
          <w:b/>
          <w:bCs/>
          <w:sz w:val="22"/>
          <w:szCs w:val="22"/>
        </w:rPr>
        <w:t xml:space="preserve">Raghu, Zhang, Kleinberg and Bengio [16] </w:t>
      </w:r>
      <w:r>
        <w:rPr>
          <w:rFonts w:ascii="Calibri" w:cs="Calibri" w:eastAsia="Calibri" w:hAnsi="Calibri"/>
          <w:sz w:val="22"/>
          <w:szCs w:val="22"/>
        </w:rPr>
        <w:t xml:space="preserve">provide important context here: their ‘Transfusion’ analysis finds that transfer learning from ImageNet delivers smaller accuracy gains on medical imaging than is commonly assumed, but they also show that the benefits that do exist come from ImageNet-scale weight initialisation. Preserving those benefits requires matching the pretraining input distribution, which is the practical justification for ImageNet normalisation in our Person B pipeline. CLAIM 2024 [2] additionally lists preprocessing normalisation as a required reporting item.</w:t>
      </w:r>
    </w:p>
    <w:p>
      <w:pPr>
        <w:pStyle w:val="Heading3"/>
        <w:spacing w:after="80" w:before="180"/>
      </w:pPr>
      <w:r>
        <w:rPr>
          <w:rFonts w:ascii="Calibri" w:cs="Calibri" w:eastAsia="Calibri" w:hAnsi="Calibri"/>
          <w:b/>
          <w:bCs/>
          <w:i w:val="false"/>
          <w:iCs w:val="false"/>
          <w:sz w:val="23"/>
          <w:szCs w:val="23"/>
        </w:rPr>
        <w:t xml:space="preserve">Why histogram equalisation is not applied at the shared stage</w:t>
      </w:r>
    </w:p>
    <w:p>
      <w:pPr>
        <w:spacing w:after="120" w:line="300"/>
        <w:jc w:val="both"/>
      </w:pPr>
      <w:r>
        <w:rPr>
          <w:rFonts w:ascii="Calibri" w:cs="Calibri" w:eastAsia="Calibri" w:hAnsi="Calibri"/>
          <w:sz w:val="22"/>
          <w:szCs w:val="22"/>
        </w:rPr>
        <w:t xml:space="preserve">Histogram equalisation alters texture statistics — typically beneficial for CNNs, but its effect on handcrafted-feature pipelines is inconsistent across the texture-classification literature. Rather than commit to a global choice that may help one pipeline and hurt the other, equalisation is deferred to a per-classifier preprocessing step. Person A will A/B-test CLAHE during Phase 1.</w:t>
      </w:r>
    </w:p>
    <w:p>
      <w:pPr>
        <w:pStyle w:val="Heading2"/>
        <w:spacing w:after="120" w:before="240"/>
      </w:pPr>
      <w:r>
        <w:rPr>
          <w:rFonts w:ascii="Calibri" w:cs="Calibri" w:eastAsia="Calibri" w:hAnsi="Calibri"/>
          <w:b/>
          <w:bCs/>
          <w:sz w:val="26"/>
          <w:szCs w:val="26"/>
        </w:rPr>
        <w:t xml:space="preserve">Alternative considered</w:t>
      </w:r>
    </w:p>
    <w:p>
      <w:pPr>
        <w:spacing w:after="120" w:line="300"/>
        <w:jc w:val="both"/>
      </w:pPr>
      <w:r>
        <w:rPr>
          <w:rFonts w:ascii="Calibri" w:cs="Calibri" w:eastAsia="Calibri" w:hAnsi="Calibri"/>
          <w:sz w:val="22"/>
          <w:szCs w:val="22"/>
        </w:rPr>
        <w:t xml:space="preserve">Reading at 224 × 224 directly, which would save roughly 30% of disk I/O. Rejected because the information-loss argument from [23] for Person A’s GLCM features outweighs the I/O saving, which is small relative to model training time.</w:t>
      </w:r>
    </w:p>
    <w:p>
      <w:pPr>
        <w:pStyle w:val="Heading1"/>
        <w:spacing w:after="180" w:before="300"/>
      </w:pPr>
      <w:r>
        <w:rPr>
          <w:rFonts w:ascii="Calibri" w:cs="Calibri" w:eastAsia="Calibri" w:hAnsi="Calibri"/>
          <w:b/>
          <w:bCs/>
          <w:sz w:val="32"/>
          <w:szCs w:val="32"/>
        </w:rPr>
        <w:t xml:space="preserve">5.  Evaluation metrics</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For every reported experiment, both classifiers produce the following metric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Averaging</w:t>
            </w:r>
          </w:p>
        </w:tc>
        <w:tc>
          <w:tcPr>
            <w:tcW w:type="dxa" w:w="52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bCs/>
                <w:sz w:val="20"/>
                <w:szCs w:val="20"/>
              </w:rPr>
              <w:t xml:space="preserve">Macro-F1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Macro (equal weight per class)</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bCs/>
                <w:sz w:val="20"/>
                <w:szCs w:val="20"/>
              </w:rPr>
              <w:t xml:space="preserve">Primary</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Accuracy</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Secondary; direct comparison to Islam et al. [5]</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Per-class precision, recall, F1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Required – failure-mode analysis</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Weighted F1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Support-weighted</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Reported; sensitive to imbalance</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ROC-AUC</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One-vs-rest, macro-averaged</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Threshold-free comparison</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Confusion matrix</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Required figure</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95% bootstrap CI on macro-F1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1000 resamples of test set</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Uncertainty quantification</w:t>
            </w:r>
          </w:p>
        </w:tc>
      </w:tr>
    </w:tbl>
    <w:p>
      <w:pPr>
        <w:spacing w:after="60"/>
      </w:pPr>
      <w:r>
        <w:rPr>
          <w:sz w:val="22"/>
          <w:szCs w:val="22"/>
        </w:rPr>
        <w:t xml:space="preserve"/>
      </w:r>
    </w:p>
    <w:p>
      <w:pPr>
        <w:pStyle w:val="Heading2"/>
        <w:spacing w:after="120" w:before="240"/>
      </w:pPr>
      <w:r>
        <w:rPr>
          <w:rFonts w:ascii="Calibri" w:cs="Calibri" w:eastAsia="Calibri" w:hAnsi="Calibri"/>
          <w:b/>
          <w:bCs/>
          <w:sz w:val="26"/>
          <w:szCs w:val="26"/>
        </w:rPr>
        <w:t xml:space="preserve">Evidence supporting the decision</w:t>
      </w:r>
    </w:p>
    <w:p>
      <w:pPr>
        <w:pStyle w:val="Heading3"/>
        <w:spacing w:after="80" w:before="180"/>
      </w:pPr>
      <w:r>
        <w:rPr>
          <w:rFonts w:ascii="Calibri" w:cs="Calibri" w:eastAsia="Calibri" w:hAnsi="Calibri"/>
          <w:b/>
          <w:bCs/>
          <w:i w:val="false"/>
          <w:iCs w:val="false"/>
          <w:sz w:val="23"/>
          <w:szCs w:val="23"/>
        </w:rPr>
        <w:t xml:space="preserve">Macro-F1 as the primary metric</w:t>
      </w:r>
    </w:p>
    <w:p>
      <w:pPr>
        <w:spacing w:after="120" w:line="300"/>
        <w:jc w:val="both"/>
      </w:pPr>
      <w:r>
        <w:rPr>
          <w:rFonts w:ascii="Calibri" w:cs="Calibri" w:eastAsia="Calibri" w:hAnsi="Calibri"/>
          <w:b/>
          <w:bCs/>
          <w:sz w:val="22"/>
          <w:szCs w:val="22"/>
        </w:rPr>
        <w:t xml:space="preserve">Grandini et al. [13] </w:t>
      </w:r>
      <w:r>
        <w:rPr>
          <w:rFonts w:ascii="Calibri" w:cs="Calibri" w:eastAsia="Calibri" w:hAnsi="Calibri"/>
          <w:sz w:val="22"/>
          <w:szCs w:val="22"/>
        </w:rPr>
        <w:t xml:space="preserve">argue that macro-F1 is the correct default when the minority class matters and class priors are imbalanced, because it treats every class as a first-class citizen regardless of its support. </w:t>
      </w:r>
      <w:r>
        <w:rPr>
          <w:rFonts w:ascii="Calibri" w:cs="Calibri" w:eastAsia="Calibri" w:hAnsi="Calibri"/>
          <w:b/>
          <w:bCs/>
          <w:sz w:val="22"/>
          <w:szCs w:val="22"/>
        </w:rPr>
        <w:t xml:space="preserve">Sokolova and Lapalme [14] </w:t>
      </w:r>
      <w:r>
        <w:rPr>
          <w:rFonts w:ascii="Calibri" w:cs="Calibri" w:eastAsia="Calibri" w:hAnsi="Calibri"/>
          <w:sz w:val="22"/>
          <w:szCs w:val="22"/>
        </w:rPr>
        <w:t xml:space="preserve">derive the same conclusion formally by listing which metrics respect which invariances: macro-F1 is invariant to class-prior scaling, which is the property a clinically motivated primary metric should have when Stone misses are as bad as Normal misses. Both papers explicitly recommend against reporting accuracy alone on imbalanced tasks.</w:t>
      </w:r>
    </w:p>
    <w:p>
      <w:pPr>
        <w:pStyle w:val="Heading3"/>
        <w:spacing w:after="80" w:before="180"/>
      </w:pPr>
      <w:r>
        <w:rPr>
          <w:rFonts w:ascii="Calibri" w:cs="Calibri" w:eastAsia="Calibri" w:hAnsi="Calibri"/>
          <w:b/>
          <w:bCs/>
          <w:i w:val="false"/>
          <w:iCs w:val="false"/>
          <w:sz w:val="23"/>
          <w:szCs w:val="23"/>
        </w:rPr>
        <w:t xml:space="preserve">Accuracy reported as secondary</w:t>
      </w:r>
    </w:p>
    <w:p>
      <w:pPr>
        <w:spacing w:after="120" w:line="300"/>
        <w:jc w:val="both"/>
      </w:pPr>
      <w:r>
        <w:rPr>
          <w:rFonts w:ascii="Calibri" w:cs="Calibri" w:eastAsia="Calibri" w:hAnsi="Calibri"/>
          <w:sz w:val="22"/>
          <w:szCs w:val="22"/>
        </w:rPr>
        <w:t xml:space="preserve">Accuracy is dominated by the Normal class (approximately 41% of the medium set). A constant-Normal classifier would score about 41% accuracy, which is clinically useless but would beat any comparison where accuracy was the primary metric in a sufficiently small-data regime. Accuracy is reported because Islam et al. [5] report it, but the discussion in the paper will lead on macro-F1.</w:t>
      </w:r>
    </w:p>
    <w:p>
      <w:pPr>
        <w:pStyle w:val="Heading3"/>
        <w:spacing w:after="80" w:before="180"/>
      </w:pPr>
      <w:r>
        <w:rPr>
          <w:rFonts w:ascii="Calibri" w:cs="Calibri" w:eastAsia="Calibri" w:hAnsi="Calibri"/>
          <w:b/>
          <w:bCs/>
          <w:i w:val="false"/>
          <w:iCs w:val="false"/>
          <w:sz w:val="23"/>
          <w:szCs w:val="23"/>
        </w:rPr>
        <w:t xml:space="preserve">Per-class metrics as mandatory</w:t>
      </w:r>
    </w:p>
    <w:p>
      <w:pPr>
        <w:spacing w:after="120" w:line="300"/>
        <w:jc w:val="both"/>
      </w:pPr>
      <w:r>
        <w:rPr>
          <w:rFonts w:ascii="Calibri" w:cs="Calibri" w:eastAsia="Calibri" w:hAnsi="Calibri"/>
          <w:sz w:val="22"/>
          <w:szCs w:val="22"/>
        </w:rPr>
        <w:t xml:space="preserve">The </w:t>
      </w:r>
      <w:r>
        <w:rPr>
          <w:rFonts w:ascii="Calibri" w:cs="Calibri" w:eastAsia="Calibri" w:hAnsi="Calibri"/>
          <w:b/>
          <w:bCs/>
          <w:sz w:val="22"/>
          <w:szCs w:val="22"/>
        </w:rPr>
        <w:t xml:space="preserve">CLAIM 2024 checklist [1, 2] </w:t>
      </w:r>
      <w:r>
        <w:rPr>
          <w:rFonts w:ascii="Calibri" w:cs="Calibri" w:eastAsia="Calibri" w:hAnsi="Calibri"/>
          <w:sz w:val="22"/>
          <w:szCs w:val="22"/>
        </w:rPr>
        <w:t xml:space="preserve">explicitly requires reporting per-class precision, recall and F1 for multi-class classification tasks. Per-class metrics are also the only way to surface the Cyst-vs-Tumor confusion that is clinically the most important failure mode in this task (a missed Tumor has very different consequences from a missed Stone).</w:t>
      </w:r>
    </w:p>
    <w:p>
      <w:pPr>
        <w:pStyle w:val="Heading3"/>
        <w:spacing w:after="80" w:before="180"/>
      </w:pPr>
      <w:r>
        <w:rPr>
          <w:rFonts w:ascii="Calibri" w:cs="Calibri" w:eastAsia="Calibri" w:hAnsi="Calibri"/>
          <w:b/>
          <w:bCs/>
          <w:i w:val="false"/>
          <w:iCs w:val="false"/>
          <w:sz w:val="23"/>
          <w:szCs w:val="23"/>
        </w:rPr>
        <w:t xml:space="preserve">ROC-AUC one-vs-rest, macro-averaged</w:t>
      </w:r>
    </w:p>
    <w:p>
      <w:pPr>
        <w:spacing w:after="120" w:line="300"/>
        <w:jc w:val="both"/>
      </w:pPr>
      <w:r>
        <w:rPr>
          <w:rFonts w:ascii="Calibri" w:cs="Calibri" w:eastAsia="Calibri" w:hAnsi="Calibri"/>
          <w:b/>
          <w:bCs/>
          <w:sz w:val="22"/>
          <w:szCs w:val="22"/>
        </w:rPr>
        <w:t xml:space="preserve">Fawcett [17] </w:t>
      </w:r>
      <w:r>
        <w:rPr>
          <w:rFonts w:ascii="Calibri" w:cs="Calibri" w:eastAsia="Calibri" w:hAnsi="Calibri"/>
          <w:sz w:val="22"/>
          <w:szCs w:val="22"/>
        </w:rPr>
        <w:t xml:space="preserve">established ROC analysis as the canonical threshold-free evaluation for binary classifiers and presented the one-vs-rest macro-averaged extension as the standard generalisation to multi-class problems. </w:t>
      </w:r>
      <w:r>
        <w:rPr>
          <w:rFonts w:ascii="Calibri" w:cs="Calibri" w:eastAsia="Calibri" w:hAnsi="Calibri"/>
          <w:b/>
          <w:bCs/>
          <w:sz w:val="22"/>
          <w:szCs w:val="22"/>
        </w:rPr>
        <w:t xml:space="preserve">Hand and Till [18] </w:t>
      </w:r>
      <w:r>
        <w:rPr>
          <w:rFonts w:ascii="Calibri" w:cs="Calibri" w:eastAsia="Calibri" w:hAnsi="Calibri"/>
          <w:sz w:val="22"/>
          <w:szCs w:val="22"/>
        </w:rPr>
        <w:t xml:space="preserve">offer an alternative pairwise formulation that is arguably more statistically principled but is rarely reported in practice; we therefore report the Fawcett OvR macro-AUC to remain comparable to the bulk of the literature, and note the Hand–Till alternative in the paper for completeness.</w:t>
      </w:r>
    </w:p>
    <w:p>
      <w:pPr>
        <w:pStyle w:val="Heading3"/>
        <w:spacing w:after="80" w:before="180"/>
      </w:pPr>
      <w:r>
        <w:rPr>
          <w:rFonts w:ascii="Calibri" w:cs="Calibri" w:eastAsia="Calibri" w:hAnsi="Calibri"/>
          <w:b/>
          <w:bCs/>
          <w:i w:val="false"/>
          <w:iCs w:val="false"/>
          <w:sz w:val="23"/>
          <w:szCs w:val="23"/>
        </w:rPr>
        <w:t xml:space="preserve">Bootstrap confidence intervals</w:t>
      </w:r>
    </w:p>
    <w:p>
      <w:pPr>
        <w:spacing w:after="120" w:line="300"/>
        <w:jc w:val="both"/>
      </w:pPr>
      <w:r>
        <w:rPr>
          <w:rFonts w:ascii="Calibri" w:cs="Calibri" w:eastAsia="Calibri" w:hAnsi="Calibri"/>
          <w:b/>
          <w:bCs/>
          <w:sz w:val="22"/>
          <w:szCs w:val="22"/>
        </w:rPr>
        <w:t xml:space="preserve">Efron and Tibshirani [19] </w:t>
      </w:r>
      <w:r>
        <w:rPr>
          <w:rFonts w:ascii="Calibri" w:cs="Calibri" w:eastAsia="Calibri" w:hAnsi="Calibri"/>
          <w:sz w:val="22"/>
          <w:szCs w:val="22"/>
        </w:rPr>
        <w:t xml:space="preserve">established non-parametric bootstrapping as the default for small-sample confidence-interval estimation. </w:t>
      </w:r>
      <w:r>
        <w:rPr>
          <w:rFonts w:ascii="Calibri" w:cs="Calibri" w:eastAsia="Calibri" w:hAnsi="Calibri"/>
          <w:b/>
          <w:bCs/>
          <w:sz w:val="22"/>
          <w:szCs w:val="22"/>
        </w:rPr>
        <w:t xml:space="preserve">Davison and Hinkley [6] </w:t>
      </w:r>
      <w:r>
        <w:rPr>
          <w:rFonts w:ascii="Calibri" w:cs="Calibri" w:eastAsia="Calibri" w:hAnsi="Calibri"/>
          <w:sz w:val="22"/>
          <w:szCs w:val="22"/>
        </w:rPr>
        <w:t xml:space="preserve">provide the reference treatment and specifically recommend 1,000 resamples as the standard working budget for percentile CIs, with 10,000 only required for extreme quantiles which we do not estimate. Both </w:t>
      </w:r>
      <w:r>
        <w:rPr>
          <w:rFonts w:ascii="Calibri" w:cs="Calibri" w:eastAsia="Calibri" w:hAnsi="Calibri"/>
          <w:b/>
          <w:bCs/>
          <w:sz w:val="22"/>
          <w:szCs w:val="22"/>
        </w:rPr>
        <w:t xml:space="preserve">CLAIM 2024 [2] and TRIPOD+AI [3] </w:t>
      </w:r>
      <w:r>
        <w:rPr>
          <w:rFonts w:ascii="Calibri" w:cs="Calibri" w:eastAsia="Calibri" w:hAnsi="Calibri"/>
          <w:sz w:val="22"/>
          <w:szCs w:val="22"/>
        </w:rPr>
        <w:t xml:space="preserve">require uncertainty quantification around point estimates; bootstrap CIs are the most transparent way to satisfy this requirement without making a distributional assumption we cannot justify.</w:t>
      </w:r>
    </w:p>
    <w:p>
      <w:pPr>
        <w:pStyle w:val="Heading1"/>
        <w:spacing w:after="180" w:before="300"/>
      </w:pPr>
      <w:r>
        <w:rPr>
          <w:rFonts w:ascii="Calibri" w:cs="Calibri" w:eastAsia="Calibri" w:hAnsi="Calibri"/>
          <w:b/>
          <w:bCs/>
          <w:sz w:val="32"/>
          <w:szCs w:val="32"/>
        </w:rPr>
        <w:t xml:space="preserve">6.  Statistical testing for model comparison</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The two final classifiers are compared using </w:t>
      </w:r>
      <w:r>
        <w:rPr>
          <w:rFonts w:ascii="Calibri" w:cs="Calibri" w:eastAsia="Calibri" w:hAnsi="Calibri"/>
          <w:b/>
          <w:bCs/>
          <w:sz w:val="22"/>
          <w:szCs w:val="22"/>
        </w:rPr>
        <w:t xml:space="preserve">McNemar’s test [10] </w:t>
      </w:r>
      <w:r>
        <w:rPr>
          <w:rFonts w:ascii="Calibri" w:cs="Calibri" w:eastAsia="Calibri" w:hAnsi="Calibri"/>
          <w:sz w:val="22"/>
          <w:szCs w:val="22"/>
        </w:rPr>
        <w:t xml:space="preserve">on paired predictions from the held-out test set. A significance level of α = 0.05 is reported but not used as a gatekeeper; the discussion leads with the effect size (difference in macro-F1 with its bootstrap confidence interval).</w:t>
      </w:r>
    </w:p>
    <w:p>
      <w:pPr>
        <w:pStyle w:val="Heading2"/>
        <w:spacing w:after="120" w:before="240"/>
      </w:pPr>
      <w:r>
        <w:rPr>
          <w:rFonts w:ascii="Calibri" w:cs="Calibri" w:eastAsia="Calibri" w:hAnsi="Calibri"/>
          <w:b/>
          <w:bCs/>
          <w:sz w:val="26"/>
          <w:szCs w:val="26"/>
        </w:rPr>
        <w:t xml:space="preserve">Evidence supporting the decision</w:t>
      </w:r>
    </w:p>
    <w:p>
      <w:pPr>
        <w:spacing w:after="120" w:line="300"/>
        <w:jc w:val="both"/>
      </w:pPr>
      <w:r>
        <w:rPr>
          <w:rFonts w:ascii="Calibri" w:cs="Calibri" w:eastAsia="Calibri" w:hAnsi="Calibri"/>
          <w:b/>
          <w:bCs/>
          <w:sz w:val="22"/>
          <w:szCs w:val="22"/>
        </w:rPr>
        <w:t xml:space="preserve">Dietterich [10] </w:t>
      </w:r>
      <w:r>
        <w:rPr>
          <w:rFonts w:ascii="Calibri" w:cs="Calibri" w:eastAsia="Calibri" w:hAnsi="Calibri"/>
          <w:sz w:val="22"/>
          <w:szCs w:val="22"/>
        </w:rPr>
        <w:t xml:space="preserve">is the definitive reference on statistical tests for comparing supervised classifiers. The paper lays out five candidate tests, simulates their Type I and Type II error rates across realistic designs, and derives specific recommendations. Two are directly relevant here. First, McNemar’s test is recommended for the case where two algorithms are evaluated on a single held-out test set, which is exactly the design in §2. Second, the 5×2 CV paired F-test is recommended when compute permits a nested cross-validated design; we rejected that option in §2 because it would eliminate the clean held-out test. Dietterich additionally shows that McNemar’s compares </w:t>
      </w:r>
      <w:r>
        <w:rPr>
          <w:rFonts w:ascii="Calibri" w:cs="Calibri" w:eastAsia="Calibri" w:hAnsi="Calibri"/>
          <w:i/>
          <w:iCs/>
          <w:sz w:val="22"/>
          <w:szCs w:val="22"/>
        </w:rPr>
        <w:t xml:space="preserve">paired</w:t>
      </w:r>
      <w:r>
        <w:rPr>
          <w:rFonts w:ascii="Calibri" w:cs="Calibri" w:eastAsia="Calibri" w:hAnsi="Calibri"/>
          <w:sz w:val="22"/>
          <w:szCs w:val="22"/>
        </w:rPr>
        <w:t xml:space="preserve"> disagreements (cases where classifier A is right and B is wrong versus the reverse), which is more statistically powerful than comparing marginal accuracies and avoids the correlated-errors confound that would afflict a naive two-sample test.</w:t>
      </w:r>
    </w:p>
    <w:p>
      <w:pPr>
        <w:spacing w:after="120" w:line="300"/>
        <w:jc w:val="both"/>
      </w:pPr>
      <w:r>
        <w:rPr>
          <w:rFonts w:ascii="Calibri" w:cs="Calibri" w:eastAsia="Calibri" w:hAnsi="Calibri"/>
          <w:b/>
          <w:bCs/>
          <w:sz w:val="22"/>
          <w:szCs w:val="22"/>
        </w:rPr>
        <w:t xml:space="preserve">Benavoli, Corani, Demšar and Zaffalon [20] </w:t>
      </w:r>
      <w:r>
        <w:rPr>
          <w:rFonts w:ascii="Calibri" w:cs="Calibri" w:eastAsia="Calibri" w:hAnsi="Calibri"/>
          <w:sz w:val="22"/>
          <w:szCs w:val="22"/>
        </w:rPr>
        <w:t xml:space="preserve">provide a more recent tutorial that extends this analysis and recommends reporting effect sizes and Bayesian estimates alongside null-hypothesis significance tests. Our design follows this recommendation by centring the discussion on the difference in macro-F1 with its bootstrap CI rather than on the McNemar p-value alone; the p-value serves as a sanity check against paired chance, not as the headline result.</w:t>
      </w:r>
    </w:p>
    <w:p>
      <w:pPr>
        <w:pStyle w:val="Heading2"/>
        <w:spacing w:after="120" w:before="240"/>
      </w:pPr>
      <w:r>
        <w:rPr>
          <w:rFonts w:ascii="Calibri" w:cs="Calibri" w:eastAsia="Calibri" w:hAnsi="Calibri"/>
          <w:b/>
          <w:bCs/>
          <w:sz w:val="26"/>
          <w:szCs w:val="26"/>
        </w:rPr>
        <w:t xml:space="preserve">Alternative considered</w:t>
      </w:r>
    </w:p>
    <w:p>
      <w:pPr>
        <w:spacing w:after="120" w:line="300"/>
        <w:jc w:val="both"/>
      </w:pPr>
      <w:r>
        <w:rPr>
          <w:rFonts w:ascii="Calibri" w:cs="Calibri" w:eastAsia="Calibri" w:hAnsi="Calibri"/>
          <w:b/>
          <w:bCs/>
          <w:sz w:val="22"/>
          <w:szCs w:val="22"/>
        </w:rPr>
        <w:t xml:space="preserve">5×2 CV paired F-test [10]. </w:t>
      </w:r>
      <w:r>
        <w:rPr>
          <w:rFonts w:ascii="Calibri" w:cs="Calibri" w:eastAsia="Calibri" w:hAnsi="Calibri"/>
          <w:sz w:val="22"/>
          <w:szCs w:val="22"/>
        </w:rPr>
        <w:t xml:space="preserve">More statistically powerful than McNemar’s but would require re-engineering the experimental design around nested cross-validation, which would cost the clean held-out test set that §2 was structured to preserve.</w:t>
      </w:r>
    </w:p>
    <w:p>
      <w:pPr>
        <w:pStyle w:val="Heading1"/>
        <w:spacing w:after="180" w:before="300"/>
      </w:pPr>
      <w:r>
        <w:rPr>
          <w:rFonts w:ascii="Calibri" w:cs="Calibri" w:eastAsia="Calibri" w:hAnsi="Calibri"/>
          <w:b/>
          <w:bCs/>
          <w:sz w:val="32"/>
          <w:szCs w:val="32"/>
        </w:rPr>
        <w:t xml:space="preserve">7.  Reproducibility and reporting standards</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The project commits to the following reporting artefacts, produced automatically by the evaluation harness rather than hand-written at paper-writing time:</w:t>
      </w:r>
    </w:p>
    <w:p>
      <w:pPr>
        <w:pStyle w:val="ListParagraph"/>
        <w:numPr>
          <w:ilvl w:val="0"/>
          <w:numId w:val="2"/>
        </w:numPr>
        <w:spacing w:after="80" w:line="280"/>
      </w:pPr>
      <w:r>
        <w:rPr>
          <w:rFonts w:ascii="Calibri" w:cs="Calibri" w:eastAsia="Calibri" w:hAnsi="Calibri"/>
          <w:sz w:val="22"/>
          <w:szCs w:val="22"/>
        </w:rPr>
        <w:t xml:space="preserve">A JSON config for every experiment (seed, data path, model hyperparameters, git commit hash).</w:t>
      </w:r>
    </w:p>
    <w:p>
      <w:pPr>
        <w:pStyle w:val="ListParagraph"/>
        <w:numPr>
          <w:ilvl w:val="0"/>
          <w:numId w:val="2"/>
        </w:numPr>
        <w:spacing w:after="80" w:line="280"/>
      </w:pPr>
      <w:r>
        <w:rPr>
          <w:rFonts w:ascii="Calibri" w:cs="Calibri" w:eastAsia="Calibri" w:hAnsi="Calibri"/>
          <w:sz w:val="22"/>
          <w:szCs w:val="22"/>
        </w:rPr>
        <w:t xml:space="preserve">A JSON results file per experiment (all metrics in §5 plus wall-clock timings).</w:t>
      </w:r>
    </w:p>
    <w:p>
      <w:pPr>
        <w:pStyle w:val="ListParagraph"/>
        <w:numPr>
          <w:ilvl w:val="0"/>
          <w:numId w:val="2"/>
        </w:numPr>
        <w:spacing w:after="80" w:line="280"/>
      </w:pPr>
      <w:r>
        <w:rPr>
          <w:rFonts w:ascii="Calibri" w:cs="Calibri" w:eastAsia="Calibri" w:hAnsi="Calibri"/>
          <w:sz w:val="22"/>
          <w:szCs w:val="22"/>
        </w:rPr>
        <w:t xml:space="preserve">A single </w:t>
      </w:r>
      <w:r>
        <w:rPr>
          <w:rFonts w:ascii="Consolas" w:cs="Consolas" w:eastAsia="Consolas" w:hAnsi="Consolas"/>
          <w:sz w:val="22"/>
          <w:szCs w:val="22"/>
        </w:rPr>
        <w:t xml:space="preserve">split.csv</w:t>
      </w:r>
      <w:r>
        <w:rPr>
          <w:rFonts w:ascii="Calibri" w:cs="Calibri" w:eastAsia="Calibri" w:hAnsi="Calibri"/>
          <w:sz w:val="22"/>
          <w:szCs w:val="22"/>
        </w:rPr>
        <w:t xml:space="preserve"> shared across both pipelines.</w:t>
      </w:r>
    </w:p>
    <w:p>
      <w:pPr>
        <w:pStyle w:val="ListParagraph"/>
        <w:numPr>
          <w:ilvl w:val="0"/>
          <w:numId w:val="2"/>
        </w:numPr>
        <w:spacing w:after="80" w:line="280"/>
      </w:pPr>
      <w:r>
        <w:rPr>
          <w:rFonts w:ascii="Calibri" w:cs="Calibri" w:eastAsia="Calibri" w:hAnsi="Calibri"/>
          <w:sz w:val="22"/>
          <w:szCs w:val="22"/>
        </w:rPr>
        <w:t xml:space="preserve">A per-model </w:t>
      </w:r>
      <w:r>
        <w:rPr>
          <w:rFonts w:ascii="Consolas" w:cs="Consolas" w:eastAsia="Consolas" w:hAnsi="Consolas"/>
          <w:sz w:val="22"/>
          <w:szCs w:val="22"/>
        </w:rPr>
        <w:t xml:space="preserve">model_card.md</w:t>
      </w:r>
      <w:r>
        <w:rPr>
          <w:rFonts w:ascii="Calibri" w:cs="Calibri" w:eastAsia="Calibri" w:hAnsi="Calibri"/>
          <w:sz w:val="22"/>
          <w:szCs w:val="22"/>
        </w:rPr>
        <w:t xml:space="preserve"> (inputs, outputs, training data, limitations, intended use).</w:t>
      </w:r>
    </w:p>
    <w:p>
      <w:pPr>
        <w:pStyle w:val="ListParagraph"/>
        <w:numPr>
          <w:ilvl w:val="0"/>
          <w:numId w:val="2"/>
        </w:numPr>
        <w:spacing w:after="80" w:line="280"/>
      </w:pPr>
      <w:r>
        <w:rPr>
          <w:rFonts w:ascii="Calibri" w:cs="Calibri" w:eastAsia="Calibri" w:hAnsi="Calibri"/>
          <w:sz w:val="22"/>
          <w:szCs w:val="22"/>
        </w:rPr>
        <w:t xml:space="preserve">A CLAIM 2024 [1, 2] adherence checklist in the paper’s supplementary material.</w:t>
      </w:r>
    </w:p>
    <w:p>
      <w:pPr>
        <w:pStyle w:val="Heading2"/>
        <w:spacing w:after="120" w:before="240"/>
      </w:pPr>
      <w:r>
        <w:rPr>
          <w:rFonts w:ascii="Calibri" w:cs="Calibri" w:eastAsia="Calibri" w:hAnsi="Calibri"/>
          <w:b/>
          <w:bCs/>
          <w:sz w:val="26"/>
          <w:szCs w:val="26"/>
        </w:rPr>
        <w:t xml:space="preserve">Evidence supporting the decision</w:t>
      </w:r>
    </w:p>
    <w:p>
      <w:pPr>
        <w:spacing w:after="120" w:line="300"/>
        <w:jc w:val="both"/>
      </w:pPr>
      <w:r>
        <w:rPr>
          <w:rFonts w:ascii="Calibri" w:cs="Calibri" w:eastAsia="Calibri" w:hAnsi="Calibri"/>
          <w:b/>
          <w:bCs/>
          <w:sz w:val="22"/>
          <w:szCs w:val="22"/>
        </w:rPr>
        <w:t xml:space="preserve">CLAIM 2024 [2] and TRIPOD+AI [3] </w:t>
      </w:r>
      <w:r>
        <w:rPr>
          <w:rFonts w:ascii="Calibri" w:cs="Calibri" w:eastAsia="Calibri" w:hAnsi="Calibri"/>
          <w:sz w:val="22"/>
          <w:szCs w:val="22"/>
        </w:rPr>
        <w:t xml:space="preserve">are the two most widely adopted reporting frameworks for medical-imaging AI and AI-based prediction models respectively. CLAIM specifies 42 reporting items covering data, model, and evaluation; TRIPOD+AI updates the well-established TRIPOD statement with items specific to machine-learning models. Conformance is inexpensive to declare if the harness above is in place from the start; retrofitting at paper-writing time is painful and almost always incomplete.</w:t>
      </w:r>
    </w:p>
    <w:p>
      <w:pPr>
        <w:spacing w:after="120" w:line="300"/>
        <w:jc w:val="both"/>
      </w:pPr>
      <w:r>
        <w:rPr>
          <w:rFonts w:ascii="Calibri" w:cs="Calibri" w:eastAsia="Calibri" w:hAnsi="Calibri"/>
          <w:b/>
          <w:bCs/>
          <w:sz w:val="22"/>
          <w:szCs w:val="22"/>
        </w:rPr>
        <w:t xml:space="preserve">Pineau et al. [21] </w:t>
      </w:r>
      <w:r>
        <w:rPr>
          <w:rFonts w:ascii="Calibri" w:cs="Calibri" w:eastAsia="Calibri" w:hAnsi="Calibri"/>
          <w:sz w:val="22"/>
          <w:szCs w:val="22"/>
        </w:rPr>
        <w:t xml:space="preserve">reported on the NeurIPS 2019 Reproducibility Program and found that more than 40% of submitted ML papers could not be reproduced from their reported details. The most frequent root causes — missing seeds, unversioned data, unlogged hyperparameters — are all directly addressed by the artefact list above. Logging structured configs and metrics at run time is therefore the single cheapest reproducibility mitigation available.</w:t>
      </w:r>
    </w:p>
    <w:p>
      <w:pPr>
        <w:pStyle w:val="Heading1"/>
        <w:spacing w:after="180" w:before="300"/>
      </w:pPr>
      <w:r>
        <w:rPr>
          <w:rFonts w:ascii="Calibri" w:cs="Calibri" w:eastAsia="Calibri" w:hAnsi="Calibri"/>
          <w:b/>
          <w:bCs/>
          <w:sz w:val="32"/>
          <w:szCs w:val="32"/>
        </w:rPr>
        <w:t xml:space="preserve">8.  Known limitations documented in Phase 0</w:t>
      </w:r>
    </w:p>
    <w:p>
      <w:pPr>
        <w:spacing w:after="120" w:line="300"/>
        <w:jc w:val="both"/>
      </w:pPr>
      <w:r>
        <w:rPr>
          <w:rFonts w:ascii="Calibri" w:cs="Calibri" w:eastAsia="Calibri" w:hAnsi="Calibri"/>
          <w:sz w:val="22"/>
          <w:szCs w:val="22"/>
        </w:rPr>
        <w:t xml:space="preserve">These limitations are recorded here rather than deferred to the paper’s Limitations section, so that neither author forgets them during implementation. All three will be carried into the final paper verbatim.</w:t>
      </w:r>
    </w:p>
    <w:p>
      <w:pPr>
        <w:pStyle w:val="Heading3"/>
        <w:spacing w:after="80" w:before="180"/>
      </w:pPr>
      <w:r>
        <w:rPr>
          <w:rFonts w:ascii="Calibri" w:cs="Calibri" w:eastAsia="Calibri" w:hAnsi="Calibri"/>
          <w:b/>
          <w:bCs/>
          <w:i w:val="false"/>
          <w:iCs w:val="false"/>
          <w:sz w:val="23"/>
          <w:szCs w:val="23"/>
        </w:rPr>
        <w:t xml:space="preserve">No patient identifiers</w:t>
      </w:r>
    </w:p>
    <w:p>
      <w:pPr>
        <w:spacing w:after="120" w:line="300"/>
        <w:jc w:val="both"/>
      </w:pPr>
      <w:r>
        <w:rPr>
          <w:rFonts w:ascii="Calibri" w:cs="Calibri" w:eastAsia="Calibri" w:hAnsi="Calibri"/>
          <w:sz w:val="22"/>
          <w:szCs w:val="22"/>
        </w:rPr>
        <w:t xml:space="preserve">Islam et al.’s [5] Kaggle release contains no patient identifiers. Because CT studies typically contain multiple axial and coronal slices per patient, it is possible — indeed likely — that adjacent slices from the same patient fall in both the training and the test splits. </w:t>
      </w:r>
      <w:r>
        <w:rPr>
          <w:rFonts w:ascii="Calibri" w:cs="Calibri" w:eastAsia="Calibri" w:hAnsi="Calibri"/>
          <w:b/>
          <w:bCs/>
          <w:sz w:val="22"/>
          <w:szCs w:val="22"/>
        </w:rPr>
        <w:t xml:space="preserve">Yagis et al. [9] </w:t>
      </w:r>
      <w:r>
        <w:rPr>
          <w:rFonts w:ascii="Calibri" w:cs="Calibri" w:eastAsia="Calibri" w:hAnsi="Calibri"/>
          <w:sz w:val="22"/>
          <w:szCs w:val="22"/>
        </w:rPr>
        <w:t xml:space="preserve">demonstrated that slice-level splitting in 2D MRI CNN studies over-estimated accuracy by 29–55% across four public brain-MRI datasets relative to patient-level splitting. That paper is the strongest available quantification of this exact failure mode in 2D medical imaging, and it implies that our reported numbers should be treated as an </w:t>
      </w:r>
      <w:r>
        <w:rPr>
          <w:rFonts w:ascii="Calibri" w:cs="Calibri" w:eastAsia="Calibri" w:hAnsi="Calibri"/>
          <w:i/>
          <w:iCs/>
          <w:sz w:val="22"/>
          <w:szCs w:val="22"/>
        </w:rPr>
        <w:t xml:space="preserve">upper bound</w:t>
      </w:r>
      <w:r>
        <w:rPr>
          <w:rFonts w:ascii="Calibri" w:cs="Calibri" w:eastAsia="Calibri" w:hAnsi="Calibri"/>
          <w:sz w:val="22"/>
          <w:szCs w:val="22"/>
        </w:rPr>
        <w:t xml:space="preserve"> on patient-level generalisation. This is the single most important caveat to include in the final paper.</w:t>
      </w:r>
    </w:p>
    <w:p>
      <w:pPr>
        <w:pStyle w:val="Heading3"/>
        <w:spacing w:after="80" w:before="180"/>
      </w:pPr>
      <w:r>
        <w:rPr>
          <w:rFonts w:ascii="Calibri" w:cs="Calibri" w:eastAsia="Calibri" w:hAnsi="Calibri"/>
          <w:b/>
          <w:bCs/>
          <w:i w:val="false"/>
          <w:iCs w:val="false"/>
          <w:sz w:val="23"/>
          <w:szCs w:val="23"/>
        </w:rPr>
        <w:t xml:space="preserve">Single-source dataset</w:t>
      </w:r>
    </w:p>
    <w:p>
      <w:pPr>
        <w:spacing w:after="120" w:line="300"/>
        <w:jc w:val="both"/>
      </w:pPr>
      <w:r>
        <w:rPr>
          <w:rFonts w:ascii="Calibri" w:cs="Calibri" w:eastAsia="Calibri" w:hAnsi="Calibri"/>
          <w:sz w:val="22"/>
          <w:szCs w:val="22"/>
        </w:rPr>
        <w:t xml:space="preserve">All images come from hospitals in Dhaka, Bangladesh, acquired on a common PACS. </w:t>
      </w:r>
      <w:r>
        <w:rPr>
          <w:rFonts w:ascii="Calibri" w:cs="Calibri" w:eastAsia="Calibri" w:hAnsi="Calibri"/>
          <w:b/>
          <w:bCs/>
          <w:sz w:val="22"/>
          <w:szCs w:val="22"/>
        </w:rPr>
        <w:t xml:space="preserve">Varoquaux and Cheplygina [4] </w:t>
      </w:r>
      <w:r>
        <w:rPr>
          <w:rFonts w:ascii="Calibri" w:cs="Calibri" w:eastAsia="Calibri" w:hAnsi="Calibri"/>
          <w:sz w:val="22"/>
          <w:szCs w:val="22"/>
        </w:rPr>
        <w:t xml:space="preserve">repeatedly flag single-centre datasets as the primary driver of over-optimism in medical ML, because scanner, population and acquisition-protocol variability is underrepresented. No external validation is possible within the scope of a three-week assignment; the paper will be explicit about this.</w:t>
      </w:r>
    </w:p>
    <w:p>
      <w:pPr>
        <w:pStyle w:val="Heading3"/>
        <w:spacing w:after="80" w:before="180"/>
      </w:pPr>
      <w:r>
        <w:rPr>
          <w:rFonts w:ascii="Calibri" w:cs="Calibri" w:eastAsia="Calibri" w:hAnsi="Calibri"/>
          <w:b/>
          <w:bCs/>
          <w:i w:val="false"/>
          <w:iCs w:val="false"/>
          <w:sz w:val="23"/>
          <w:szCs w:val="23"/>
        </w:rPr>
        <w:t xml:space="preserve">Axial and coronal slices mixed</w:t>
      </w:r>
    </w:p>
    <w:p>
      <w:pPr>
        <w:spacing w:after="120" w:line="300"/>
        <w:jc w:val="both"/>
      </w:pPr>
      <w:r>
        <w:rPr>
          <w:rFonts w:ascii="Calibri" w:cs="Calibri" w:eastAsia="Calibri" w:hAnsi="Calibri"/>
          <w:sz w:val="22"/>
          <w:szCs w:val="22"/>
        </w:rPr>
        <w:t xml:space="preserve">The reference paper [5] does not document the ratio of axial to coronal slices in the release. Our model will therefore see whatever mix exists in the data, and we cannot condition on slice orientation without metadata we do not have. This will be mentioned in the paper’s Discussion rather than attempted as an experiment.</w:t>
      </w:r>
    </w:p>
    <w:p>
      <w:pPr>
        <w:pStyle w:val="Heading1"/>
        <w:spacing w:after="180" w:before="300"/>
      </w:pPr>
      <w:r>
        <w:rPr>
          <w:rFonts w:ascii="Calibri" w:cs="Calibri" w:eastAsia="Calibri" w:hAnsi="Calibri"/>
          <w:b/>
          <w:bCs/>
          <w:sz w:val="32"/>
          <w:szCs w:val="32"/>
        </w:rPr>
        <w:t xml:space="preserve">9.  Phase 0 deliverables checklist</w:t>
      </w:r>
    </w:p>
    <w:p>
      <w:pPr>
        <w:spacing w:after="120" w:line="300"/>
        <w:jc w:val="both"/>
      </w:pPr>
      <w:r>
        <w:rPr>
          <w:rFonts w:ascii="Calibri" w:cs="Calibri" w:eastAsia="Calibri" w:hAnsi="Calibri"/>
          <w:sz w:val="22"/>
          <w:szCs w:val="22"/>
        </w:rPr>
        <w:t xml:space="preserve">The following artefacts must exist and be smoke-tested before either pipeline begins Phase 1 or Phase 2:</w:t>
      </w:r>
    </w:p>
    <w:p>
      <w:pPr>
        <w:pStyle w:val="ListParagraph"/>
        <w:numPr>
          <w:ilvl w:val="0"/>
          <w:numId w:val="2"/>
        </w:numPr>
        <w:spacing w:after="80" w:line="280"/>
      </w:pPr>
      <w:r>
        <w:rPr>
          <w:rFonts w:ascii="Consolas" w:cs="Consolas" w:eastAsia="Consolas" w:hAnsi="Consolas"/>
          <w:b/>
          <w:bCs/>
          <w:sz w:val="22"/>
          <w:szCs w:val="22"/>
        </w:rPr>
        <w:t xml:space="preserve">split.py </w:t>
      </w:r>
      <w:r>
        <w:rPr>
          <w:rFonts w:ascii="Calibri" w:cs="Calibri" w:eastAsia="Calibri" w:hAnsi="Calibri"/>
          <w:sz w:val="22"/>
          <w:szCs w:val="22"/>
        </w:rPr>
        <w:t xml:space="preserve">— deterministic stratified splitter, emits </w:t>
      </w:r>
      <w:r>
        <w:rPr>
          <w:rFonts w:ascii="Consolas" w:cs="Consolas" w:eastAsia="Consolas" w:hAnsi="Consolas"/>
          <w:sz w:val="22"/>
          <w:szCs w:val="22"/>
        </w:rPr>
        <w:t xml:space="preserve">split.csv</w:t>
      </w:r>
      <w:r>
        <w:rPr>
          <w:rFonts w:ascii="Calibri" w:cs="Calibri" w:eastAsia="Calibri" w:hAnsi="Calibri"/>
          <w:sz w:val="22"/>
          <w:szCs w:val="22"/>
        </w:rPr>
        <w:t xml:space="preserve">.</w:t>
      </w:r>
    </w:p>
    <w:p>
      <w:pPr>
        <w:pStyle w:val="ListParagraph"/>
        <w:numPr>
          <w:ilvl w:val="0"/>
          <w:numId w:val="2"/>
        </w:numPr>
        <w:spacing w:after="80" w:line="280"/>
      </w:pPr>
      <w:r>
        <w:rPr>
          <w:rFonts w:ascii="Consolas" w:cs="Consolas" w:eastAsia="Consolas" w:hAnsi="Consolas"/>
          <w:b/>
          <w:bCs/>
          <w:sz w:val="22"/>
          <w:szCs w:val="22"/>
        </w:rPr>
        <w:t xml:space="preserve">split.csv </w:t>
      </w:r>
      <w:r>
        <w:rPr>
          <w:rFonts w:ascii="Calibri" w:cs="Calibri" w:eastAsia="Calibri" w:hAnsi="Calibri"/>
          <w:sz w:val="22"/>
          <w:szCs w:val="22"/>
        </w:rPr>
        <w:t xml:space="preserve">— one-time artefact, committed to the repository.</w:t>
      </w:r>
    </w:p>
    <w:p>
      <w:pPr>
        <w:pStyle w:val="ListParagraph"/>
        <w:numPr>
          <w:ilvl w:val="0"/>
          <w:numId w:val="2"/>
        </w:numPr>
        <w:spacing w:after="80" w:line="280"/>
      </w:pPr>
      <w:r>
        <w:rPr>
          <w:rFonts w:ascii="Consolas" w:cs="Consolas" w:eastAsia="Consolas" w:hAnsi="Consolas"/>
          <w:b/>
          <w:bCs/>
          <w:sz w:val="22"/>
          <w:szCs w:val="22"/>
        </w:rPr>
        <w:t xml:space="preserve">preprocessing.py </w:t>
      </w:r>
      <w:r>
        <w:rPr>
          <w:rFonts w:ascii="Calibri" w:cs="Calibri" w:eastAsia="Calibri" w:hAnsi="Calibri"/>
          <w:sz w:val="22"/>
          <w:szCs w:val="22"/>
        </w:rPr>
        <w:t xml:space="preserve">— </w:t>
      </w:r>
      <w:r>
        <w:rPr>
          <w:rFonts w:ascii="Consolas" w:cs="Consolas" w:eastAsia="Consolas" w:hAnsi="Consolas"/>
          <w:sz w:val="22"/>
          <w:szCs w:val="22"/>
        </w:rPr>
        <w:t xml:space="preserve">load_image(path) -&gt; np.ndarray</w:t>
      </w:r>
      <w:r>
        <w:rPr>
          <w:rFonts w:ascii="Calibri" w:cs="Calibri" w:eastAsia="Calibri" w:hAnsi="Calibri"/>
          <w:sz w:val="22"/>
          <w:szCs w:val="22"/>
        </w:rPr>
        <w:t xml:space="preserve"> plus per-pipeline extensions.</w:t>
      </w:r>
    </w:p>
    <w:p>
      <w:pPr>
        <w:pStyle w:val="ListParagraph"/>
        <w:numPr>
          <w:ilvl w:val="0"/>
          <w:numId w:val="2"/>
        </w:numPr>
        <w:spacing w:after="80" w:line="280"/>
      </w:pPr>
      <w:r>
        <w:rPr>
          <w:rFonts w:ascii="Consolas" w:cs="Consolas" w:eastAsia="Consolas" w:hAnsi="Consolas"/>
          <w:b/>
          <w:bCs/>
          <w:sz w:val="22"/>
          <w:szCs w:val="22"/>
        </w:rPr>
        <w:t xml:space="preserve">evaluate.py </w:t>
      </w:r>
      <w:r>
        <w:rPr>
          <w:rFonts w:ascii="Calibri" w:cs="Calibri" w:eastAsia="Calibri" w:hAnsi="Calibri"/>
          <w:sz w:val="22"/>
          <w:szCs w:val="22"/>
        </w:rPr>
        <w:t xml:space="preserve">— computes every metric in §5 plus McNemar’s (§6), given </w:t>
      </w:r>
      <w:r>
        <w:rPr>
          <w:rFonts w:ascii="Consolas" w:cs="Consolas" w:eastAsia="Consolas" w:hAnsi="Consolas"/>
          <w:sz w:val="22"/>
          <w:szCs w:val="22"/>
        </w:rPr>
        <w:t xml:space="preserve">y_true</w:t>
      </w:r>
      <w:r>
        <w:rPr>
          <w:rFonts w:ascii="Calibri" w:cs="Calibri" w:eastAsia="Calibri" w:hAnsi="Calibri"/>
          <w:sz w:val="22"/>
          <w:szCs w:val="22"/>
        </w:rPr>
        <w:t xml:space="preserve">, </w:t>
      </w:r>
      <w:r>
        <w:rPr>
          <w:rFonts w:ascii="Consolas" w:cs="Consolas" w:eastAsia="Consolas" w:hAnsi="Consolas"/>
          <w:sz w:val="22"/>
          <w:szCs w:val="22"/>
        </w:rPr>
        <w:t xml:space="preserve">y_pred</w:t>
      </w:r>
      <w:r>
        <w:rPr>
          <w:rFonts w:ascii="Calibri" w:cs="Calibri" w:eastAsia="Calibri" w:hAnsi="Calibri"/>
          <w:sz w:val="22"/>
          <w:szCs w:val="22"/>
        </w:rPr>
        <w:t xml:space="preserve"> (and optionally </w:t>
      </w:r>
      <w:r>
        <w:rPr>
          <w:rFonts w:ascii="Consolas" w:cs="Consolas" w:eastAsia="Consolas" w:hAnsi="Consolas"/>
          <w:sz w:val="22"/>
          <w:szCs w:val="22"/>
        </w:rPr>
        <w:t xml:space="preserve">y_prob</w:t>
      </w:r>
      <w:r>
        <w:rPr>
          <w:rFonts w:ascii="Calibri" w:cs="Calibri" w:eastAsia="Calibri" w:hAnsi="Calibri"/>
          <w:sz w:val="22"/>
          <w:szCs w:val="22"/>
        </w:rPr>
        <w:t xml:space="preserve"> for ROC-AUC).</w:t>
      </w:r>
    </w:p>
    <w:p>
      <w:pPr>
        <w:pStyle w:val="ListParagraph"/>
        <w:numPr>
          <w:ilvl w:val="0"/>
          <w:numId w:val="2"/>
        </w:numPr>
        <w:spacing w:after="80" w:line="280"/>
      </w:pPr>
      <w:r>
        <w:rPr>
          <w:rFonts w:ascii="Consolas" w:cs="Consolas" w:eastAsia="Consolas" w:hAnsi="Consolas"/>
          <w:b/>
          <w:bCs/>
          <w:sz w:val="22"/>
          <w:szCs w:val="22"/>
        </w:rPr>
        <w:t xml:space="preserve">bootstrap.py </w:t>
      </w:r>
      <w:r>
        <w:rPr>
          <w:rFonts w:ascii="Calibri" w:cs="Calibri" w:eastAsia="Calibri" w:hAnsi="Calibri"/>
          <w:sz w:val="22"/>
          <w:szCs w:val="22"/>
        </w:rPr>
        <w:t xml:space="preserve">— 1,000-resample CI on macro-F1 and per-class F1.</w:t>
      </w:r>
    </w:p>
    <w:p>
      <w:pPr>
        <w:pStyle w:val="ListParagraph"/>
        <w:numPr>
          <w:ilvl w:val="0"/>
          <w:numId w:val="2"/>
        </w:numPr>
        <w:spacing w:after="80" w:line="280"/>
      </w:pPr>
      <w:r>
        <w:rPr>
          <w:rFonts w:ascii="Consolas" w:cs="Consolas" w:eastAsia="Consolas" w:hAnsi="Consolas"/>
          <w:b/>
          <w:bCs/>
          <w:sz w:val="22"/>
          <w:szCs w:val="22"/>
        </w:rPr>
        <w:t xml:space="preserve">config.py / config.yaml </w:t>
      </w:r>
      <w:r>
        <w:rPr>
          <w:rFonts w:ascii="Calibri" w:cs="Calibri" w:eastAsia="Calibri" w:hAnsi="Calibri"/>
          <w:sz w:val="22"/>
          <w:szCs w:val="22"/>
        </w:rPr>
        <w:t xml:space="preserve">— central seed and path constants.</w:t>
      </w:r>
    </w:p>
    <w:p>
      <w:pPr>
        <w:pStyle w:val="ListParagraph"/>
        <w:numPr>
          <w:ilvl w:val="0"/>
          <w:numId w:val="2"/>
        </w:numPr>
        <w:spacing w:after="80" w:line="280"/>
      </w:pPr>
      <w:r>
        <w:rPr>
          <w:rFonts w:ascii="Consolas" w:cs="Consolas" w:eastAsia="Consolas" w:hAnsi="Consolas"/>
          <w:b/>
          <w:bCs/>
          <w:sz w:val="22"/>
          <w:szCs w:val="22"/>
        </w:rPr>
        <w:t xml:space="preserve">README.md </w:t>
      </w:r>
      <w:r>
        <w:rPr>
          <w:rFonts w:ascii="Calibri" w:cs="Calibri" w:eastAsia="Calibri" w:hAnsi="Calibri"/>
          <w:sz w:val="22"/>
          <w:szCs w:val="22"/>
        </w:rPr>
        <w:t xml:space="preserve">— setup, reproduction steps, directory layout, environment freeze.</w:t>
      </w:r>
    </w:p>
    <w:p>
      <w:pPr>
        <w:pStyle w:val="ListParagraph"/>
        <w:numPr>
          <w:ilvl w:val="0"/>
          <w:numId w:val="2"/>
        </w:numPr>
        <w:spacing w:after="80" w:line="280"/>
      </w:pPr>
      <w:r>
        <w:rPr>
          <w:rFonts w:ascii="Calibri" w:cs="Calibri" w:eastAsia="Calibri" w:hAnsi="Calibri"/>
          <w:sz w:val="22"/>
          <w:szCs w:val="22"/>
        </w:rPr>
        <w:t xml:space="preserve">One end-to-end smoke test per pipeline, on the small dataset, to confirm the harness works before Phase 1/2 begin.</w:t>
      </w:r>
    </w:p>
    <w:p>
      <w:pPr>
        <w:pStyle w:val="Heading1"/>
        <w:spacing w:after="180" w:before="300"/>
      </w:pPr>
      <w:r>
        <w:rPr>
          <w:rFonts w:ascii="Calibri" w:cs="Calibri" w:eastAsia="Calibri" w:hAnsi="Calibri"/>
          <w:b/>
          <w:bCs/>
          <w:sz w:val="32"/>
          <w:szCs w:val="32"/>
        </w:rPr>
        <w:t xml:space="preserve">References</w:t>
      </w:r>
    </w:p>
    <w:p>
      <w:pPr>
        <w:spacing w:after="120" w:line="300"/>
        <w:jc w:val="both"/>
      </w:pPr>
      <w:r>
        <w:rPr>
          <w:rFonts w:ascii="Calibri" w:cs="Calibri" w:eastAsia="Calibri" w:hAnsi="Calibri"/>
          <w:sz w:val="22"/>
          <w:szCs w:val="22"/>
        </w:rPr>
        <w:t xml:space="preserve">References [22] and [23] below are canonical, widely cited sources added to support decisions that were thinly backed in the original Phase 0 plan. They should be verified against the relevant databases before final submission.</w:t>
      </w:r>
    </w:p>
    <w:p>
      <w:pPr>
        <w:spacing w:after="100" w:line="280"/>
        <w:ind w:left="720" w:hanging="720"/>
      </w:pPr>
      <w:r>
        <w:rPr>
          <w:rFonts w:ascii="Calibri" w:cs="Calibri" w:eastAsia="Calibri" w:hAnsi="Calibri"/>
          <w:b/>
          <w:bCs/>
          <w:sz w:val="20"/>
          <w:szCs w:val="20"/>
        </w:rPr>
        <w:t xml:space="preserve">[1]	</w:t>
      </w:r>
      <w:r>
        <w:rPr>
          <w:rFonts w:ascii="Calibri" w:cs="Calibri" w:eastAsia="Calibri" w:hAnsi="Calibri"/>
          <w:sz w:val="20"/>
          <w:szCs w:val="20"/>
        </w:rPr>
        <w:t xml:space="preserve">J. Mongan, L. Moy, and C. E. Kahn, “Checklist for Artificial Intelligence in Medical Imaging (CLAIM): A Guide for Authors and Reviewers,” Radiology: Artificial Intelligence, vol. 2, no. 2, e200029, 2020. doi:10.1148/ryai.2020200029.</w:t>
      </w:r>
    </w:p>
    <w:p>
      <w:pPr>
        <w:spacing w:after="100" w:line="280"/>
        <w:ind w:left="720" w:hanging="720"/>
      </w:pPr>
      <w:r>
        <w:rPr>
          <w:rFonts w:ascii="Calibri" w:cs="Calibri" w:eastAsia="Calibri" w:hAnsi="Calibri"/>
          <w:b/>
          <w:bCs/>
          <w:sz w:val="20"/>
          <w:szCs w:val="20"/>
        </w:rPr>
        <w:t xml:space="preserve">[2]	</w:t>
      </w:r>
      <w:r>
        <w:rPr>
          <w:rFonts w:ascii="Calibri" w:cs="Calibri" w:eastAsia="Calibri" w:hAnsi="Calibri"/>
          <w:sz w:val="20"/>
          <w:szCs w:val="20"/>
        </w:rPr>
        <w:t xml:space="preserve">L. Tejani et al., “Checklist for Artificial Intelligence in Medical Imaging (CLAIM): 2024 Update,” Radiology: Artificial Intelligence, 2024. doi:10.1148/ryai.240300.</w:t>
      </w:r>
    </w:p>
    <w:p>
      <w:pPr>
        <w:spacing w:after="100" w:line="280"/>
        <w:ind w:left="720" w:hanging="720"/>
      </w:pPr>
      <w:r>
        <w:rPr>
          <w:rFonts w:ascii="Calibri" w:cs="Calibri" w:eastAsia="Calibri" w:hAnsi="Calibri"/>
          <w:b/>
          <w:bCs/>
          <w:sz w:val="20"/>
          <w:szCs w:val="20"/>
        </w:rPr>
        <w:t xml:space="preserve">[3]	</w:t>
      </w:r>
      <w:r>
        <w:rPr>
          <w:rFonts w:ascii="Calibri" w:cs="Calibri" w:eastAsia="Calibri" w:hAnsi="Calibri"/>
          <w:sz w:val="20"/>
          <w:szCs w:val="20"/>
        </w:rPr>
        <w:t xml:space="preserve">G. S. Collins et al., “TRIPOD+AI statement: updated guidance for reporting clinical prediction models that use regression or machine learning methods,” BMJ, vol. 385, e078378, 2024. doi:10.1136/bmj-2023-078378.</w:t>
      </w:r>
    </w:p>
    <w:p>
      <w:pPr>
        <w:spacing w:after="100" w:line="280"/>
        <w:ind w:left="720" w:hanging="720"/>
      </w:pPr>
      <w:r>
        <w:rPr>
          <w:rFonts w:ascii="Calibri" w:cs="Calibri" w:eastAsia="Calibri" w:hAnsi="Calibri"/>
          <w:b/>
          <w:bCs/>
          <w:sz w:val="20"/>
          <w:szCs w:val="20"/>
        </w:rPr>
        <w:t xml:space="preserve">[4]	</w:t>
      </w:r>
      <w:r>
        <w:rPr>
          <w:rFonts w:ascii="Calibri" w:cs="Calibri" w:eastAsia="Calibri" w:hAnsi="Calibri"/>
          <w:sz w:val="20"/>
          <w:szCs w:val="20"/>
        </w:rPr>
        <w:t xml:space="preserve">G. Varoquaux and V. Cheplygina, “Machine learning for medical imaging: methodological failures and recommendations for the future,” npj Digital Medicine, vol. 5, no. 48, 2022. doi:10.1038/s41746-022-00592-y.</w:t>
      </w:r>
    </w:p>
    <w:p>
      <w:pPr>
        <w:spacing w:after="100" w:line="280"/>
        <w:ind w:left="720" w:hanging="720"/>
      </w:pPr>
      <w:r>
        <w:rPr>
          <w:rFonts w:ascii="Calibri" w:cs="Calibri" w:eastAsia="Calibri" w:hAnsi="Calibri"/>
          <w:b/>
          <w:bCs/>
          <w:sz w:val="20"/>
          <w:szCs w:val="20"/>
        </w:rPr>
        <w:t xml:space="preserve">[5]	</w:t>
      </w:r>
      <w:r>
        <w:rPr>
          <w:rFonts w:ascii="Calibri" w:cs="Calibri" w:eastAsia="Calibri" w:hAnsi="Calibri"/>
          <w:sz w:val="20"/>
          <w:szCs w:val="20"/>
        </w:rPr>
        <w:t xml:space="preserve">M. N. Islam et al., “Vision transformer and explainable transfer learning models for auto detection of kidney cyst, stone and tumor from CT-radiography,” Scientific Reports, vol. 12, 11440, 2022. doi:10.1038/s41598-022-15634-4.</w:t>
      </w:r>
    </w:p>
    <w:p>
      <w:pPr>
        <w:spacing w:after="100" w:line="280"/>
        <w:ind w:left="720" w:hanging="720"/>
      </w:pPr>
      <w:r>
        <w:rPr>
          <w:rFonts w:ascii="Calibri" w:cs="Calibri" w:eastAsia="Calibri" w:hAnsi="Calibri"/>
          <w:b/>
          <w:bCs/>
          <w:sz w:val="20"/>
          <w:szCs w:val="20"/>
        </w:rPr>
        <w:t xml:space="preserve">[6]	</w:t>
      </w:r>
      <w:r>
        <w:rPr>
          <w:rFonts w:ascii="Calibri" w:cs="Calibri" w:eastAsia="Calibri" w:hAnsi="Calibri"/>
          <w:sz w:val="20"/>
          <w:szCs w:val="20"/>
        </w:rPr>
        <w:t xml:space="preserve">A. C. Davison and D. V. Hinkley, Bootstrap Methods and their Application, Cambridge University Press, 1997.</w:t>
      </w:r>
    </w:p>
    <w:p>
      <w:pPr>
        <w:spacing w:after="100" w:line="280"/>
        <w:ind w:left="720" w:hanging="720"/>
      </w:pPr>
      <w:r>
        <w:rPr>
          <w:rFonts w:ascii="Calibri" w:cs="Calibri" w:eastAsia="Calibri" w:hAnsi="Calibri"/>
          <w:b/>
          <w:bCs/>
          <w:sz w:val="20"/>
          <w:szCs w:val="20"/>
        </w:rPr>
        <w:t xml:space="preserve">[7]	</w:t>
      </w:r>
      <w:r>
        <w:rPr>
          <w:rFonts w:ascii="Calibri" w:cs="Calibri" w:eastAsia="Calibri" w:hAnsi="Calibri"/>
          <w:sz w:val="20"/>
          <w:szCs w:val="20"/>
        </w:rPr>
        <w:t xml:space="preserve">H. He and E. A. Garcia, “Learning from Imbalanced Data,” IEEE Transactions on Knowledge and Data Engineering, vol. 21, no. 9, pp. 1263–1284, 2009.</w:t>
      </w:r>
    </w:p>
    <w:p>
      <w:pPr>
        <w:spacing w:after="100" w:line="280"/>
        <w:ind w:left="720" w:hanging="720"/>
      </w:pPr>
      <w:r>
        <w:rPr>
          <w:rFonts w:ascii="Calibri" w:cs="Calibri" w:eastAsia="Calibri" w:hAnsi="Calibri"/>
          <w:b/>
          <w:bCs/>
          <w:sz w:val="20"/>
          <w:szCs w:val="20"/>
        </w:rPr>
        <w:t xml:space="preserve">[8]	</w:t>
      </w:r>
      <w:r>
        <w:rPr>
          <w:rFonts w:ascii="Calibri" w:cs="Calibri" w:eastAsia="Calibri" w:hAnsi="Calibri"/>
          <w:sz w:val="20"/>
          <w:szCs w:val="20"/>
        </w:rPr>
        <w:t xml:space="preserve">B. Krawczyk, “Learning from imbalanced data: open challenges and future directions,” Progress in Artificial Intelligence, vol. 5, pp. 221–232, 2016.</w:t>
      </w:r>
    </w:p>
    <w:p>
      <w:pPr>
        <w:spacing w:after="100" w:line="280"/>
        <w:ind w:left="720" w:hanging="720"/>
      </w:pPr>
      <w:r>
        <w:rPr>
          <w:rFonts w:ascii="Calibri" w:cs="Calibri" w:eastAsia="Calibri" w:hAnsi="Calibri"/>
          <w:b/>
          <w:bCs/>
          <w:sz w:val="20"/>
          <w:szCs w:val="20"/>
        </w:rPr>
        <w:t xml:space="preserve">[9]	</w:t>
      </w:r>
      <w:r>
        <w:rPr>
          <w:rFonts w:ascii="Calibri" w:cs="Calibri" w:eastAsia="Calibri" w:hAnsi="Calibri"/>
          <w:sz w:val="20"/>
          <w:szCs w:val="20"/>
        </w:rPr>
        <w:t xml:space="preserve">E. Yagis et al., “Effect of data leakage in brain MRI classification using 2D convolutional neural networks,” Scientific Reports, vol. 11, 22544, 2021. doi:10.1038/s41598-021-01681-w.</w:t>
      </w:r>
    </w:p>
    <w:p>
      <w:pPr>
        <w:spacing w:after="100" w:line="280"/>
        <w:ind w:left="720" w:hanging="720"/>
      </w:pPr>
      <w:r>
        <w:rPr>
          <w:rFonts w:ascii="Calibri" w:cs="Calibri" w:eastAsia="Calibri" w:hAnsi="Calibri"/>
          <w:b/>
          <w:bCs/>
          <w:sz w:val="20"/>
          <w:szCs w:val="20"/>
        </w:rPr>
        <w:t xml:space="preserve">[10]	</w:t>
      </w:r>
      <w:r>
        <w:rPr>
          <w:rFonts w:ascii="Calibri" w:cs="Calibri" w:eastAsia="Calibri" w:hAnsi="Calibri"/>
          <w:sz w:val="20"/>
          <w:szCs w:val="20"/>
        </w:rPr>
        <w:t xml:space="preserve">T. G. Dietterich, “Approximate Statistical Tests for Comparing Supervised Classification Learning Algorithms,” Neural Computation, vol. 10, no. 7, pp. 1895–1923, 1998.</w:t>
      </w:r>
    </w:p>
    <w:p>
      <w:pPr>
        <w:spacing w:after="100" w:line="280"/>
        <w:ind w:left="720" w:hanging="720"/>
      </w:pPr>
      <w:r>
        <w:rPr>
          <w:rFonts w:ascii="Calibri" w:cs="Calibri" w:eastAsia="Calibri" w:hAnsi="Calibri"/>
          <w:b/>
          <w:bCs/>
          <w:sz w:val="20"/>
          <w:szCs w:val="20"/>
        </w:rPr>
        <w:t xml:space="preserve">[11]	</w:t>
      </w:r>
      <w:r>
        <w:rPr>
          <w:rFonts w:ascii="Calibri" w:cs="Calibri" w:eastAsia="Calibri" w:hAnsi="Calibri"/>
          <w:sz w:val="20"/>
          <w:szCs w:val="20"/>
        </w:rPr>
        <w:t xml:space="preserve">M. Buda, A. Maki, and M. A. Mazurowski, “A systematic study of the class imbalance problem in convolutional neural networks,” Neural Networks, vol. 106, pp. 249–259, 2018.</w:t>
      </w:r>
    </w:p>
    <w:p>
      <w:pPr>
        <w:spacing w:after="100" w:line="280"/>
        <w:ind w:left="720" w:hanging="720"/>
      </w:pPr>
      <w:r>
        <w:rPr>
          <w:rFonts w:ascii="Calibri" w:cs="Calibri" w:eastAsia="Calibri" w:hAnsi="Calibri"/>
          <w:b/>
          <w:bCs/>
          <w:sz w:val="20"/>
          <w:szCs w:val="20"/>
        </w:rPr>
        <w:t xml:space="preserve">[12]	</w:t>
      </w:r>
      <w:r>
        <w:rPr>
          <w:rFonts w:ascii="Calibri" w:cs="Calibri" w:eastAsia="Calibri" w:hAnsi="Calibri"/>
          <w:sz w:val="20"/>
          <w:szCs w:val="20"/>
        </w:rPr>
        <w:t xml:space="preserve">J. M. Johnson and T. M. Khoshgoftaar, “Survey on deep learning with class imbalance,” Journal of Big Data, vol. 6, no. 27, 2019.</w:t>
      </w:r>
    </w:p>
    <w:p>
      <w:pPr>
        <w:spacing w:after="100" w:line="280"/>
        <w:ind w:left="720" w:hanging="720"/>
      </w:pPr>
      <w:r>
        <w:rPr>
          <w:rFonts w:ascii="Calibri" w:cs="Calibri" w:eastAsia="Calibri" w:hAnsi="Calibri"/>
          <w:b/>
          <w:bCs/>
          <w:sz w:val="20"/>
          <w:szCs w:val="20"/>
        </w:rPr>
        <w:t xml:space="preserve">[13]	</w:t>
      </w:r>
      <w:r>
        <w:rPr>
          <w:rFonts w:ascii="Calibri" w:cs="Calibri" w:eastAsia="Calibri" w:hAnsi="Calibri"/>
          <w:sz w:val="20"/>
          <w:szCs w:val="20"/>
        </w:rPr>
        <w:t xml:space="preserve">M. Grandini, E. Bagli, and G. Visani, “Metrics for Multi-Class Classification: an Overview,” arXiv:2008.05756, 2020.</w:t>
      </w:r>
    </w:p>
    <w:p>
      <w:pPr>
        <w:spacing w:after="100" w:line="280"/>
        <w:ind w:left="720" w:hanging="720"/>
      </w:pPr>
      <w:r>
        <w:rPr>
          <w:rFonts w:ascii="Calibri" w:cs="Calibri" w:eastAsia="Calibri" w:hAnsi="Calibri"/>
          <w:b/>
          <w:bCs/>
          <w:sz w:val="20"/>
          <w:szCs w:val="20"/>
        </w:rPr>
        <w:t xml:space="preserve">[14]	</w:t>
      </w:r>
      <w:r>
        <w:rPr>
          <w:rFonts w:ascii="Calibri" w:cs="Calibri" w:eastAsia="Calibri" w:hAnsi="Calibri"/>
          <w:sz w:val="20"/>
          <w:szCs w:val="20"/>
        </w:rPr>
        <w:t xml:space="preserve">M. Sokolova and G. Lapalme, “A systematic analysis of performance measures for classification tasks,” Information Processing &amp; Management, vol. 45, no. 4, pp. 427–437, 2009.</w:t>
      </w:r>
    </w:p>
    <w:p>
      <w:pPr>
        <w:spacing w:after="100" w:line="280"/>
        <w:ind w:left="720" w:hanging="720"/>
      </w:pPr>
      <w:r>
        <w:rPr>
          <w:rFonts w:ascii="Calibri" w:cs="Calibri" w:eastAsia="Calibri" w:hAnsi="Calibri"/>
          <w:b/>
          <w:bCs/>
          <w:sz w:val="20"/>
          <w:szCs w:val="20"/>
        </w:rPr>
        <w:t xml:space="preserve">[15]	</w:t>
      </w:r>
      <w:r>
        <w:rPr>
          <w:rFonts w:ascii="Calibri" w:cs="Calibri" w:eastAsia="Calibri" w:hAnsi="Calibri"/>
          <w:sz w:val="20"/>
          <w:szCs w:val="20"/>
        </w:rPr>
        <w:t xml:space="preserve">P. Rajpurkar et al., “CheXNet: Radiologist-Level Pneumonia Detection on Chest X-Rays with Deep Learning,” arXiv:1711.05225, 2017.</w:t>
      </w:r>
    </w:p>
    <w:p>
      <w:pPr>
        <w:spacing w:after="100" w:line="280"/>
        <w:ind w:left="720" w:hanging="720"/>
      </w:pPr>
      <w:r>
        <w:rPr>
          <w:rFonts w:ascii="Calibri" w:cs="Calibri" w:eastAsia="Calibri" w:hAnsi="Calibri"/>
          <w:b/>
          <w:bCs/>
          <w:sz w:val="20"/>
          <w:szCs w:val="20"/>
        </w:rPr>
        <w:t xml:space="preserve">[16]	</w:t>
      </w:r>
      <w:r>
        <w:rPr>
          <w:rFonts w:ascii="Calibri" w:cs="Calibri" w:eastAsia="Calibri" w:hAnsi="Calibri"/>
          <w:sz w:val="20"/>
          <w:szCs w:val="20"/>
        </w:rPr>
        <w:t xml:space="preserve">M. Raghu, C. Zhang, J. Kleinberg, and S. Bengio, “Transfusion: Understanding Transfer Learning for Medical Imaging,” in Advances in Neural Information Processing Systems (NeurIPS), 2019.</w:t>
      </w:r>
    </w:p>
    <w:p>
      <w:pPr>
        <w:spacing w:after="100" w:line="280"/>
        <w:ind w:left="720" w:hanging="720"/>
      </w:pPr>
      <w:r>
        <w:rPr>
          <w:rFonts w:ascii="Calibri" w:cs="Calibri" w:eastAsia="Calibri" w:hAnsi="Calibri"/>
          <w:b/>
          <w:bCs/>
          <w:sz w:val="20"/>
          <w:szCs w:val="20"/>
        </w:rPr>
        <w:t xml:space="preserve">[17]	</w:t>
      </w:r>
      <w:r>
        <w:rPr>
          <w:rFonts w:ascii="Calibri" w:cs="Calibri" w:eastAsia="Calibri" w:hAnsi="Calibri"/>
          <w:sz w:val="20"/>
          <w:szCs w:val="20"/>
        </w:rPr>
        <w:t xml:space="preserve">T. Fawcett, “An introduction to ROC analysis,” Pattern Recognition Letters, vol. 27, no. 8, pp. 861–874, 2006.</w:t>
      </w:r>
    </w:p>
    <w:p>
      <w:pPr>
        <w:spacing w:after="100" w:line="280"/>
        <w:ind w:left="720" w:hanging="720"/>
      </w:pPr>
      <w:r>
        <w:rPr>
          <w:rFonts w:ascii="Calibri" w:cs="Calibri" w:eastAsia="Calibri" w:hAnsi="Calibri"/>
          <w:b/>
          <w:bCs/>
          <w:sz w:val="20"/>
          <w:szCs w:val="20"/>
        </w:rPr>
        <w:t xml:space="preserve">[18]	</w:t>
      </w:r>
      <w:r>
        <w:rPr>
          <w:rFonts w:ascii="Calibri" w:cs="Calibri" w:eastAsia="Calibri" w:hAnsi="Calibri"/>
          <w:sz w:val="20"/>
          <w:szCs w:val="20"/>
        </w:rPr>
        <w:t xml:space="preserve">D. J. Hand and R. J. Till, “A Simple Generalisation of the Area Under the ROC Curve for Multiple Class Classification Problems,” Machine Learning, vol. 45, pp. 171–186, 2001.</w:t>
      </w:r>
    </w:p>
    <w:p>
      <w:pPr>
        <w:spacing w:after="100" w:line="280"/>
        <w:ind w:left="720" w:hanging="720"/>
      </w:pPr>
      <w:r>
        <w:rPr>
          <w:rFonts w:ascii="Calibri" w:cs="Calibri" w:eastAsia="Calibri" w:hAnsi="Calibri"/>
          <w:b/>
          <w:bCs/>
          <w:sz w:val="20"/>
          <w:szCs w:val="20"/>
        </w:rPr>
        <w:t xml:space="preserve">[19]	</w:t>
      </w:r>
      <w:r>
        <w:rPr>
          <w:rFonts w:ascii="Calibri" w:cs="Calibri" w:eastAsia="Calibri" w:hAnsi="Calibri"/>
          <w:sz w:val="20"/>
          <w:szCs w:val="20"/>
        </w:rPr>
        <w:t xml:space="preserve">B. Efron and R. J. Tibshirani, An Introduction to the Bootstrap, Chapman &amp; Hall, 1993.</w:t>
      </w:r>
    </w:p>
    <w:p>
      <w:pPr>
        <w:spacing w:after="100" w:line="280"/>
        <w:ind w:left="720" w:hanging="720"/>
      </w:pPr>
      <w:r>
        <w:rPr>
          <w:rFonts w:ascii="Calibri" w:cs="Calibri" w:eastAsia="Calibri" w:hAnsi="Calibri"/>
          <w:b/>
          <w:bCs/>
          <w:sz w:val="20"/>
          <w:szCs w:val="20"/>
        </w:rPr>
        <w:t xml:space="preserve">[20]	</w:t>
      </w:r>
      <w:r>
        <w:rPr>
          <w:rFonts w:ascii="Calibri" w:cs="Calibri" w:eastAsia="Calibri" w:hAnsi="Calibri"/>
          <w:sz w:val="20"/>
          <w:szCs w:val="20"/>
        </w:rPr>
        <w:t xml:space="preserve">A. Benavoli, G. Corani, J. Demšar, and M. Zaffalon, “Time for a Change: a Tutorial for Comparing Multiple Classifiers Through Bayesian Analysis,” Journal of Machine Learning Research, vol. 18, pp. 1–36, 2017.</w:t>
      </w:r>
    </w:p>
    <w:p>
      <w:pPr>
        <w:spacing w:after="100" w:line="280"/>
        <w:ind w:left="720" w:hanging="720"/>
      </w:pPr>
      <w:r>
        <w:rPr>
          <w:rFonts w:ascii="Calibri" w:cs="Calibri" w:eastAsia="Calibri" w:hAnsi="Calibri"/>
          <w:b/>
          <w:bCs/>
          <w:sz w:val="20"/>
          <w:szCs w:val="20"/>
        </w:rPr>
        <w:t xml:space="preserve">[21]	</w:t>
      </w:r>
      <w:r>
        <w:rPr>
          <w:rFonts w:ascii="Calibri" w:cs="Calibri" w:eastAsia="Calibri" w:hAnsi="Calibri"/>
          <w:sz w:val="20"/>
          <w:szCs w:val="20"/>
        </w:rPr>
        <w:t xml:space="preserve">J. Pineau et al., “Improving Reproducibility in Machine Learning Research (A Report from the NeurIPS 2019 Reproducibility Program),” Journal of Machine Learning Research, vol. 22, pp. 1–20, 2021.</w:t>
      </w:r>
    </w:p>
    <w:p>
      <w:pPr>
        <w:spacing w:after="100" w:line="280"/>
        <w:ind w:left="720" w:hanging="720"/>
      </w:pPr>
      <w:r>
        <w:rPr>
          <w:rFonts w:ascii="Calibri" w:cs="Calibri" w:eastAsia="Calibri" w:hAnsi="Calibri"/>
          <w:b/>
          <w:bCs/>
          <w:sz w:val="20"/>
          <w:szCs w:val="20"/>
        </w:rPr>
        <w:t xml:space="preserve">[22]	</w:t>
      </w:r>
      <w:r>
        <w:rPr>
          <w:rFonts w:ascii="Calibri" w:cs="Calibri" w:eastAsia="Calibri" w:hAnsi="Calibri"/>
          <w:sz w:val="20"/>
          <w:szCs w:val="20"/>
        </w:rPr>
        <w:t xml:space="preserve">F. Pedregosa et al., “Scikit-learn: Machine Learning in Python,” Journal of Machine Learning Research, vol. 12, pp. 2825–2830, 2011.  [Added to support default stratified-split tooling.]</w:t>
      </w:r>
    </w:p>
    <w:p>
      <w:pPr>
        <w:spacing w:after="100" w:line="280"/>
        <w:ind w:left="720" w:hanging="720"/>
      </w:pPr>
      <w:r>
        <w:rPr>
          <w:rFonts w:ascii="Calibri" w:cs="Calibri" w:eastAsia="Calibri" w:hAnsi="Calibri"/>
          <w:b/>
          <w:bCs/>
          <w:sz w:val="20"/>
          <w:szCs w:val="20"/>
        </w:rPr>
        <w:t xml:space="preserve">[23]	</w:t>
      </w:r>
      <w:r>
        <w:rPr>
          <w:rFonts w:ascii="Calibri" w:cs="Calibri" w:eastAsia="Calibri" w:hAnsi="Calibri"/>
          <w:sz w:val="20"/>
          <w:szCs w:val="20"/>
        </w:rPr>
        <w:t xml:space="preserve">R. M. Haralick, K. Shanmugam, and I. Dinstein, “Textural Features for Image Classification,” IEEE Transactions on Systems, Man, and Cybernetics, vol. SMC-3, no. 6, pp. 610–621, 1973.  [Added as canonical reference for GLCM features used by Person 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Phase 0 – Design Justification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6"/>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2E55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 Justification - BMET 5933 Assignment 2</dc:title>
  <dc:creator>Jimmy</dc:creator>
  <cp:lastModifiedBy>Un-named</cp:lastModifiedBy>
  <cp:revision>1</cp:revision>
  <dcterms:created xsi:type="dcterms:W3CDTF">2026-04-22T02:17:00.571Z</dcterms:created>
  <dcterms:modified xsi:type="dcterms:W3CDTF">2026-04-22T02:17:00.572Z</dcterms:modified>
</cp:coreProperties>
</file>

<file path=docProps/custom.xml><?xml version="1.0" encoding="utf-8"?>
<Properties xmlns="http://schemas.openxmlformats.org/officeDocument/2006/custom-properties" xmlns:vt="http://schemas.openxmlformats.org/officeDocument/2006/docPropsVTypes"/>
</file>