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C3EED" w:rsidRDefault="0014041C">
      <w:pPr>
        <w:spacing w:before="120" w:after="120" w:line="275"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Risk-Modeling Predictive Approaches to Treatment Effect Heterogeneity in a Randomized Trial of Epidural Corticosteroid Injections</w:t>
      </w:r>
    </w:p>
    <w:p w:rsidR="005C3EED" w:rsidRDefault="0014041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C3EED" w:rsidRDefault="0014041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C3EED" w:rsidRDefault="0014041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C3EED" w:rsidRDefault="0014041C">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Sponsored by:</w:t>
      </w:r>
    </w:p>
    <w:p w:rsidR="005C3EED" w:rsidRDefault="0014041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Biostatistics, University of Washington</w:t>
      </w:r>
    </w:p>
    <w:p w:rsidR="005C3EED" w:rsidRDefault="0014041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Radiology and Neurological Surgery, University of Washington</w:t>
      </w:r>
    </w:p>
    <w:p w:rsidR="005C3EED" w:rsidRDefault="005C3EED">
      <w:pPr>
        <w:jc w:val="center"/>
        <w:rPr>
          <w:rFonts w:ascii="Times New Roman" w:eastAsia="Times New Roman" w:hAnsi="Times New Roman" w:cs="Times New Roman"/>
          <w:sz w:val="24"/>
          <w:szCs w:val="24"/>
        </w:rPr>
      </w:pPr>
    </w:p>
    <w:p w:rsidR="005C3EED" w:rsidRDefault="005C3EED">
      <w:pPr>
        <w:jc w:val="center"/>
        <w:rPr>
          <w:rFonts w:ascii="Times New Roman" w:eastAsia="Times New Roman" w:hAnsi="Times New Roman" w:cs="Times New Roman"/>
          <w:sz w:val="24"/>
          <w:szCs w:val="24"/>
        </w:rPr>
      </w:pPr>
    </w:p>
    <w:p w:rsidR="005C3EED" w:rsidRDefault="0014041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C3EED" w:rsidRDefault="005C3EED">
      <w:pPr>
        <w:rPr>
          <w:rFonts w:ascii="Times New Roman" w:eastAsia="Times New Roman" w:hAnsi="Times New Roman" w:cs="Times New Roman"/>
          <w:sz w:val="24"/>
          <w:szCs w:val="24"/>
        </w:rPr>
      </w:pP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C3EED" w:rsidRDefault="0014041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C3EED" w:rsidRDefault="0014041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Investigators:</w:t>
      </w:r>
    </w:p>
    <w:p w:rsidR="005C3EED" w:rsidRDefault="005C3EED">
      <w:pPr>
        <w:jc w:val="center"/>
        <w:rPr>
          <w:rFonts w:ascii="Times New Roman" w:eastAsia="Times New Roman" w:hAnsi="Times New Roman" w:cs="Times New Roman"/>
          <w:sz w:val="24"/>
          <w:szCs w:val="24"/>
        </w:rPr>
        <w:sectPr w:rsidR="005C3EED">
          <w:footerReference w:type="default" r:id="rId7"/>
          <w:pgSz w:w="12240" w:h="15840"/>
          <w:pgMar w:top="1440" w:right="1440" w:bottom="1440" w:left="1440" w:header="720" w:footer="720" w:gutter="0"/>
          <w:pgNumType w:start="1"/>
          <w:cols w:space="720"/>
        </w:sectPr>
      </w:pPr>
    </w:p>
    <w:p w:rsidR="005C3EED" w:rsidRDefault="0014041C">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Yitao</w:t>
      </w:r>
      <w:proofErr w:type="spellEnd"/>
      <w:r>
        <w:rPr>
          <w:rFonts w:ascii="Times New Roman" w:eastAsia="Times New Roman" w:hAnsi="Times New Roman" w:cs="Times New Roman"/>
          <w:sz w:val="24"/>
          <w:szCs w:val="24"/>
        </w:rPr>
        <w:t xml:space="preserve"> Wu, MS</w:t>
      </w:r>
    </w:p>
    <w:p w:rsidR="005C3EED" w:rsidRDefault="0014041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of Washington, Seattle WA</w:t>
      </w:r>
    </w:p>
    <w:p w:rsidR="005C3EED" w:rsidRDefault="0014041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206-226-7972</w:t>
      </w:r>
    </w:p>
    <w:p w:rsidR="005C3EED" w:rsidRDefault="0014041C">
      <w:pPr>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yitaow2@uw.edu</w:t>
      </w:r>
    </w:p>
    <w:p w:rsidR="005C3EED" w:rsidRDefault="005C3EED">
      <w:pPr>
        <w:jc w:val="center"/>
        <w:rPr>
          <w:rFonts w:ascii="Times New Roman" w:eastAsia="Times New Roman" w:hAnsi="Times New Roman" w:cs="Times New Roman"/>
          <w:sz w:val="24"/>
          <w:szCs w:val="24"/>
        </w:rPr>
      </w:pPr>
    </w:p>
    <w:p w:rsidR="005C3EED" w:rsidRDefault="0014041C">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Ziyu</w:t>
      </w:r>
      <w:proofErr w:type="spellEnd"/>
      <w:r>
        <w:rPr>
          <w:rFonts w:ascii="Times New Roman" w:eastAsia="Times New Roman" w:hAnsi="Times New Roman" w:cs="Times New Roman"/>
          <w:sz w:val="24"/>
          <w:szCs w:val="24"/>
        </w:rPr>
        <w:t xml:space="preserve"> Xiao, MS</w:t>
      </w:r>
    </w:p>
    <w:p w:rsidR="005C3EED" w:rsidRDefault="0014041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of Washington, Seattle WA</w:t>
      </w:r>
    </w:p>
    <w:p w:rsidR="005C3EED" w:rsidRDefault="0014041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206-468-4156</w:t>
      </w:r>
    </w:p>
    <w:p w:rsidR="005C3EED" w:rsidRDefault="0014041C">
      <w:pPr>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ziyuxiao@uw.edu</w:t>
      </w:r>
    </w:p>
    <w:p w:rsidR="005C3EED" w:rsidRDefault="005C3EED">
      <w:pPr>
        <w:jc w:val="center"/>
        <w:rPr>
          <w:rFonts w:ascii="Times New Roman" w:eastAsia="Times New Roman" w:hAnsi="Times New Roman" w:cs="Times New Roman"/>
          <w:sz w:val="24"/>
          <w:szCs w:val="24"/>
        </w:rPr>
      </w:pPr>
    </w:p>
    <w:p w:rsidR="005C3EED" w:rsidRDefault="0014041C">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Pinyan</w:t>
      </w:r>
      <w:proofErr w:type="spellEnd"/>
      <w:r>
        <w:rPr>
          <w:rFonts w:ascii="Times New Roman" w:eastAsia="Times New Roman" w:hAnsi="Times New Roman" w:cs="Times New Roman"/>
          <w:sz w:val="24"/>
          <w:szCs w:val="24"/>
        </w:rPr>
        <w:t xml:space="preserve"> Liu, MS</w:t>
      </w:r>
    </w:p>
    <w:p w:rsidR="005C3EED" w:rsidRDefault="0014041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of Washington, Seattle WA</w:t>
      </w:r>
    </w:p>
    <w:p w:rsidR="005C3EED" w:rsidRDefault="0014041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206-209-7501</w:t>
      </w:r>
    </w:p>
    <w:p w:rsidR="005C3EED" w:rsidRDefault="00D7665D">
      <w:pPr>
        <w:jc w:val="center"/>
        <w:rPr>
          <w:rFonts w:ascii="Times New Roman" w:eastAsia="Times New Roman" w:hAnsi="Times New Roman" w:cs="Times New Roman"/>
          <w:b/>
          <w:sz w:val="24"/>
          <w:szCs w:val="24"/>
        </w:rPr>
        <w:sectPr w:rsidR="005C3EED">
          <w:type w:val="continuous"/>
          <w:pgSz w:w="12240" w:h="15840"/>
          <w:pgMar w:top="1440" w:right="1440" w:bottom="1440" w:left="1440" w:header="720" w:footer="720" w:gutter="0"/>
          <w:cols w:num="3" w:space="720" w:equalWidth="0">
            <w:col w:w="2640" w:space="720"/>
            <w:col w:w="2640" w:space="720"/>
            <w:col w:w="2640" w:space="0"/>
          </w:cols>
        </w:sectPr>
      </w:pPr>
      <w:hyperlink r:id="rId8">
        <w:r w:rsidR="0014041C">
          <w:rPr>
            <w:rFonts w:ascii="Times New Roman" w:eastAsia="Times New Roman" w:hAnsi="Times New Roman" w:cs="Times New Roman"/>
            <w:sz w:val="24"/>
            <w:szCs w:val="24"/>
            <w:u w:val="single"/>
          </w:rPr>
          <w:t>pliu5@uw.edu</w:t>
        </w:r>
      </w:hyperlink>
    </w:p>
    <w:p w:rsidR="005C3EED" w:rsidRDefault="005C3EED">
      <w:pPr>
        <w:jc w:val="center"/>
        <w:rPr>
          <w:rFonts w:ascii="Times New Roman" w:eastAsia="Times New Roman" w:hAnsi="Times New Roman" w:cs="Times New Roman"/>
          <w:b/>
          <w:sz w:val="24"/>
          <w:szCs w:val="24"/>
        </w:rPr>
      </w:pPr>
    </w:p>
    <w:p w:rsidR="005C3EED" w:rsidRDefault="005C3EED">
      <w:pPr>
        <w:jc w:val="center"/>
        <w:rPr>
          <w:rFonts w:ascii="Times New Roman" w:eastAsia="Times New Roman" w:hAnsi="Times New Roman" w:cs="Times New Roman"/>
          <w:b/>
          <w:sz w:val="24"/>
          <w:szCs w:val="24"/>
        </w:rPr>
      </w:pPr>
    </w:p>
    <w:p w:rsidR="005C3EED" w:rsidRDefault="005C3EED">
      <w:pPr>
        <w:jc w:val="center"/>
        <w:rPr>
          <w:rFonts w:ascii="Times New Roman" w:eastAsia="Times New Roman" w:hAnsi="Times New Roman" w:cs="Times New Roman"/>
          <w:b/>
          <w:sz w:val="24"/>
          <w:szCs w:val="24"/>
        </w:rPr>
      </w:pPr>
    </w:p>
    <w:p w:rsidR="005C3EED" w:rsidRDefault="005C3EED">
      <w:pPr>
        <w:jc w:val="center"/>
        <w:rPr>
          <w:rFonts w:ascii="Times New Roman" w:eastAsia="Times New Roman" w:hAnsi="Times New Roman" w:cs="Times New Roman"/>
          <w:b/>
          <w:sz w:val="24"/>
          <w:szCs w:val="24"/>
        </w:rPr>
      </w:pPr>
    </w:p>
    <w:p w:rsidR="005C3EED" w:rsidRDefault="005C3EED">
      <w:pPr>
        <w:jc w:val="center"/>
        <w:rPr>
          <w:rFonts w:ascii="Times New Roman" w:eastAsia="Times New Roman" w:hAnsi="Times New Roman" w:cs="Times New Roman"/>
          <w:b/>
          <w:sz w:val="24"/>
          <w:szCs w:val="24"/>
        </w:rPr>
      </w:pPr>
    </w:p>
    <w:p w:rsidR="005C3EED" w:rsidRDefault="005C3EED">
      <w:pPr>
        <w:jc w:val="center"/>
        <w:rPr>
          <w:rFonts w:ascii="Times New Roman" w:eastAsia="Times New Roman" w:hAnsi="Times New Roman" w:cs="Times New Roman"/>
          <w:b/>
          <w:sz w:val="24"/>
          <w:szCs w:val="24"/>
        </w:rPr>
      </w:pPr>
    </w:p>
    <w:p w:rsidR="005C3EED" w:rsidRDefault="005C3EED">
      <w:pPr>
        <w:jc w:val="center"/>
        <w:rPr>
          <w:rFonts w:ascii="Times New Roman" w:eastAsia="Times New Roman" w:hAnsi="Times New Roman" w:cs="Times New Roman"/>
          <w:b/>
          <w:sz w:val="24"/>
          <w:szCs w:val="24"/>
        </w:rPr>
      </w:pPr>
    </w:p>
    <w:p w:rsidR="005C3EED" w:rsidRDefault="005C3EED">
      <w:pPr>
        <w:jc w:val="center"/>
        <w:rPr>
          <w:rFonts w:ascii="Times New Roman" w:eastAsia="Times New Roman" w:hAnsi="Times New Roman" w:cs="Times New Roman"/>
          <w:b/>
          <w:sz w:val="24"/>
          <w:szCs w:val="24"/>
        </w:rPr>
      </w:pPr>
    </w:p>
    <w:p w:rsidR="005C3EED" w:rsidRDefault="005C3EED">
      <w:pPr>
        <w:jc w:val="center"/>
        <w:rPr>
          <w:rFonts w:ascii="Times New Roman" w:eastAsia="Times New Roman" w:hAnsi="Times New Roman" w:cs="Times New Roman"/>
          <w:b/>
          <w:sz w:val="24"/>
          <w:szCs w:val="24"/>
        </w:rPr>
      </w:pPr>
    </w:p>
    <w:p w:rsidR="005C3EED" w:rsidRDefault="005C3EED">
      <w:pPr>
        <w:jc w:val="center"/>
        <w:rPr>
          <w:rFonts w:ascii="Times New Roman" w:eastAsia="Times New Roman" w:hAnsi="Times New Roman" w:cs="Times New Roman"/>
          <w:b/>
          <w:sz w:val="24"/>
          <w:szCs w:val="24"/>
        </w:rPr>
      </w:pPr>
    </w:p>
    <w:p w:rsidR="005C3EED" w:rsidRDefault="005C3EED">
      <w:pPr>
        <w:jc w:val="center"/>
        <w:rPr>
          <w:rFonts w:ascii="Times New Roman" w:eastAsia="Times New Roman" w:hAnsi="Times New Roman" w:cs="Times New Roman"/>
          <w:b/>
          <w:sz w:val="24"/>
          <w:szCs w:val="24"/>
        </w:rPr>
      </w:pPr>
    </w:p>
    <w:p w:rsidR="005C3EED" w:rsidRDefault="005C3EED">
      <w:pPr>
        <w:jc w:val="center"/>
        <w:rPr>
          <w:rFonts w:ascii="Times New Roman" w:eastAsia="Times New Roman" w:hAnsi="Times New Roman" w:cs="Times New Roman"/>
          <w:b/>
          <w:sz w:val="24"/>
          <w:szCs w:val="24"/>
        </w:rPr>
      </w:pPr>
    </w:p>
    <w:p w:rsidR="005C3EED" w:rsidRDefault="005C3EED">
      <w:pPr>
        <w:jc w:val="center"/>
        <w:rPr>
          <w:rFonts w:ascii="Times New Roman" w:eastAsia="Times New Roman" w:hAnsi="Times New Roman" w:cs="Times New Roman"/>
          <w:b/>
          <w:sz w:val="24"/>
          <w:szCs w:val="24"/>
        </w:rPr>
      </w:pPr>
    </w:p>
    <w:p w:rsidR="005C3EED" w:rsidRDefault="005C3EED">
      <w:pPr>
        <w:jc w:val="center"/>
        <w:rPr>
          <w:rFonts w:ascii="Times New Roman" w:eastAsia="Times New Roman" w:hAnsi="Times New Roman" w:cs="Times New Roman"/>
          <w:b/>
          <w:sz w:val="24"/>
          <w:szCs w:val="24"/>
        </w:rPr>
      </w:pPr>
    </w:p>
    <w:p w:rsidR="005C3EED" w:rsidRDefault="005C3EED">
      <w:pPr>
        <w:rPr>
          <w:rFonts w:ascii="Times New Roman" w:eastAsia="Times New Roman" w:hAnsi="Times New Roman" w:cs="Times New Roman"/>
          <w:b/>
          <w:sz w:val="24"/>
          <w:szCs w:val="24"/>
        </w:rPr>
      </w:pPr>
    </w:p>
    <w:p w:rsidR="005C3EED" w:rsidRDefault="005C3EED">
      <w:pPr>
        <w:rPr>
          <w:rFonts w:ascii="Times New Roman" w:eastAsia="Times New Roman" w:hAnsi="Times New Roman" w:cs="Times New Roman"/>
          <w:b/>
          <w:sz w:val="24"/>
          <w:szCs w:val="24"/>
        </w:rPr>
      </w:pPr>
    </w:p>
    <w:p w:rsidR="005C3EED" w:rsidRDefault="0014041C">
      <w:pPr>
        <w:spacing w:before="120" w:after="120"/>
        <w:rPr>
          <w:rFonts w:ascii="Times New Roman" w:eastAsia="Times New Roman" w:hAnsi="Times New Roman" w:cs="Times New Roman"/>
          <w:b/>
          <w:sz w:val="26"/>
          <w:szCs w:val="26"/>
        </w:rPr>
      </w:pPr>
      <w:r>
        <w:rPr>
          <w:rFonts w:ascii="Times New Roman" w:eastAsia="Times New Roman" w:hAnsi="Times New Roman" w:cs="Times New Roman"/>
          <w:b/>
          <w:sz w:val="28"/>
          <w:szCs w:val="28"/>
        </w:rPr>
        <w:lastRenderedPageBreak/>
        <w:t>1</w:t>
      </w:r>
      <w:r>
        <w:rPr>
          <w:b/>
          <w:sz w:val="28"/>
          <w:szCs w:val="28"/>
        </w:rPr>
        <w:t xml:space="preserve">. </w:t>
      </w:r>
      <w:r>
        <w:rPr>
          <w:rFonts w:ascii="Times New Roman" w:eastAsia="Times New Roman" w:hAnsi="Times New Roman" w:cs="Times New Roman"/>
          <w:b/>
          <w:sz w:val="28"/>
          <w:szCs w:val="28"/>
        </w:rPr>
        <w:t>Introduction</w:t>
      </w:r>
    </w:p>
    <w:p w:rsidR="005C3EED" w:rsidRDefault="005C3EED">
      <w:pPr>
        <w:pBdr>
          <w:top w:val="nil"/>
          <w:left w:val="nil"/>
          <w:bottom w:val="nil"/>
          <w:right w:val="nil"/>
          <w:between w:val="nil"/>
        </w:pBdr>
        <w:jc w:val="both"/>
        <w:rPr>
          <w:rFonts w:ascii="Times New Roman" w:eastAsia="Times New Roman" w:hAnsi="Times New Roman" w:cs="Times New Roman"/>
          <w:sz w:val="24"/>
          <w:szCs w:val="24"/>
        </w:rPr>
      </w:pPr>
    </w:p>
    <w:p w:rsidR="005C3EED" w:rsidRDefault="0014041C">
      <w:pPr>
        <w:ind w:left="4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Lumbar spinal stenosis is a common cause of spine-related disability and functional limitations among older </w:t>
      </w:r>
      <w:proofErr w:type="gramStart"/>
      <w:r>
        <w:rPr>
          <w:rFonts w:ascii="Times New Roman" w:eastAsia="Times New Roman" w:hAnsi="Times New Roman" w:cs="Times New Roman"/>
          <w:sz w:val="24"/>
          <w:szCs w:val="24"/>
        </w:rPr>
        <w:t>adults[</w:t>
      </w:r>
      <w:proofErr w:type="gramEnd"/>
      <w:r>
        <w:rPr>
          <w:rFonts w:ascii="Times New Roman" w:eastAsia="Times New Roman" w:hAnsi="Times New Roman" w:cs="Times New Roman"/>
          <w:sz w:val="24"/>
          <w:szCs w:val="24"/>
        </w:rPr>
        <w:t xml:space="preserve">1-2], leading to suffering back and leg pain, depression and weakness[3-4]. The prevention of such symptoms is difficult, and the effectiveness of a widely used treatment, epidural glucocorticoid injections, has been shown to be questionable. Previous research found that there were no significant between-group differences in either self-reported disability or self-reported back pain at 6 </w:t>
      </w:r>
      <w:proofErr w:type="gramStart"/>
      <w:r>
        <w:rPr>
          <w:rFonts w:ascii="Times New Roman" w:eastAsia="Times New Roman" w:hAnsi="Times New Roman" w:cs="Times New Roman"/>
          <w:sz w:val="24"/>
          <w:szCs w:val="24"/>
        </w:rPr>
        <w:t>weeks[</w:t>
      </w:r>
      <w:proofErr w:type="gramEnd"/>
      <w:r>
        <w:rPr>
          <w:rFonts w:ascii="Times New Roman" w:eastAsia="Times New Roman" w:hAnsi="Times New Roman" w:cs="Times New Roman"/>
          <w:sz w:val="24"/>
          <w:szCs w:val="24"/>
        </w:rPr>
        <w:t>5]. Our goal for this project is to further understand how the effectiveness of epidural glucocorticoid injections for spinal stenosis may vary across patients - a concept described as Heterogeneity of Treatment Effects (HTE).</w:t>
      </w:r>
    </w:p>
    <w:p w:rsidR="005C3EED" w:rsidRDefault="0014041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C3EED" w:rsidRDefault="0014041C">
      <w:pPr>
        <w:ind w:left="40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traditional randomized controlled trials (RCTs), evaluating </w:t>
      </w:r>
      <w:r>
        <w:rPr>
          <w:rFonts w:ascii="Times New Roman" w:eastAsia="Times New Roman" w:hAnsi="Times New Roman" w:cs="Times New Roman"/>
          <w:sz w:val="24"/>
          <w:szCs w:val="24"/>
        </w:rPr>
        <w:t xml:space="preserve">heterogeneity of treatment effects (HTE) </w:t>
      </w:r>
      <w:r>
        <w:rPr>
          <w:rFonts w:ascii="Times New Roman" w:eastAsia="Times New Roman" w:hAnsi="Times New Roman" w:cs="Times New Roman"/>
          <w:sz w:val="24"/>
          <w:szCs w:val="24"/>
          <w:highlight w:val="white"/>
        </w:rPr>
        <w:t xml:space="preserve">is typically conducted through subgroup analysis contrasting effects in groups of patients defined one variable at a time (e.g. males versus females; old versus young). There are important limitations of these “one variable at a time” analyses, such as low statistical power and potential inflation of the type I error rate due to multiple statistical comparisons. Therefore, we are interested in adopting risk modeling approaches that account for multiple variables at the same time, </w:t>
      </w:r>
      <w:r>
        <w:rPr>
          <w:rFonts w:ascii="Times New Roman" w:eastAsia="Times New Roman" w:hAnsi="Times New Roman" w:cs="Times New Roman"/>
          <w:sz w:val="24"/>
          <w:szCs w:val="24"/>
        </w:rPr>
        <w:t xml:space="preserve">one of the strategies suggested in the Predictive Approaches to Treatment effect Heterogeneity (PATH) </w:t>
      </w:r>
      <w:proofErr w:type="gramStart"/>
      <w:r>
        <w:rPr>
          <w:rFonts w:ascii="Times New Roman" w:eastAsia="Times New Roman" w:hAnsi="Times New Roman" w:cs="Times New Roman"/>
          <w:sz w:val="24"/>
          <w:szCs w:val="24"/>
        </w:rPr>
        <w:t>statement[</w:t>
      </w:r>
      <w:proofErr w:type="gramEnd"/>
      <w:r>
        <w:rPr>
          <w:rFonts w:ascii="Times New Roman" w:eastAsia="Times New Roman" w:hAnsi="Times New Roman" w:cs="Times New Roman"/>
          <w:sz w:val="24"/>
          <w:szCs w:val="24"/>
        </w:rPr>
        <w:t>6-8]</w:t>
      </w:r>
      <w:r>
        <w:rPr>
          <w:rFonts w:ascii="Times New Roman" w:eastAsia="Times New Roman" w:hAnsi="Times New Roman" w:cs="Times New Roman"/>
          <w:sz w:val="24"/>
          <w:szCs w:val="24"/>
          <w:highlight w:val="white"/>
        </w:rPr>
        <w:t xml:space="preserve">. </w:t>
      </w:r>
    </w:p>
    <w:p w:rsidR="005C3EED" w:rsidRDefault="0014041C">
      <w:pPr>
        <w:ind w:left="4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C3EED" w:rsidRDefault="0014041C">
      <w:pPr>
        <w:ind w:left="40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A multidisciplinary technical expert panel developed the PATH statement using</w:t>
      </w:r>
      <w:r>
        <w:rPr>
          <w:sz w:val="16"/>
          <w:szCs w:val="16"/>
        </w:rPr>
        <w:t xml:space="preserve"> </w:t>
      </w:r>
      <w:r>
        <w:rPr>
          <w:rFonts w:ascii="Times New Roman" w:eastAsia="Times New Roman" w:hAnsi="Times New Roman" w:cs="Times New Roman"/>
          <w:sz w:val="24"/>
          <w:szCs w:val="24"/>
        </w:rPr>
        <w:t>targeted literature reviews, simulations to characterize potential problems with predictive approaches, and a deliberative process engaging an expert panel. This statement recommended a promising approach, “risk modeling”, in which treatment effects are estimated in strata of predicted risk (</w:t>
      </w:r>
      <w:r>
        <w:rPr>
          <w:rFonts w:ascii="Times New Roman" w:eastAsia="Times New Roman" w:hAnsi="Times New Roman" w:cs="Times New Roman"/>
          <w:b/>
          <w:sz w:val="24"/>
          <w:szCs w:val="24"/>
        </w:rPr>
        <w:t>Fig.</w:t>
      </w:r>
      <w:proofErr w:type="gramStart"/>
      <w:r>
        <w:rPr>
          <w:rFonts w:ascii="Times New Roman" w:eastAsia="Times New Roman" w:hAnsi="Times New Roman" w:cs="Times New Roman"/>
          <w:b/>
          <w:sz w:val="24"/>
          <w:szCs w:val="24"/>
        </w:rPr>
        <w:t>1</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9]. First, a multivariable regression model that predicts risk for an outcome (usually the primary study outcome) is identified from external sources (an “external model”) or developed directly on the trial population without a term for treatment assignment (an “internal model”).  Next, this model is applied to stratify patients within trials and examine risk-based variation in treatment effects. </w:t>
      </w:r>
      <w:r>
        <w:rPr>
          <w:rFonts w:ascii="Times New Roman" w:eastAsia="Times New Roman" w:hAnsi="Times New Roman" w:cs="Times New Roman"/>
          <w:sz w:val="24"/>
          <w:szCs w:val="24"/>
          <w:highlight w:val="white"/>
        </w:rPr>
        <w:t>Such “risk modeling” approach aims to provide patient-centered estimates of outcome risks with versus without the intervention, taking into account all relevant patient attributes simultaneously.</w:t>
      </w:r>
    </w:p>
    <w:p w:rsidR="005C3EED" w:rsidRDefault="005C3EED">
      <w:pPr>
        <w:ind w:left="400"/>
        <w:jc w:val="both"/>
        <w:rPr>
          <w:rFonts w:ascii="Times New Roman" w:eastAsia="Times New Roman" w:hAnsi="Times New Roman" w:cs="Times New Roman"/>
          <w:sz w:val="24"/>
          <w:szCs w:val="24"/>
        </w:rPr>
      </w:pPr>
    </w:p>
    <w:p w:rsidR="005C3EED" w:rsidRDefault="005C3EED">
      <w:pPr>
        <w:ind w:left="400"/>
        <w:jc w:val="both"/>
        <w:rPr>
          <w:rFonts w:ascii="Times New Roman" w:eastAsia="Times New Roman" w:hAnsi="Times New Roman" w:cs="Times New Roman"/>
          <w:sz w:val="24"/>
          <w:szCs w:val="24"/>
        </w:rPr>
      </w:pPr>
    </w:p>
    <w:p w:rsidR="005C3EED" w:rsidRPr="000F1266" w:rsidRDefault="0014041C">
      <w:pPr>
        <w:ind w:left="400"/>
        <w:jc w:val="both"/>
        <w:rPr>
          <w:rFonts w:ascii="Times New Roman" w:eastAsia="Times New Roman" w:hAnsi="Times New Roman" w:cs="Times New Roman"/>
          <w:sz w:val="24"/>
          <w:szCs w:val="24"/>
          <w:highlight w:val="white"/>
        </w:rPr>
      </w:pPr>
      <w:r w:rsidRPr="000F1266">
        <w:rPr>
          <w:rFonts w:ascii="Times New Roman" w:eastAsia="Times New Roman" w:hAnsi="Times New Roman" w:cs="Times New Roman"/>
          <w:sz w:val="24"/>
          <w:szCs w:val="24"/>
          <w:highlight w:val="white"/>
        </w:rPr>
        <w:t xml:space="preserve">Our ultimate goal was to develop a framework for risk-based assessment of HTE for Lumbar Epidural Steroid Injections for Spinal Stenosis (LESS) trial following the PATH statement recommendations. To be more specific, our first aim was to develop and validate a model in an external dataset to generate risk scores. In our study, we chose the Back-Pain Outcomes Using Longitudinal Data (BOLD) </w:t>
      </w:r>
      <w:r w:rsidR="00A550BF" w:rsidRPr="000F1266">
        <w:rPr>
          <w:rFonts w:ascii="Times New Roman" w:eastAsia="Times New Roman" w:hAnsi="Times New Roman" w:cs="Times New Roman"/>
          <w:sz w:val="24"/>
          <w:szCs w:val="24"/>
          <w:highlight w:val="white"/>
        </w:rPr>
        <w:t>Cohort [</w:t>
      </w:r>
      <w:r w:rsidRPr="000F1266">
        <w:rPr>
          <w:rFonts w:ascii="Times New Roman" w:eastAsia="Times New Roman" w:hAnsi="Times New Roman" w:cs="Times New Roman"/>
          <w:sz w:val="24"/>
          <w:szCs w:val="24"/>
          <w:highlight w:val="white"/>
        </w:rPr>
        <w:t>10-11</w:t>
      </w:r>
      <w:r w:rsidR="00A550BF">
        <w:rPr>
          <w:rFonts w:ascii="Times New Roman" w:eastAsia="Times New Roman" w:hAnsi="Times New Roman" w:cs="Times New Roman"/>
          <w:sz w:val="24"/>
          <w:szCs w:val="24"/>
          <w:highlight w:val="white"/>
        </w:rPr>
        <w:t xml:space="preserve">], </w:t>
      </w:r>
      <w:r w:rsidRPr="000F1266">
        <w:rPr>
          <w:rFonts w:ascii="Times New Roman" w:eastAsia="Times New Roman" w:hAnsi="Times New Roman" w:cs="Times New Roman"/>
          <w:sz w:val="24"/>
          <w:szCs w:val="24"/>
          <w:highlight w:val="white"/>
        </w:rPr>
        <w:t xml:space="preserve">which consisted of rich baseline measurements collected from patient-reported outcomes (PROs) and electronic health data (EHR). Our second aim was to create risk scores for patients in the LESS trial using the </w:t>
      </w:r>
      <w:r w:rsidRPr="000F1266">
        <w:rPr>
          <w:rFonts w:ascii="Times New Roman" w:eastAsia="Times New Roman" w:hAnsi="Times New Roman" w:cs="Times New Roman"/>
          <w:sz w:val="24"/>
          <w:szCs w:val="24"/>
          <w:highlight w:val="white"/>
        </w:rPr>
        <w:lastRenderedPageBreak/>
        <w:t xml:space="preserve">selected model in Aim 1. We treated the risk score as a pre-specified derived covariate to stratify those patients and explored risk-based variation in treatment effects by evaluating whether the effectiveness of epidural glucocorticoid injections is modified by the risk scores. This HTE analysis would provide valuable insight to comprehensively assess the effectiveness and safety of epidural glucocorticoid injections. </w:t>
      </w:r>
    </w:p>
    <w:p w:rsidR="005C3EED" w:rsidRDefault="005C3EED">
      <w:pPr>
        <w:ind w:left="400"/>
        <w:jc w:val="both"/>
        <w:rPr>
          <w:rFonts w:ascii="Times New Roman" w:eastAsia="Times New Roman" w:hAnsi="Times New Roman" w:cs="Times New Roman"/>
          <w:sz w:val="24"/>
          <w:szCs w:val="24"/>
        </w:rPr>
      </w:pPr>
    </w:p>
    <w:p w:rsidR="005C3EED" w:rsidRDefault="005C3EED">
      <w:pPr>
        <w:ind w:left="400"/>
        <w:jc w:val="both"/>
        <w:rPr>
          <w:rFonts w:ascii="Times New Roman" w:eastAsia="Times New Roman" w:hAnsi="Times New Roman" w:cs="Times New Roman"/>
          <w:sz w:val="24"/>
          <w:szCs w:val="24"/>
        </w:rPr>
      </w:pPr>
    </w:p>
    <w:p w:rsidR="005C3EED" w:rsidRDefault="0014041C">
      <w:pPr>
        <w:ind w:left="40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4036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943600" cy="3403600"/>
                    </a:xfrm>
                    <a:prstGeom prst="rect">
                      <a:avLst/>
                    </a:prstGeom>
                    <a:ln/>
                  </pic:spPr>
                </pic:pic>
              </a:graphicData>
            </a:graphic>
          </wp:inline>
        </w:drawing>
      </w:r>
    </w:p>
    <w:p w:rsidR="005C3EED" w:rsidRDefault="0014041C">
      <w:pPr>
        <w:ind w:left="40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Fig. 1</w:t>
      </w:r>
      <w:r>
        <w:rPr>
          <w:rFonts w:ascii="Times New Roman" w:eastAsia="Times New Roman" w:hAnsi="Times New Roman" w:cs="Times New Roman"/>
          <w:sz w:val="20"/>
          <w:szCs w:val="20"/>
        </w:rPr>
        <w:t xml:space="preserve"> The modeling process includes: 1) Developing a multivariable regression-based model that predicts risk for </w:t>
      </w:r>
      <w:proofErr w:type="gramStart"/>
      <w:r>
        <w:rPr>
          <w:rFonts w:ascii="Times New Roman" w:eastAsia="Times New Roman" w:hAnsi="Times New Roman" w:cs="Times New Roman"/>
          <w:sz w:val="20"/>
          <w:szCs w:val="20"/>
        </w:rPr>
        <w:t>outcomes(</w:t>
      </w:r>
      <w:proofErr w:type="gramEnd"/>
      <w:r>
        <w:rPr>
          <w:rFonts w:ascii="Times New Roman" w:eastAsia="Times New Roman" w:hAnsi="Times New Roman" w:cs="Times New Roman"/>
          <w:sz w:val="20"/>
          <w:szCs w:val="20"/>
        </w:rPr>
        <w:t>usually select primary outcome) using BOLD data 2) Applying the model to stratify patients within the LESS trial and examine risk-based variation in treatment effects within each risk strata</w:t>
      </w:r>
    </w:p>
    <w:p w:rsidR="005C3EED" w:rsidRDefault="005C3EED">
      <w:pPr>
        <w:spacing w:before="120" w:after="120"/>
        <w:rPr>
          <w:rFonts w:ascii="Times New Roman" w:eastAsia="Times New Roman" w:hAnsi="Times New Roman" w:cs="Times New Roman"/>
          <w:b/>
          <w:sz w:val="28"/>
          <w:szCs w:val="28"/>
        </w:rPr>
      </w:pPr>
    </w:p>
    <w:p w:rsidR="005C3EED" w:rsidRDefault="0014041C">
      <w:pPr>
        <w:spacing w:before="120" w:after="120"/>
        <w:rPr>
          <w:rFonts w:ascii="Times New Roman" w:eastAsia="Times New Roman" w:hAnsi="Times New Roman" w:cs="Times New Roman"/>
          <w:b/>
          <w:sz w:val="28"/>
          <w:szCs w:val="28"/>
        </w:rPr>
      </w:pPr>
      <w:r>
        <w:rPr>
          <w:rFonts w:ascii="Times New Roman" w:eastAsia="Times New Roman" w:hAnsi="Times New Roman" w:cs="Times New Roman"/>
          <w:b/>
          <w:sz w:val="28"/>
          <w:szCs w:val="28"/>
        </w:rPr>
        <w:t>2. Methods</w:t>
      </w:r>
    </w:p>
    <w:p w:rsidR="005C3EED" w:rsidRDefault="005C3EED">
      <w:pPr>
        <w:spacing w:before="120" w:after="120"/>
        <w:rPr>
          <w:rFonts w:ascii="Times New Roman" w:eastAsia="Times New Roman" w:hAnsi="Times New Roman" w:cs="Times New Roman"/>
          <w:b/>
          <w:sz w:val="28"/>
          <w:szCs w:val="28"/>
        </w:rPr>
      </w:pPr>
    </w:p>
    <w:p w:rsidR="005C3EED" w:rsidRDefault="0014041C">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b/>
          <w:sz w:val="26"/>
          <w:szCs w:val="26"/>
        </w:rPr>
        <w:t xml:space="preserve">      2.1 Patients and settings</w:t>
      </w:r>
      <w:r>
        <w:rPr>
          <w:rFonts w:ascii="Times New Roman" w:eastAsia="Times New Roman" w:hAnsi="Times New Roman" w:cs="Times New Roman"/>
          <w:sz w:val="24"/>
          <w:szCs w:val="24"/>
        </w:rPr>
        <w:t xml:space="preserve">    </w:t>
      </w:r>
    </w:p>
    <w:p w:rsidR="005C3EED" w:rsidRDefault="0014041C">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C3EED" w:rsidRDefault="0014041C">
      <w:pPr>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2.1.1 BOLD cohort</w:t>
      </w:r>
    </w:p>
    <w:p w:rsidR="005C3EED" w:rsidRDefault="0014041C">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BOLD cohort includes 5239 patients 65 years or older initiating a new episode of care for back pain from 3 integrated health care systems: Harvard Vanguard (Boston), Henry Ford Health System (Detroit), Kaiser-Permanente (Northern California). The BOLD research team obtained sociodemographic characteristics (gender, race, ethnicity, education, etc.) at baseline and the PROs at baseline and then 3, 6, 12 and 24 months after enrollment, either by mailed </w:t>
      </w:r>
      <w:r>
        <w:rPr>
          <w:rFonts w:ascii="Times New Roman" w:eastAsia="Times New Roman" w:hAnsi="Times New Roman" w:cs="Times New Roman"/>
          <w:sz w:val="24"/>
          <w:szCs w:val="24"/>
        </w:rPr>
        <w:lastRenderedPageBreak/>
        <w:t xml:space="preserve">questionnaire or by telephone follow-up. We considered the RMDQ (Roland-Morris Disability </w:t>
      </w:r>
      <w:proofErr w:type="gramStart"/>
      <w:r>
        <w:rPr>
          <w:rFonts w:ascii="Times New Roman" w:eastAsia="Times New Roman" w:hAnsi="Times New Roman" w:cs="Times New Roman"/>
          <w:sz w:val="24"/>
          <w:szCs w:val="24"/>
        </w:rPr>
        <w:t>Questionnaire)[</w:t>
      </w:r>
      <w:proofErr w:type="gramEnd"/>
      <w:r>
        <w:rPr>
          <w:rFonts w:ascii="Times New Roman" w:eastAsia="Times New Roman" w:hAnsi="Times New Roman" w:cs="Times New Roman"/>
          <w:sz w:val="24"/>
          <w:szCs w:val="24"/>
        </w:rPr>
        <w:t>12] and back pain NRS scores (0–10 numerical rating scale) [13] as the assessment of back-related functional limitations/disability and back-related pain respectively, which were measured at baseline and longitudinally.</w:t>
      </w:r>
    </w:p>
    <w:p w:rsidR="005C3EED" w:rsidRDefault="005C3EED">
      <w:pPr>
        <w:rPr>
          <w:rFonts w:ascii="Times New Roman" w:eastAsia="Times New Roman" w:hAnsi="Times New Roman" w:cs="Times New Roman"/>
          <w:sz w:val="24"/>
          <w:szCs w:val="24"/>
        </w:rPr>
      </w:pP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Electronic Health Records (EHR) data was also available beginning 12 months prior to baseline (the index clinical encounter for back pain) through the baseline assessment. Scores reflecting medical conditions and </w:t>
      </w:r>
      <w:proofErr w:type="gramStart"/>
      <w:r>
        <w:rPr>
          <w:rFonts w:ascii="Times New Roman" w:eastAsia="Times New Roman" w:hAnsi="Times New Roman" w:cs="Times New Roman"/>
          <w:sz w:val="24"/>
          <w:szCs w:val="24"/>
        </w:rPr>
        <w:t>comorbidities[</w:t>
      </w:r>
      <w:proofErr w:type="gramEnd"/>
      <w:r>
        <w:rPr>
          <w:rFonts w:ascii="Times New Roman" w:eastAsia="Times New Roman" w:hAnsi="Times New Roman" w:cs="Times New Roman"/>
          <w:sz w:val="24"/>
          <w:szCs w:val="24"/>
        </w:rPr>
        <w:t xml:space="preserve">14], International Classification of Diseases, Ninth Revision (ICD-9) codes[15] and Current Procedural Terminology (CPT) codes[16] that reflect medical procedures or services performed were included in the EHR dataset.  </w:t>
      </w:r>
    </w:p>
    <w:p w:rsidR="005C3EED" w:rsidRDefault="005C3EED">
      <w:pPr>
        <w:rPr>
          <w:rFonts w:ascii="Times New Roman" w:eastAsia="Times New Roman" w:hAnsi="Times New Roman" w:cs="Times New Roman"/>
          <w:b/>
          <w:sz w:val="24"/>
          <w:szCs w:val="24"/>
        </w:rPr>
      </w:pPr>
    </w:p>
    <w:p w:rsidR="005C3EED" w:rsidRDefault="0014041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2.1.2 LESS trial cohort</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We investigated HTE in the LESS trial. This was a double-blinded, randomized controlled trial of epidural glucocorticoid injections for lumbar spinal stenosis, as compared to control epidural injections using local anesthetic only. Researchers randomly assigned 400 patients who had lumbar central spinal stenosis and moderate-to-severe leg pain and disability to receive epidural injections of glucocorticoids plus lidocaine or lidocaine alone. For the LESS data, we also had their PROs at baseline and 3 weeks after enrollment. EHR data including ICD-9 codes, CPT codes and comorbidity records were also available. Descriptive statistics of EHR data and PROs data in the BOLD and LESS cohort are listed in Table 1 and Table 2 respectively.</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C3EED" w:rsidRDefault="0014041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2.1.3 Inclusion criteria</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primary inclusion and exclusion criteria were based on the baseline RMDQ and back pain NRS scores. There were 696 patients with low levels of functional limitations (RMDQ scores 0-2) in the BOLD cohort but none in the LESS trials.  Similarly, there were 534 patients with low levels of back pain (NRS scores 0-1) in the BOLD cohort while the number was 15 in the LESS trials </w:t>
      </w:r>
      <w:r>
        <w:rPr>
          <w:rFonts w:ascii="Times New Roman" w:eastAsia="Times New Roman" w:hAnsi="Times New Roman" w:cs="Times New Roman"/>
          <w:b/>
          <w:sz w:val="24"/>
          <w:szCs w:val="24"/>
        </w:rPr>
        <w:t>(Fig.11 in appendix</w:t>
      </w:r>
      <w:r>
        <w:rPr>
          <w:rFonts w:ascii="Times New Roman" w:eastAsia="Times New Roman" w:hAnsi="Times New Roman" w:cs="Times New Roman"/>
          <w:sz w:val="24"/>
          <w:szCs w:val="24"/>
        </w:rPr>
        <w:t xml:space="preserve">). Due to this difference, we made adjustments based on the distribution of baseline RMDQ and back pain NRS scores to make the BOLD and LESS samples more comparable, by excluding patients with baseline RMDQ &lt;= 2 and back pain NRS scores &lt; 2 to adjust for such inconsistency. </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C3EED" w:rsidRDefault="0014041C">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Also, more than half of the LESS sample (221 patients) did not have EHR data. To account for this, we made two versions of the LESS trial data. The first version included all patients (LESS-1) and the second version included only those with both PROs and EHR data (LESS-2). We used complete case analysis and excluded those patients in our datasets who had any data missing.</w:t>
      </w:r>
    </w:p>
    <w:p w:rsidR="005C3EED" w:rsidRDefault="005C3EED">
      <w:pPr>
        <w:rPr>
          <w:rFonts w:ascii="Times New Roman" w:eastAsia="Times New Roman" w:hAnsi="Times New Roman" w:cs="Times New Roman"/>
          <w:sz w:val="24"/>
          <w:szCs w:val="24"/>
        </w:rPr>
      </w:pPr>
    </w:p>
    <w:p w:rsidR="005C3EED" w:rsidRDefault="005C3EED">
      <w:pPr>
        <w:ind w:left="720" w:hanging="294"/>
        <w:jc w:val="both"/>
        <w:rPr>
          <w:rFonts w:ascii="Times New Roman" w:eastAsia="Times New Roman" w:hAnsi="Times New Roman" w:cs="Times New Roman"/>
          <w:b/>
          <w:sz w:val="26"/>
          <w:szCs w:val="26"/>
        </w:rPr>
      </w:pPr>
    </w:p>
    <w:p w:rsidR="005C3EED" w:rsidRDefault="005C3EED">
      <w:pPr>
        <w:ind w:left="720" w:hanging="294"/>
        <w:jc w:val="both"/>
        <w:rPr>
          <w:rFonts w:ascii="Times New Roman" w:eastAsia="Times New Roman" w:hAnsi="Times New Roman" w:cs="Times New Roman"/>
          <w:b/>
          <w:sz w:val="26"/>
          <w:szCs w:val="26"/>
        </w:rPr>
      </w:pPr>
    </w:p>
    <w:p w:rsidR="005C3EED" w:rsidRDefault="0014041C">
      <w:pPr>
        <w:ind w:left="720" w:hanging="294"/>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2.2 Measures</w:t>
      </w:r>
    </w:p>
    <w:p w:rsidR="005C3EED" w:rsidRDefault="005C3EED">
      <w:pPr>
        <w:ind w:left="720" w:hanging="294"/>
        <w:jc w:val="both"/>
        <w:rPr>
          <w:rFonts w:ascii="Times New Roman" w:eastAsia="Times New Roman" w:hAnsi="Times New Roman" w:cs="Times New Roman"/>
          <w:b/>
          <w:sz w:val="26"/>
          <w:szCs w:val="26"/>
        </w:rPr>
      </w:pPr>
    </w:p>
    <w:p w:rsidR="005C3EED" w:rsidRDefault="0014041C">
      <w:pPr>
        <w:ind w:left="720" w:hanging="294"/>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2.2.1 Predictor of Interest</w:t>
      </w:r>
    </w:p>
    <w:p w:rsidR="005C3EED" w:rsidRDefault="005C3EED">
      <w:pPr>
        <w:ind w:left="720" w:hanging="294"/>
        <w:jc w:val="both"/>
        <w:rPr>
          <w:rFonts w:ascii="Times New Roman" w:eastAsia="Times New Roman" w:hAnsi="Times New Roman" w:cs="Times New Roman"/>
          <w:i/>
          <w:sz w:val="26"/>
          <w:szCs w:val="26"/>
        </w:rPr>
      </w:pP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We chose baseline characteristics from the 12-month period prior to the index visit, including PRO and EHR data. All the baseline variables mentioned below were available in both BOLD and LESS. Predictors reflecting sociodemographic from PRO data were age, gender, BMI scores, ethnicity, education, employment status, marital status, having a lawyer involved in current pain or health, smoking status.</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More detailed information about additional variables from PROs and EHR:</w:t>
      </w:r>
    </w:p>
    <w:p w:rsidR="005C3EED" w:rsidRDefault="005C3EED">
      <w:pPr>
        <w:rPr>
          <w:rFonts w:ascii="Times New Roman" w:eastAsia="Times New Roman" w:hAnsi="Times New Roman" w:cs="Times New Roman"/>
          <w:sz w:val="24"/>
          <w:szCs w:val="24"/>
        </w:rPr>
      </w:pPr>
    </w:p>
    <w:p w:rsidR="005C3EED" w:rsidRDefault="0014041C">
      <w:pPr>
        <w:rPr>
          <w:rFonts w:ascii="Times New Roman" w:eastAsia="Times New Roman" w:hAnsi="Times New Roman" w:cs="Times New Roman"/>
          <w:sz w:val="20"/>
          <w:szCs w:val="20"/>
        </w:rPr>
      </w:pPr>
      <w:r>
        <w:rPr>
          <w:rFonts w:ascii="Times New Roman" w:eastAsia="Times New Roman" w:hAnsi="Times New Roman" w:cs="Times New Roman"/>
          <w:b/>
          <w:sz w:val="24"/>
          <w:szCs w:val="24"/>
        </w:rPr>
        <w:t xml:space="preserve">Roland-Morris Disability </w:t>
      </w:r>
      <w:proofErr w:type="gramStart"/>
      <w:r>
        <w:rPr>
          <w:rFonts w:ascii="Times New Roman" w:eastAsia="Times New Roman" w:hAnsi="Times New Roman" w:cs="Times New Roman"/>
          <w:b/>
          <w:sz w:val="24"/>
          <w:szCs w:val="24"/>
        </w:rPr>
        <w:t>Questionnaire(</w:t>
      </w:r>
      <w:proofErr w:type="gramEnd"/>
      <w:r>
        <w:rPr>
          <w:rFonts w:ascii="Times New Roman" w:eastAsia="Times New Roman" w:hAnsi="Times New Roman" w:cs="Times New Roman"/>
          <w:b/>
          <w:sz w:val="24"/>
          <w:szCs w:val="24"/>
        </w:rPr>
        <w:t>RMDQ):</w:t>
      </w:r>
      <w:r>
        <w:rPr>
          <w:rFonts w:ascii="Times New Roman" w:eastAsia="Times New Roman" w:hAnsi="Times New Roman" w:cs="Times New Roman"/>
          <w:sz w:val="24"/>
          <w:szCs w:val="24"/>
        </w:rPr>
        <w:t xml:space="preserve"> 24-item Roland-Morris Disability Questionnaire (RMDQ) modified to specify disability related to either back or leg pain</w:t>
      </w:r>
    </w:p>
    <w:p w:rsidR="005C3EED" w:rsidRDefault="0014041C">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Pain Numerical Rating Scale (NRS):</w:t>
      </w:r>
      <w:r>
        <w:rPr>
          <w:rFonts w:ascii="Times New Roman" w:eastAsia="Times New Roman" w:hAnsi="Times New Roman" w:cs="Times New Roman"/>
          <w:sz w:val="20"/>
          <w:szCs w:val="20"/>
        </w:rPr>
        <w:t xml:space="preserve"> </w:t>
      </w:r>
      <w:r>
        <w:rPr>
          <w:rFonts w:ascii="Times New Roman" w:eastAsia="Times New Roman" w:hAnsi="Times New Roman" w:cs="Times New Roman"/>
          <w:sz w:val="24"/>
          <w:szCs w:val="24"/>
        </w:rPr>
        <w:t>Averaged back pain intensity and averaged leg pain intensity in the past week on 0–10 numerical rating scales</w:t>
      </w:r>
    </w:p>
    <w:p w:rsidR="005C3EED" w:rsidRDefault="0014041C">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Health-related quality of life (</w:t>
      </w:r>
      <w:proofErr w:type="spellStart"/>
      <w:r>
        <w:rPr>
          <w:rFonts w:ascii="Times New Roman" w:eastAsia="Times New Roman" w:hAnsi="Times New Roman" w:cs="Times New Roman"/>
          <w:b/>
          <w:sz w:val="24"/>
          <w:szCs w:val="24"/>
        </w:rPr>
        <w:t>HRQoL</w:t>
      </w:r>
      <w:proofErr w:type="spellEnd"/>
      <w:r>
        <w:rPr>
          <w:rFonts w:ascii="Times New Roman" w:eastAsia="Times New Roman" w:hAnsi="Times New Roman" w:cs="Times New Roman"/>
          <w:b/>
          <w:sz w:val="24"/>
          <w:szCs w:val="24"/>
        </w:rPr>
        <w:t>):</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4"/>
          <w:szCs w:val="24"/>
        </w:rPr>
        <w:t>European Quality of Life 5 Dimension (EQ5D)[17], including both the quality of life index (0–1, with 0 being death and 1 being perfect health) (European Quality of Life 5 Dimension Index [EQ5D-Index]) and the visual analog scale (0-100, with 0 being “a health state worse than death” and 100 being “perfect health”) (European Quality of Life 5 Dimension Visual Analog Scale [EQ5D-VAS])</w:t>
      </w:r>
    </w:p>
    <w:p w:rsidR="005C3EED" w:rsidRDefault="0014041C">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Brief Pain Inventory score: </w:t>
      </w:r>
      <w:r>
        <w:rPr>
          <w:rFonts w:ascii="Times New Roman" w:eastAsia="Times New Roman" w:hAnsi="Times New Roman" w:cs="Times New Roman"/>
          <w:sz w:val="24"/>
          <w:szCs w:val="24"/>
        </w:rPr>
        <w:t xml:space="preserve">The validated Brief Pain Inventory (BPI) Interference scale [18] measures pain interference with activities .The scale consists of 7 ratings (0–10) of how much back pain interferes with the following: gen- </w:t>
      </w:r>
      <w:proofErr w:type="spellStart"/>
      <w:r>
        <w:rPr>
          <w:rFonts w:ascii="Times New Roman" w:eastAsia="Times New Roman" w:hAnsi="Times New Roman" w:cs="Times New Roman"/>
          <w:sz w:val="24"/>
          <w:szCs w:val="24"/>
        </w:rPr>
        <w:t>eral</w:t>
      </w:r>
      <w:proofErr w:type="spellEnd"/>
      <w:r>
        <w:rPr>
          <w:rFonts w:ascii="Times New Roman" w:eastAsia="Times New Roman" w:hAnsi="Times New Roman" w:cs="Times New Roman"/>
          <w:sz w:val="24"/>
          <w:szCs w:val="24"/>
        </w:rPr>
        <w:t xml:space="preserve"> activity, mood, ability to walk, normal work, </w:t>
      </w:r>
      <w:proofErr w:type="spellStart"/>
      <w:r>
        <w:rPr>
          <w:rFonts w:ascii="Times New Roman" w:eastAsia="Times New Roman" w:hAnsi="Times New Roman" w:cs="Times New Roman"/>
          <w:sz w:val="24"/>
          <w:szCs w:val="24"/>
        </w:rPr>
        <w:t>rela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tions</w:t>
      </w:r>
      <w:proofErr w:type="spellEnd"/>
      <w:r>
        <w:rPr>
          <w:rFonts w:ascii="Times New Roman" w:eastAsia="Times New Roman" w:hAnsi="Times New Roman" w:cs="Times New Roman"/>
          <w:sz w:val="24"/>
          <w:szCs w:val="24"/>
        </w:rPr>
        <w:t xml:space="preserve"> with other people, sleep and enjoyment of life.</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Falls:</w:t>
      </w:r>
      <w:r>
        <w:rPr>
          <w:rFonts w:ascii="Times New Roman" w:eastAsia="Times New Roman" w:hAnsi="Times New Roman" w:cs="Times New Roman"/>
          <w:sz w:val="24"/>
          <w:szCs w:val="24"/>
        </w:rPr>
        <w:t xml:space="preserve"> Number of falls in the past 3 weeks and how many resulted in injury, from the Behavioral Risk Factor Surveillance System (BRFSS) survey [19].</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Psychological distress</w:t>
      </w:r>
      <w:r>
        <w:rPr>
          <w:rFonts w:ascii="Times New Roman" w:eastAsia="Times New Roman" w:hAnsi="Times New Roman" w:cs="Times New Roman"/>
          <w:sz w:val="24"/>
          <w:szCs w:val="24"/>
        </w:rPr>
        <w:t xml:space="preserve">: The Patient Health Questionnaire-4 (PHQ-4) measure of anxiety and depressive symptoms [20]. </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Confidence from patients</w:t>
      </w:r>
      <w:r>
        <w:rPr>
          <w:rFonts w:ascii="Times New Roman" w:eastAsia="Times New Roman" w:hAnsi="Times New Roman" w:cs="Times New Roman"/>
          <w:sz w:val="24"/>
          <w:szCs w:val="24"/>
        </w:rPr>
        <w:t>: Patients rated their confidence that their back and/or leg pain would be completely gone or much better in 3 months on a scale from 0 = ‘not at all confident’ to 10 = ‘extremely confident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21-22].</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Body mass index (BMI)</w:t>
      </w:r>
      <w:r>
        <w:rPr>
          <w:rFonts w:ascii="Times New Roman" w:eastAsia="Times New Roman" w:hAnsi="Times New Roman" w:cs="Times New Roman"/>
          <w:sz w:val="24"/>
          <w:szCs w:val="24"/>
        </w:rPr>
        <w:t>: We calculated BMI using height and weight at baseline from the EHR data.</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Quan comorbidity score: </w:t>
      </w:r>
      <w:r>
        <w:rPr>
          <w:rFonts w:ascii="Times New Roman" w:eastAsia="Times New Roman" w:hAnsi="Times New Roman" w:cs="Times New Roman"/>
          <w:sz w:val="24"/>
          <w:szCs w:val="24"/>
        </w:rPr>
        <w:t>We calculated this score using EHR data for the 12 months before the index visit.</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Baseline diagnosis:</w:t>
      </w:r>
      <w:r>
        <w:rPr>
          <w:rFonts w:ascii="Times New Roman" w:eastAsia="Times New Roman" w:hAnsi="Times New Roman" w:cs="Times New Roman"/>
          <w:sz w:val="24"/>
          <w:szCs w:val="24"/>
        </w:rPr>
        <w:t xml:space="preserve"> We used ICD-9-CM codes to categorize the patient’s back pain diagnosis into one of the following categories: (1) back pain only, (2) back and leg pain, (3) spinal stenosis, or (4) other.</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Current procedure terminology</w:t>
      </w:r>
      <w:r>
        <w:rPr>
          <w:rFonts w:ascii="Times New Roman" w:eastAsia="Times New Roman" w:hAnsi="Times New Roman" w:cs="Times New Roman"/>
          <w:sz w:val="24"/>
          <w:szCs w:val="24"/>
        </w:rPr>
        <w:t xml:space="preserve">: Using Current Procedural Ter- </w:t>
      </w:r>
      <w:proofErr w:type="spellStart"/>
      <w:r>
        <w:rPr>
          <w:rFonts w:ascii="Times New Roman" w:eastAsia="Times New Roman" w:hAnsi="Times New Roman" w:cs="Times New Roman"/>
          <w:sz w:val="24"/>
          <w:szCs w:val="24"/>
        </w:rPr>
        <w:t>minology</w:t>
      </w:r>
      <w:proofErr w:type="spellEnd"/>
      <w:r>
        <w:rPr>
          <w:rFonts w:ascii="Times New Roman" w:eastAsia="Times New Roman" w:hAnsi="Times New Roman" w:cs="Times New Roman"/>
          <w:sz w:val="24"/>
          <w:szCs w:val="24"/>
        </w:rPr>
        <w:t xml:space="preserve"> (CPT) code and ICD-9-CM diagnosis code data , we assessed whether certain spine-related interventions  occurred between the index visit and  12 months earlier by dividing back pain diagnostics and treatments into four categories (1) manual treatments, (2) diagnostic imaging, (3) injection treatments, or (4) spine surgery[23].</w:t>
      </w:r>
    </w:p>
    <w:p w:rsidR="005C3EED" w:rsidRDefault="005C3EED">
      <w:pPr>
        <w:rPr>
          <w:rFonts w:ascii="Times New Roman" w:eastAsia="Times New Roman" w:hAnsi="Times New Roman" w:cs="Times New Roman"/>
          <w:sz w:val="24"/>
          <w:szCs w:val="24"/>
        </w:rPr>
      </w:pPr>
    </w:p>
    <w:p w:rsidR="005C3EED" w:rsidRDefault="005C3EED">
      <w:pPr>
        <w:rPr>
          <w:rFonts w:ascii="Times New Roman" w:eastAsia="Times New Roman" w:hAnsi="Times New Roman" w:cs="Times New Roman"/>
          <w:sz w:val="24"/>
          <w:szCs w:val="24"/>
        </w:rPr>
      </w:pPr>
    </w:p>
    <w:p w:rsidR="005C3EED" w:rsidRDefault="0014041C">
      <w:pPr>
        <w:pBdr>
          <w:top w:val="nil"/>
          <w:left w:val="nil"/>
          <w:bottom w:val="nil"/>
          <w:right w:val="nil"/>
          <w:between w:val="nil"/>
        </w:pBdr>
        <w:ind w:left="720" w:hanging="294"/>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2.2.2 Outcome variables</w:t>
      </w:r>
    </w:p>
    <w:p w:rsidR="005C3EED" w:rsidRDefault="005C3EED">
      <w:pPr>
        <w:pBdr>
          <w:top w:val="nil"/>
          <w:left w:val="nil"/>
          <w:bottom w:val="nil"/>
          <w:right w:val="nil"/>
          <w:between w:val="nil"/>
        </w:pBdr>
        <w:ind w:left="720" w:hanging="294"/>
        <w:jc w:val="both"/>
        <w:rPr>
          <w:rFonts w:ascii="Times New Roman" w:eastAsia="Times New Roman" w:hAnsi="Times New Roman" w:cs="Times New Roman"/>
          <w:i/>
          <w:sz w:val="26"/>
          <w:szCs w:val="26"/>
        </w:rPr>
      </w:pPr>
    </w:p>
    <w:p w:rsidR="005C3EED" w:rsidRDefault="0014041C">
      <w:pPr>
        <w:pBdr>
          <w:top w:val="nil"/>
          <w:left w:val="nil"/>
          <w:bottom w:val="nil"/>
          <w:right w:val="nil"/>
          <w:between w:val="nil"/>
        </w:pBd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Aim1: Develop Risk Scores in BOLD</w:t>
      </w:r>
    </w:p>
    <w:p w:rsidR="005C3EED" w:rsidRDefault="0014041C">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 outcome</w:t>
      </w:r>
      <w:r>
        <w:rPr>
          <w:rFonts w:ascii="Times New Roman" w:eastAsia="Times New Roman" w:hAnsi="Times New Roman" w:cs="Times New Roman"/>
          <w:sz w:val="24"/>
          <w:szCs w:val="24"/>
        </w:rPr>
        <w:t>: 3-month RMDQ (continuous variable)</w:t>
      </w:r>
    </w:p>
    <w:p w:rsidR="005C3EED" w:rsidRDefault="0014041C">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b/>
          <w:sz w:val="24"/>
          <w:szCs w:val="24"/>
        </w:rPr>
        <w:t>Secondary outcomes</w:t>
      </w:r>
      <w:r>
        <w:rPr>
          <w:rFonts w:ascii="Times New Roman" w:eastAsia="Times New Roman" w:hAnsi="Times New Roman" w:cs="Times New Roman"/>
          <w:sz w:val="24"/>
          <w:szCs w:val="24"/>
        </w:rPr>
        <w:t>: 3-month NRS back pain (continuous variable)</w:t>
      </w:r>
    </w:p>
    <w:p w:rsidR="005C3EED" w:rsidRDefault="005C3EED">
      <w:pPr>
        <w:pBdr>
          <w:top w:val="nil"/>
          <w:left w:val="nil"/>
          <w:bottom w:val="nil"/>
          <w:right w:val="nil"/>
          <w:between w:val="nil"/>
        </w:pBdr>
        <w:rPr>
          <w:rFonts w:ascii="Times New Roman" w:eastAsia="Times New Roman" w:hAnsi="Times New Roman" w:cs="Times New Roman"/>
          <w:sz w:val="24"/>
          <w:szCs w:val="24"/>
        </w:rPr>
      </w:pPr>
    </w:p>
    <w:p w:rsidR="005C3EED" w:rsidRDefault="0014041C">
      <w:pPr>
        <w:pBdr>
          <w:top w:val="nil"/>
          <w:left w:val="nil"/>
          <w:bottom w:val="nil"/>
          <w:right w:val="nil"/>
          <w:between w:val="nil"/>
        </w:pBd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Aim 2: HTE analysis in LESS</w:t>
      </w:r>
    </w:p>
    <w:p w:rsidR="005C3EED" w:rsidRDefault="0014041C">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Outcome: </w:t>
      </w:r>
      <w:r>
        <w:rPr>
          <w:rFonts w:ascii="Times New Roman" w:eastAsia="Times New Roman" w:hAnsi="Times New Roman" w:cs="Times New Roman"/>
          <w:sz w:val="24"/>
          <w:szCs w:val="24"/>
        </w:rPr>
        <w:t xml:space="preserve">1. Actual 6-week RMDQ; 2. Actual 6-week back pain NRS; </w:t>
      </w:r>
    </w:p>
    <w:p w:rsidR="005C3EED" w:rsidRDefault="005C3EED">
      <w:pPr>
        <w:pBdr>
          <w:top w:val="nil"/>
          <w:left w:val="nil"/>
          <w:bottom w:val="nil"/>
          <w:right w:val="nil"/>
          <w:between w:val="nil"/>
        </w:pBdr>
        <w:rPr>
          <w:rFonts w:ascii="Times New Roman" w:eastAsia="Times New Roman" w:hAnsi="Times New Roman" w:cs="Times New Roman"/>
          <w:sz w:val="24"/>
          <w:szCs w:val="24"/>
        </w:rPr>
      </w:pPr>
    </w:p>
    <w:p w:rsidR="005C3EED" w:rsidRDefault="0014041C">
      <w:pPr>
        <w:ind w:left="720" w:hanging="294"/>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2.3 Statistical analysis</w:t>
      </w:r>
    </w:p>
    <w:p w:rsidR="005C3EED" w:rsidRDefault="0014041C">
      <w:pPr>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i/>
          <w:sz w:val="24"/>
          <w:szCs w:val="24"/>
        </w:rPr>
        <w:t>2.3.1 Aim 1: Methods for building the predictive model</w:t>
      </w:r>
    </w:p>
    <w:p w:rsidR="005C3EED" w:rsidRDefault="005C3EED">
      <w:pPr>
        <w:rPr>
          <w:rFonts w:ascii="Times New Roman" w:eastAsia="Times New Roman" w:hAnsi="Times New Roman" w:cs="Times New Roman"/>
          <w:sz w:val="24"/>
          <w:szCs w:val="24"/>
        </w:rPr>
      </w:pP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We utilized the BOLD cohort to develop multivariable regression models that predict the risk of the outcome.  Our primary outcome was the 3-month RMDQ (continuous variable). We developed predictive models using the least absolute shrinkage and selection (LASSO) regression method, a machine learning statistical model that penalizes the absolute value of the model coefficients. It selected a reduced set of the known covariates for use in a model.</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Three sequential LASSO models were constructed in our analysis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Table 1</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for each outcome: The candidate variables for Model 1 (the “baseline model</w:t>
      </w:r>
      <w:proofErr w:type="gramStart"/>
      <w:r>
        <w:rPr>
          <w:rFonts w:ascii="Times New Roman" w:eastAsia="Times New Roman" w:hAnsi="Times New Roman" w:cs="Times New Roman"/>
          <w:sz w:val="24"/>
          <w:szCs w:val="24"/>
        </w:rPr>
        <w:t>”</w:t>
      </w:r>
      <w:r>
        <w:rPr>
          <w:sz w:val="16"/>
          <w:szCs w:val="16"/>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were the baseline variables including socio-demographics and baseline levels for pain, disability, and several other measures (</w:t>
      </w:r>
      <w:r>
        <w:rPr>
          <w:rFonts w:ascii="Times New Roman" w:eastAsia="Times New Roman" w:hAnsi="Times New Roman" w:cs="Times New Roman"/>
          <w:b/>
          <w:sz w:val="24"/>
          <w:szCs w:val="24"/>
        </w:rPr>
        <w:t>Table 3</w:t>
      </w:r>
      <w:r>
        <w:rPr>
          <w:rFonts w:ascii="Times New Roman" w:eastAsia="Times New Roman" w:hAnsi="Times New Roman" w:cs="Times New Roman"/>
          <w:sz w:val="24"/>
          <w:szCs w:val="24"/>
        </w:rPr>
        <w:t>).</w:t>
      </w:r>
    </w:p>
    <w:p w:rsidR="005C3EED" w:rsidRDefault="005C3EED">
      <w:pPr>
        <w:rPr>
          <w:rFonts w:ascii="Times New Roman" w:eastAsia="Times New Roman" w:hAnsi="Times New Roman" w:cs="Times New Roman"/>
          <w:sz w:val="24"/>
          <w:szCs w:val="24"/>
        </w:rPr>
      </w:pP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candidate variables for Model 2 (the “full model”) were all the Model 1 variables plus baseline spine-related diagnostic and therapeutic interventions (ICD-9 codes and CPT codes </w:t>
      </w:r>
      <w:r>
        <w:rPr>
          <w:rFonts w:ascii="Times New Roman" w:eastAsia="Times New Roman" w:hAnsi="Times New Roman" w:cs="Times New Roman"/>
          <w:sz w:val="24"/>
          <w:szCs w:val="24"/>
        </w:rPr>
        <w:lastRenderedPageBreak/>
        <w:t>respectively), categorical Quan comorbidity, and study sites. Finally, the candidate variables for Model 3 (the “refined full model”) included the Model 1 variables plus ICD-9 code, study sites, more detailed categorization of CPT code and comorbidities.</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Constructing the above three sequential models helped us to examine the tradeoff between performance and broad applicability. First, we aimed to build a more broadly applicable prediction model to be applied to LESS-1 (Model 1). Second, we were also interested in building a less broadly applicable model but using more variables provided in LESS-2, for which we developed Model 2 and Model 3. We then compared the prediction performance of these three models on the same subset LESS-2. </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We first split the whole BOLD cohort into a training set and a testing set with a 4:1 ratio</w:t>
      </w:r>
      <w:r>
        <w:rPr>
          <w:rFonts w:ascii="宋体" w:eastAsia="宋体" w:hAnsi="宋体" w:cs="宋体"/>
          <w:sz w:val="24"/>
          <w:szCs w:val="24"/>
        </w:rPr>
        <w:t xml:space="preserve">. </w:t>
      </w:r>
      <w:r>
        <w:rPr>
          <w:rFonts w:ascii="Times New Roman" w:eastAsia="Times New Roman" w:hAnsi="Times New Roman" w:cs="Times New Roman"/>
          <w:sz w:val="24"/>
          <w:szCs w:val="24"/>
        </w:rPr>
        <w:t>Then, we did a 5-fold cross validation on the training set to choose the best model in this step, based on the highest R</w:t>
      </w:r>
      <w:r>
        <w:rPr>
          <w:vertAlign w:val="superscript"/>
        </w:rPr>
        <w:t>2</w:t>
      </w:r>
      <w:r>
        <w:rPr>
          <w:rFonts w:ascii="Times New Roman" w:eastAsia="Times New Roman" w:hAnsi="Times New Roman" w:cs="Times New Roman"/>
          <w:sz w:val="24"/>
          <w:szCs w:val="24"/>
        </w:rPr>
        <w:t xml:space="preserve">. We then evaluated the performance of the selected models on the testing set in BOLD and also on the subset of LESS data in which patients received the control </w:t>
      </w:r>
      <w:proofErr w:type="gramStart"/>
      <w:r>
        <w:rPr>
          <w:rFonts w:ascii="Times New Roman" w:eastAsia="Times New Roman" w:hAnsi="Times New Roman" w:cs="Times New Roman"/>
          <w:sz w:val="24"/>
          <w:szCs w:val="24"/>
        </w:rPr>
        <w:t>treatment</w:t>
      </w:r>
      <w:r>
        <w:rPr>
          <w:sz w:val="16"/>
          <w:szCs w:val="16"/>
        </w:rPr>
        <w:t xml:space="preserve"> </w:t>
      </w:r>
      <w:r>
        <w:rPr>
          <w:rFonts w:ascii="Times New Roman" w:eastAsia="Times New Roman" w:hAnsi="Times New Roman" w:cs="Times New Roman"/>
          <w:sz w:val="24"/>
          <w:szCs w:val="24"/>
        </w:rPr>
        <w:t xml:space="preserve"> in</w:t>
      </w:r>
      <w:proofErr w:type="gramEnd"/>
      <w:r>
        <w:rPr>
          <w:rFonts w:ascii="Times New Roman" w:eastAsia="Times New Roman" w:hAnsi="Times New Roman" w:cs="Times New Roman"/>
          <w:sz w:val="24"/>
          <w:szCs w:val="24"/>
        </w:rPr>
        <w:t xml:space="preserve"> order to understand the performance of the three models across the BOLD and LESS samples. We tested Model 1 on both LESS-1 and LESS-2</w:t>
      </w:r>
      <w:r>
        <w:rPr>
          <w:rFonts w:ascii="宋体" w:eastAsia="宋体" w:hAnsi="宋体" w:cs="宋体"/>
          <w:sz w:val="24"/>
          <w:szCs w:val="24"/>
        </w:rPr>
        <w:t xml:space="preserve">. </w:t>
      </w:r>
      <w:r>
        <w:rPr>
          <w:rFonts w:ascii="Times New Roman" w:eastAsia="Times New Roman" w:hAnsi="Times New Roman" w:cs="Times New Roman"/>
          <w:sz w:val="24"/>
          <w:szCs w:val="24"/>
        </w:rPr>
        <w:t>For Model 2 and Model 3, we tested them only on LESS-2.</w:t>
      </w:r>
    </w:p>
    <w:p w:rsidR="005C3EED" w:rsidRDefault="005C3EED">
      <w:pPr>
        <w:rPr>
          <w:rFonts w:ascii="Times New Roman" w:eastAsia="Times New Roman" w:hAnsi="Times New Roman" w:cs="Times New Roman"/>
          <w:sz w:val="24"/>
          <w:szCs w:val="24"/>
        </w:rPr>
      </w:pPr>
    </w:p>
    <w:p w:rsidR="005C3EED" w:rsidRDefault="0014041C">
      <w:pPr>
        <w:rPr>
          <w:rFonts w:ascii="Times New Roman" w:eastAsia="Times New Roman" w:hAnsi="Times New Roman" w:cs="Times New Roman"/>
        </w:rPr>
      </w:pPr>
      <w:r>
        <w:rPr>
          <w:rFonts w:ascii="Times New Roman" w:eastAsia="Times New Roman" w:hAnsi="Times New Roman" w:cs="Times New Roman"/>
        </w:rPr>
        <w:t>Table 1. Three sequential models. Tables include variables, data source, and the number of patients in LESS with control treatment for testing.</w:t>
      </w:r>
    </w:p>
    <w:tbl>
      <w:tblPr>
        <w:tblStyle w:val="a5"/>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20"/>
        <w:gridCol w:w="3525"/>
        <w:gridCol w:w="1800"/>
        <w:gridCol w:w="2115"/>
      </w:tblGrid>
      <w:tr w:rsidR="005C3EED">
        <w:trPr>
          <w:trHeight w:val="645"/>
        </w:trPr>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C3EED" w:rsidRDefault="0014041C">
            <w:pPr>
              <w:rPr>
                <w:sz w:val="20"/>
                <w:szCs w:val="20"/>
              </w:rPr>
            </w:pPr>
            <w:r>
              <w:rPr>
                <w:sz w:val="20"/>
                <w:szCs w:val="20"/>
              </w:rPr>
              <w:t>Model</w:t>
            </w:r>
          </w:p>
        </w:tc>
        <w:tc>
          <w:tcPr>
            <w:tcW w:w="35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C3EED" w:rsidRDefault="0014041C">
            <w:pPr>
              <w:rPr>
                <w:sz w:val="20"/>
                <w:szCs w:val="20"/>
              </w:rPr>
            </w:pPr>
            <w:r>
              <w:rPr>
                <w:sz w:val="20"/>
                <w:szCs w:val="20"/>
              </w:rPr>
              <w:t>Variables</w:t>
            </w:r>
          </w:p>
        </w:tc>
        <w:tc>
          <w:tcPr>
            <w:tcW w:w="18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C3EED" w:rsidRDefault="0014041C">
            <w:pPr>
              <w:rPr>
                <w:sz w:val="20"/>
                <w:szCs w:val="20"/>
              </w:rPr>
            </w:pPr>
            <w:r>
              <w:rPr>
                <w:sz w:val="20"/>
                <w:szCs w:val="20"/>
              </w:rPr>
              <w:t>Data Source</w:t>
            </w:r>
          </w:p>
        </w:tc>
        <w:tc>
          <w:tcPr>
            <w:tcW w:w="21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C3EED" w:rsidRDefault="0014041C">
            <w:pPr>
              <w:rPr>
                <w:sz w:val="20"/>
                <w:szCs w:val="20"/>
              </w:rPr>
            </w:pPr>
            <w:r>
              <w:rPr>
                <w:sz w:val="20"/>
                <w:szCs w:val="20"/>
              </w:rPr>
              <w:t>Testing in LESS with control treatment</w:t>
            </w:r>
          </w:p>
        </w:tc>
      </w:tr>
      <w:tr w:rsidR="005C3EED">
        <w:trPr>
          <w:trHeight w:val="960"/>
        </w:trPr>
        <w:tc>
          <w:tcPr>
            <w:tcW w:w="1920"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C3EED" w:rsidRDefault="0014041C">
            <w:pPr>
              <w:rPr>
                <w:b/>
                <w:sz w:val="20"/>
                <w:szCs w:val="20"/>
              </w:rPr>
            </w:pPr>
            <w:r>
              <w:rPr>
                <w:b/>
                <w:sz w:val="20"/>
                <w:szCs w:val="20"/>
              </w:rPr>
              <w:t>1. Baseline Model</w:t>
            </w:r>
          </w:p>
        </w:tc>
        <w:tc>
          <w:tcPr>
            <w:tcW w:w="3525" w:type="dxa"/>
            <w:vMerge w:val="restart"/>
            <w:tcBorders>
              <w:top w:val="nil"/>
              <w:left w:val="nil"/>
              <w:bottom w:val="single" w:sz="8" w:space="0" w:color="000000"/>
              <w:right w:val="single" w:sz="8" w:space="0" w:color="000000"/>
            </w:tcBorders>
            <w:tcMar>
              <w:top w:w="100" w:type="dxa"/>
              <w:left w:w="100" w:type="dxa"/>
              <w:bottom w:w="100" w:type="dxa"/>
              <w:right w:w="100" w:type="dxa"/>
            </w:tcMar>
          </w:tcPr>
          <w:p w:rsidR="005C3EED" w:rsidRDefault="0014041C">
            <w:pPr>
              <w:rPr>
                <w:sz w:val="20"/>
                <w:szCs w:val="20"/>
              </w:rPr>
            </w:pPr>
            <w:r>
              <w:rPr>
                <w:sz w:val="20"/>
                <w:szCs w:val="20"/>
              </w:rPr>
              <w:t xml:space="preserve">age, sex, </w:t>
            </w:r>
            <w:proofErr w:type="spellStart"/>
            <w:r>
              <w:rPr>
                <w:sz w:val="20"/>
                <w:szCs w:val="20"/>
              </w:rPr>
              <w:t>hispanic</w:t>
            </w:r>
            <w:proofErr w:type="spellEnd"/>
            <w:r>
              <w:rPr>
                <w:sz w:val="20"/>
                <w:szCs w:val="20"/>
              </w:rPr>
              <w:t xml:space="preserve">, education, marital, employment, lawyer, smoking status, falls, bpi, painexpect3mo, RMDQ at baseline, NRS back pain at baseline, NRS leg pain at baseline, PHQ-4, BMI, </w:t>
            </w:r>
            <w:proofErr w:type="spellStart"/>
            <w:r>
              <w:rPr>
                <w:sz w:val="20"/>
                <w:szCs w:val="20"/>
              </w:rPr>
              <w:t>EQ_VAS_baseline</w:t>
            </w:r>
            <w:proofErr w:type="spellEnd"/>
            <w:r>
              <w:rPr>
                <w:sz w:val="20"/>
                <w:szCs w:val="20"/>
              </w:rPr>
              <w:t xml:space="preserve">, </w:t>
            </w:r>
            <w:proofErr w:type="spellStart"/>
            <w:r>
              <w:rPr>
                <w:sz w:val="20"/>
                <w:szCs w:val="20"/>
              </w:rPr>
              <w:t>EQ_index_baseline</w:t>
            </w:r>
            <w:proofErr w:type="spellEnd"/>
          </w:p>
        </w:tc>
        <w:tc>
          <w:tcPr>
            <w:tcW w:w="1800" w:type="dxa"/>
            <w:vMerge w:val="restart"/>
            <w:tcBorders>
              <w:top w:val="nil"/>
              <w:left w:val="nil"/>
              <w:bottom w:val="single" w:sz="8" w:space="0" w:color="000000"/>
              <w:right w:val="single" w:sz="8" w:space="0" w:color="000000"/>
            </w:tcBorders>
            <w:tcMar>
              <w:top w:w="100" w:type="dxa"/>
              <w:left w:w="100" w:type="dxa"/>
              <w:bottom w:w="100" w:type="dxa"/>
              <w:right w:w="100" w:type="dxa"/>
            </w:tcMar>
          </w:tcPr>
          <w:p w:rsidR="005C3EED" w:rsidRDefault="0014041C">
            <w:pPr>
              <w:rPr>
                <w:sz w:val="20"/>
                <w:szCs w:val="20"/>
              </w:rPr>
            </w:pPr>
            <w:r>
              <w:rPr>
                <w:sz w:val="20"/>
                <w:szCs w:val="20"/>
              </w:rPr>
              <w:t>PRO</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5C3EED" w:rsidRDefault="0014041C">
            <w:pPr>
              <w:rPr>
                <w:sz w:val="20"/>
                <w:szCs w:val="20"/>
              </w:rPr>
            </w:pPr>
            <w:r>
              <w:rPr>
                <w:sz w:val="20"/>
                <w:szCs w:val="20"/>
              </w:rPr>
              <w:t>LESS-1</w:t>
            </w:r>
          </w:p>
        </w:tc>
      </w:tr>
      <w:tr w:rsidR="005C3EED">
        <w:trPr>
          <w:trHeight w:val="1035"/>
        </w:trPr>
        <w:tc>
          <w:tcPr>
            <w:tcW w:w="1920"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5C3EED" w:rsidRDefault="005C3EED">
            <w:pPr>
              <w:rPr>
                <w:rFonts w:ascii="Times New Roman" w:eastAsia="Times New Roman" w:hAnsi="Times New Roman" w:cs="Times New Roman"/>
                <w:sz w:val="24"/>
                <w:szCs w:val="24"/>
              </w:rPr>
            </w:pPr>
          </w:p>
        </w:tc>
        <w:tc>
          <w:tcPr>
            <w:tcW w:w="3525"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5C3EED" w:rsidRDefault="005C3EED">
            <w:pPr>
              <w:widowControl w:val="0"/>
              <w:pBdr>
                <w:top w:val="nil"/>
                <w:left w:val="nil"/>
                <w:bottom w:val="nil"/>
                <w:right w:val="nil"/>
                <w:between w:val="nil"/>
              </w:pBdr>
              <w:rPr>
                <w:rFonts w:ascii="Times New Roman" w:eastAsia="Times New Roman" w:hAnsi="Times New Roman" w:cs="Times New Roman"/>
                <w:sz w:val="24"/>
                <w:szCs w:val="24"/>
              </w:rPr>
            </w:pPr>
          </w:p>
        </w:tc>
        <w:tc>
          <w:tcPr>
            <w:tcW w:w="1800"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5C3EED" w:rsidRDefault="005C3EED">
            <w:pPr>
              <w:widowControl w:val="0"/>
              <w:pBdr>
                <w:top w:val="nil"/>
                <w:left w:val="nil"/>
                <w:bottom w:val="nil"/>
                <w:right w:val="nil"/>
                <w:between w:val="nil"/>
              </w:pBdr>
              <w:rPr>
                <w:rFonts w:ascii="Times New Roman" w:eastAsia="Times New Roman" w:hAnsi="Times New Roman" w:cs="Times New Roman"/>
                <w:sz w:val="24"/>
                <w:szCs w:val="24"/>
              </w:rPr>
            </w:pPr>
          </w:p>
        </w:tc>
        <w:tc>
          <w:tcPr>
            <w:tcW w:w="21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3EED" w:rsidRDefault="0014041C">
            <w:pPr>
              <w:rPr>
                <w:sz w:val="20"/>
                <w:szCs w:val="20"/>
              </w:rPr>
            </w:pPr>
            <w:r>
              <w:rPr>
                <w:sz w:val="20"/>
                <w:szCs w:val="20"/>
              </w:rPr>
              <w:t>LESS-2</w:t>
            </w:r>
          </w:p>
        </w:tc>
      </w:tr>
      <w:tr w:rsidR="005C3EED">
        <w:trPr>
          <w:trHeight w:val="1095"/>
        </w:trPr>
        <w:tc>
          <w:tcPr>
            <w:tcW w:w="19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C3EED" w:rsidRDefault="0014041C">
            <w:pPr>
              <w:rPr>
                <w:b/>
                <w:sz w:val="20"/>
                <w:szCs w:val="20"/>
              </w:rPr>
            </w:pPr>
            <w:r>
              <w:rPr>
                <w:b/>
                <w:sz w:val="20"/>
                <w:szCs w:val="20"/>
              </w:rPr>
              <w:t>2. Full Model</w:t>
            </w:r>
          </w:p>
        </w:tc>
        <w:tc>
          <w:tcPr>
            <w:tcW w:w="35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3EED" w:rsidRDefault="0014041C">
            <w:pPr>
              <w:rPr>
                <w:sz w:val="20"/>
                <w:szCs w:val="20"/>
              </w:rPr>
            </w:pPr>
            <w:r>
              <w:rPr>
                <w:sz w:val="20"/>
                <w:szCs w:val="20"/>
              </w:rPr>
              <w:t xml:space="preserve">Model 1 variables + </w:t>
            </w:r>
            <w:proofErr w:type="spellStart"/>
            <w:r>
              <w:rPr>
                <w:sz w:val="20"/>
                <w:szCs w:val="20"/>
              </w:rPr>
              <w:t>study_site</w:t>
            </w:r>
            <w:proofErr w:type="spellEnd"/>
            <w:r>
              <w:rPr>
                <w:sz w:val="20"/>
                <w:szCs w:val="20"/>
              </w:rPr>
              <w:t xml:space="preserve">, ICD-9 categories, comorbidity categories, CPT categories (manual, spine-image, </w:t>
            </w:r>
            <w:proofErr w:type="spellStart"/>
            <w:r>
              <w:rPr>
                <w:sz w:val="20"/>
                <w:szCs w:val="20"/>
              </w:rPr>
              <w:t>percut</w:t>
            </w:r>
            <w:proofErr w:type="spellEnd"/>
            <w:r>
              <w:rPr>
                <w:sz w:val="20"/>
                <w:szCs w:val="20"/>
              </w:rPr>
              <w:t>, spine-surgery)</w:t>
            </w:r>
          </w:p>
        </w:tc>
        <w:tc>
          <w:tcPr>
            <w:tcW w:w="1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3EED" w:rsidRDefault="0014041C">
            <w:pPr>
              <w:rPr>
                <w:sz w:val="20"/>
                <w:szCs w:val="20"/>
              </w:rPr>
            </w:pPr>
            <w:r>
              <w:rPr>
                <w:sz w:val="20"/>
                <w:szCs w:val="20"/>
              </w:rPr>
              <w:t>PRO+EHR</w:t>
            </w:r>
          </w:p>
        </w:tc>
        <w:tc>
          <w:tcPr>
            <w:tcW w:w="21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3EED" w:rsidRDefault="0014041C">
            <w:pPr>
              <w:rPr>
                <w:sz w:val="20"/>
                <w:szCs w:val="20"/>
              </w:rPr>
            </w:pPr>
            <w:r>
              <w:rPr>
                <w:sz w:val="20"/>
                <w:szCs w:val="20"/>
              </w:rPr>
              <w:t>LESS-2</w:t>
            </w:r>
          </w:p>
          <w:p w:rsidR="005C3EED" w:rsidRDefault="0014041C">
            <w:pPr>
              <w:rPr>
                <w:sz w:val="20"/>
                <w:szCs w:val="20"/>
              </w:rPr>
            </w:pPr>
            <w:r>
              <w:rPr>
                <w:sz w:val="20"/>
                <w:szCs w:val="20"/>
              </w:rPr>
              <w:t xml:space="preserve"> </w:t>
            </w:r>
          </w:p>
        </w:tc>
      </w:tr>
      <w:tr w:rsidR="005C3EED">
        <w:trPr>
          <w:trHeight w:val="870"/>
        </w:trPr>
        <w:tc>
          <w:tcPr>
            <w:tcW w:w="19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C3EED" w:rsidRDefault="0014041C">
            <w:pPr>
              <w:rPr>
                <w:b/>
                <w:sz w:val="20"/>
                <w:szCs w:val="20"/>
              </w:rPr>
            </w:pPr>
            <w:r>
              <w:rPr>
                <w:b/>
                <w:sz w:val="20"/>
                <w:szCs w:val="20"/>
              </w:rPr>
              <w:t>3. Refined Full Model</w:t>
            </w:r>
          </w:p>
        </w:tc>
        <w:tc>
          <w:tcPr>
            <w:tcW w:w="35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3EED" w:rsidRDefault="0014041C">
            <w:pPr>
              <w:rPr>
                <w:sz w:val="20"/>
                <w:szCs w:val="20"/>
              </w:rPr>
            </w:pPr>
            <w:r>
              <w:rPr>
                <w:sz w:val="20"/>
                <w:szCs w:val="20"/>
              </w:rPr>
              <w:t xml:space="preserve">Model 1 variables + </w:t>
            </w:r>
            <w:proofErr w:type="spellStart"/>
            <w:r>
              <w:rPr>
                <w:sz w:val="20"/>
                <w:szCs w:val="20"/>
              </w:rPr>
              <w:t>study_site</w:t>
            </w:r>
            <w:proofErr w:type="spellEnd"/>
            <w:r>
              <w:rPr>
                <w:sz w:val="20"/>
                <w:szCs w:val="20"/>
              </w:rPr>
              <w:t>, ICD-9 categories, refined* comorbidity categories, refined* CPT categories</w:t>
            </w:r>
          </w:p>
        </w:tc>
        <w:tc>
          <w:tcPr>
            <w:tcW w:w="1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3EED" w:rsidRDefault="0014041C">
            <w:pPr>
              <w:rPr>
                <w:sz w:val="20"/>
                <w:szCs w:val="20"/>
              </w:rPr>
            </w:pPr>
            <w:r>
              <w:rPr>
                <w:sz w:val="20"/>
                <w:szCs w:val="20"/>
              </w:rPr>
              <w:t>PRO+EHR</w:t>
            </w:r>
          </w:p>
          <w:p w:rsidR="005C3EED" w:rsidRDefault="0014041C">
            <w:pPr>
              <w:rPr>
                <w:sz w:val="20"/>
                <w:szCs w:val="20"/>
              </w:rPr>
            </w:pPr>
            <w:r>
              <w:rPr>
                <w:sz w:val="20"/>
                <w:szCs w:val="20"/>
              </w:rPr>
              <w:t xml:space="preserve"> </w:t>
            </w:r>
          </w:p>
        </w:tc>
        <w:tc>
          <w:tcPr>
            <w:tcW w:w="21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3EED" w:rsidRDefault="0014041C">
            <w:pPr>
              <w:rPr>
                <w:sz w:val="20"/>
                <w:szCs w:val="20"/>
              </w:rPr>
            </w:pPr>
            <w:r>
              <w:rPr>
                <w:sz w:val="20"/>
                <w:szCs w:val="20"/>
              </w:rPr>
              <w:t>LESS-2</w:t>
            </w:r>
          </w:p>
          <w:p w:rsidR="005C3EED" w:rsidRDefault="0014041C">
            <w:pPr>
              <w:rPr>
                <w:sz w:val="20"/>
                <w:szCs w:val="20"/>
              </w:rPr>
            </w:pPr>
            <w:r>
              <w:rPr>
                <w:sz w:val="20"/>
                <w:szCs w:val="20"/>
              </w:rPr>
              <w:t xml:space="preserve"> </w:t>
            </w:r>
          </w:p>
        </w:tc>
      </w:tr>
    </w:tbl>
    <w:p w:rsidR="005C3EED" w:rsidRDefault="005C3EED">
      <w:pPr>
        <w:rPr>
          <w:rFonts w:ascii="Times New Roman" w:eastAsia="Times New Roman" w:hAnsi="Times New Roman" w:cs="Times New Roman"/>
        </w:rPr>
      </w:pP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*refined: sub-categories</w:t>
      </w:r>
    </w:p>
    <w:p w:rsidR="005C3EED" w:rsidRDefault="005C3EED">
      <w:pPr>
        <w:rPr>
          <w:rFonts w:ascii="Times New Roman" w:eastAsia="Times New Roman" w:hAnsi="Times New Roman" w:cs="Times New Roman"/>
          <w:sz w:val="24"/>
          <w:szCs w:val="24"/>
        </w:rPr>
      </w:pPr>
    </w:p>
    <w:p w:rsidR="005C3EED" w:rsidRDefault="0014041C">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evaluate model prediction for the continuous outcomes, we calculated how well the models explain variations in outcomes using the coefficients of determination (R</w:t>
      </w:r>
      <w:r>
        <w:rPr>
          <w:vertAlign w:val="superscript"/>
        </w:rPr>
        <w:t>2</w:t>
      </w:r>
      <w:r>
        <w:rPr>
          <w:rFonts w:ascii="Times New Roman" w:eastAsia="Times New Roman" w:hAnsi="Times New Roman" w:cs="Times New Roman"/>
          <w:sz w:val="24"/>
          <w:szCs w:val="24"/>
        </w:rPr>
        <w:t>) and mean squared error (MSE). Here the R</w:t>
      </w:r>
      <w:r>
        <w:rPr>
          <w:vertAlign w:val="superscript"/>
        </w:rPr>
        <w:t>2</w:t>
      </w:r>
      <w:r>
        <w:rPr>
          <w:rFonts w:ascii="Times New Roman" w:eastAsia="Times New Roman" w:hAnsi="Times New Roman" w:cs="Times New Roman"/>
          <w:sz w:val="24"/>
          <w:szCs w:val="24"/>
        </w:rPr>
        <w:t xml:space="preserve"> was calculated using the square of Pearson correlation (R). Since one of our main purposes was to derive a risk score and use it to stratify patients by quartiles</w:t>
      </w:r>
      <w:r>
        <w:rPr>
          <w:sz w:val="16"/>
          <w:szCs w:val="16"/>
        </w:rPr>
        <w:t xml:space="preserve"> </w:t>
      </w:r>
      <w:r>
        <w:rPr>
          <w:rFonts w:ascii="Times New Roman" w:eastAsia="Times New Roman" w:hAnsi="Times New Roman" w:cs="Times New Roman"/>
          <w:sz w:val="24"/>
          <w:szCs w:val="24"/>
        </w:rPr>
        <w:t>(rank of risk score) for further treatment effect modeling, we decided to calculate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using the square of Pearson correlation and treated it as our primary criterion for choosing the model. Scatter plots comparing actual RMDQ with predicted RMDQ were also investigated to evaluate modeling performance. Our primary selection of models was based on the R</w:t>
      </w:r>
      <w:r>
        <w:rPr>
          <w:vertAlign w:val="superscript"/>
        </w:rPr>
        <w:t>2</w:t>
      </w:r>
      <w:r>
        <w:rPr>
          <w:rFonts w:ascii="Times New Roman" w:eastAsia="Times New Roman" w:hAnsi="Times New Roman" w:cs="Times New Roman"/>
          <w:sz w:val="24"/>
          <w:szCs w:val="24"/>
        </w:rPr>
        <w:t xml:space="preserve"> in the LESS data with the one having the highest R</w:t>
      </w:r>
      <w:r>
        <w:rPr>
          <w:vertAlign w:val="superscript"/>
        </w:rPr>
        <w:t>2</w:t>
      </w:r>
      <w:r>
        <w:rPr>
          <w:rFonts w:ascii="Times New Roman" w:eastAsia="Times New Roman" w:hAnsi="Times New Roman" w:cs="Times New Roman"/>
          <w:sz w:val="24"/>
          <w:szCs w:val="24"/>
        </w:rPr>
        <w:t xml:space="preserve">. </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2.3.2 Aim2: Treatment Effect Modeling to Identify HTE</w:t>
      </w:r>
    </w:p>
    <w:p w:rsidR="005C3EED" w:rsidRDefault="005C3EED">
      <w:pPr>
        <w:ind w:firstLine="6"/>
        <w:rPr>
          <w:rFonts w:ascii="Times New Roman" w:eastAsia="Times New Roman" w:hAnsi="Times New Roman" w:cs="Times New Roman"/>
          <w:sz w:val="24"/>
          <w:szCs w:val="24"/>
        </w:rPr>
      </w:pP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selecting the model in Aim 1, we applied it in the LESS trial to generate risk scores. We first divided patients into 4 strata using 25%, 50% and 75% quartiles based on their risk scores. Then we evaluated the treatment effects within each </w:t>
      </w:r>
      <w:proofErr w:type="gramStart"/>
      <w:r>
        <w:rPr>
          <w:rFonts w:ascii="Times New Roman" w:eastAsia="Times New Roman" w:hAnsi="Times New Roman" w:cs="Times New Roman"/>
          <w:sz w:val="24"/>
          <w:szCs w:val="24"/>
        </w:rPr>
        <w:t>strata</w:t>
      </w:r>
      <w:proofErr w:type="gramEnd"/>
      <w:r>
        <w:rPr>
          <w:rFonts w:ascii="Times New Roman" w:eastAsia="Times New Roman" w:hAnsi="Times New Roman" w:cs="Times New Roman"/>
          <w:sz w:val="24"/>
          <w:szCs w:val="24"/>
        </w:rPr>
        <w:t xml:space="preserve"> using the model below.</w:t>
      </w:r>
    </w:p>
    <w:p w:rsidR="005C3EED" w:rsidRDefault="005C3EED">
      <w:pPr>
        <w:rPr>
          <w:rFonts w:ascii="Times New Roman" w:eastAsia="Times New Roman" w:hAnsi="Times New Roman" w:cs="Times New Roman"/>
          <w:sz w:val="24"/>
          <w:szCs w:val="24"/>
        </w:rPr>
      </w:pP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576888" cy="37147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576888" cy="371475"/>
                    </a:xfrm>
                    <a:prstGeom prst="rect">
                      <a:avLst/>
                    </a:prstGeom>
                    <a:ln/>
                  </pic:spPr>
                </pic:pic>
              </a:graphicData>
            </a:graphic>
          </wp:inline>
        </w:drawing>
      </w:r>
    </w:p>
    <w:p w:rsidR="005C3EED" w:rsidRDefault="005C3EED">
      <w:pPr>
        <w:rPr>
          <w:rFonts w:ascii="Times New Roman" w:eastAsia="Times New Roman" w:hAnsi="Times New Roman" w:cs="Times New Roman"/>
          <w:sz w:val="24"/>
          <w:szCs w:val="24"/>
        </w:rPr>
      </w:pP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estimated absolute treatment effects for 6-week RMDQ respectively to identify treatment effects. 95% confidence interval and P-value were reported for each stratum. We conducted the Wald test using the robust Huber Sandwich Estimator to evaluate the statistical significance of the interaction term between risk strata and treatment. Such strata-based analysis was for reporting purposes. </w:t>
      </w:r>
    </w:p>
    <w:p w:rsidR="005C3EED" w:rsidRDefault="005C3EED">
      <w:pPr>
        <w:rPr>
          <w:rFonts w:ascii="Times New Roman" w:eastAsia="Times New Roman" w:hAnsi="Times New Roman" w:cs="Times New Roman"/>
          <w:sz w:val="24"/>
          <w:szCs w:val="24"/>
        </w:rPr>
      </w:pP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238750" cy="384083"/>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238750" cy="384083"/>
                    </a:xfrm>
                    <a:prstGeom prst="rect">
                      <a:avLst/>
                    </a:prstGeom>
                    <a:ln/>
                  </pic:spPr>
                </pic:pic>
              </a:graphicData>
            </a:graphic>
          </wp:inline>
        </w:drawing>
      </w:r>
    </w:p>
    <w:p w:rsidR="005C3EED" w:rsidRDefault="005C3EED">
      <w:pPr>
        <w:rPr>
          <w:rFonts w:ascii="Times New Roman" w:eastAsia="Times New Roman" w:hAnsi="Times New Roman" w:cs="Times New Roman"/>
          <w:sz w:val="24"/>
          <w:szCs w:val="24"/>
        </w:rPr>
      </w:pP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primary analysis was to evaluate whether the association between treatment/control and outcome was the same for patients with different risk scores. We used the linear regression below with an interaction term between the continuous risk scores and </w:t>
      </w:r>
      <w:proofErr w:type="spellStart"/>
      <w:proofErr w:type="gramStart"/>
      <w:r>
        <w:rPr>
          <w:rFonts w:ascii="Times New Roman" w:eastAsia="Times New Roman" w:hAnsi="Times New Roman" w:cs="Times New Roman"/>
          <w:sz w:val="24"/>
          <w:szCs w:val="24"/>
        </w:rPr>
        <w:t>treatment.We</w:t>
      </w:r>
      <w:proofErr w:type="spellEnd"/>
      <w:proofErr w:type="gramEnd"/>
      <w:r>
        <w:rPr>
          <w:rFonts w:ascii="Times New Roman" w:eastAsia="Times New Roman" w:hAnsi="Times New Roman" w:cs="Times New Roman"/>
          <w:sz w:val="24"/>
          <w:szCs w:val="24"/>
        </w:rPr>
        <w:t xml:space="preserve"> also conducted a Wald test to evaluate the statistical significance of the interaction term between the linear predictor of risk (continuous risk scores) and treatment. A similar process was used to model 6-week NRS scores.</w:t>
      </w:r>
    </w:p>
    <w:p w:rsidR="005C3EED" w:rsidRDefault="005C3EED">
      <w:pPr>
        <w:pBdr>
          <w:top w:val="nil"/>
          <w:left w:val="nil"/>
          <w:bottom w:val="nil"/>
          <w:right w:val="nil"/>
          <w:between w:val="nil"/>
        </w:pBdr>
        <w:rPr>
          <w:rFonts w:ascii="Times New Roman" w:eastAsia="Times New Roman" w:hAnsi="Times New Roman" w:cs="Times New Roman"/>
          <w:b/>
          <w:sz w:val="26"/>
          <w:szCs w:val="26"/>
        </w:rPr>
      </w:pPr>
    </w:p>
    <w:p w:rsidR="005C3EED" w:rsidRDefault="0014041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 Results</w:t>
      </w:r>
    </w:p>
    <w:p w:rsidR="005C3EED" w:rsidRDefault="005C3EED">
      <w:pPr>
        <w:rPr>
          <w:rFonts w:ascii="Times New Roman" w:eastAsia="Times New Roman" w:hAnsi="Times New Roman" w:cs="Times New Roman"/>
          <w:b/>
          <w:sz w:val="28"/>
          <w:szCs w:val="28"/>
        </w:rPr>
      </w:pPr>
    </w:p>
    <w:p w:rsidR="005C3EED" w:rsidRDefault="0014041C">
      <w:pPr>
        <w:rPr>
          <w:rFonts w:ascii="Times New Roman" w:eastAsia="Times New Roman" w:hAnsi="Times New Roman" w:cs="Times New Roman"/>
          <w:b/>
          <w:sz w:val="24"/>
          <w:szCs w:val="24"/>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4"/>
          <w:szCs w:val="24"/>
        </w:rPr>
        <w:t>3.1 Descriptive statistics of different cohort</w:t>
      </w:r>
    </w:p>
    <w:p w:rsidR="005C3EED" w:rsidRDefault="0014041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p>
    <w:p w:rsidR="005C3EED" w:rsidRDefault="0014041C">
      <w:pPr>
        <w:rPr>
          <w:sz w:val="16"/>
          <w:szCs w:val="16"/>
        </w:rPr>
      </w:pPr>
      <w:r>
        <w:rPr>
          <w:rFonts w:ascii="Times New Roman" w:eastAsia="Times New Roman" w:hAnsi="Times New Roman" w:cs="Times New Roman"/>
          <w:sz w:val="24"/>
          <w:szCs w:val="24"/>
        </w:rPr>
        <w:t xml:space="preserve">Baseline measures of 5243 patients were collected in the BOLD cohort and 400 patients in the LESS trial. After excluding any missingness and patients with baseline RMDQ </w:t>
      </w:r>
      <m:oMath>
        <m:r>
          <w:rPr>
            <w:rFonts w:ascii="Cambria Math" w:hAnsi="Cambria Math"/>
          </w:rPr>
          <m:t>≤</m:t>
        </m:r>
        <m:r>
          <w:rPr>
            <w:rFonts w:ascii="Times New Roman" w:eastAsia="Times New Roman" w:hAnsi="Times New Roman" w:cs="Times New Roman"/>
            <w:sz w:val="24"/>
            <w:szCs w:val="24"/>
          </w:rPr>
          <m:t>2</m:t>
        </m:r>
      </m:oMath>
      <w:r>
        <w:rPr>
          <w:rFonts w:ascii="Times New Roman" w:eastAsia="Times New Roman" w:hAnsi="Times New Roman" w:cs="Times New Roman"/>
          <w:sz w:val="24"/>
          <w:szCs w:val="24"/>
        </w:rPr>
        <w:t xml:space="preserve"> in the BOLD cohort, 3318 participants were included in analyses to develop and validate a predictive model for 3-month RMDQ that could provide a risk score for back-related functional limitations reflected by the 3-month RMDQ. When it comes to 3-month back NRS, </w:t>
      </w:r>
      <w:proofErr w:type="gramStart"/>
      <w:r>
        <w:rPr>
          <w:rFonts w:ascii="Times New Roman" w:eastAsia="Times New Roman" w:hAnsi="Times New Roman" w:cs="Times New Roman"/>
          <w:sz w:val="24"/>
          <w:szCs w:val="24"/>
        </w:rPr>
        <w:t>3480  patients</w:t>
      </w:r>
      <w:proofErr w:type="gramEnd"/>
      <w:r>
        <w:rPr>
          <w:rFonts w:ascii="Times New Roman" w:eastAsia="Times New Roman" w:hAnsi="Times New Roman" w:cs="Times New Roman"/>
          <w:sz w:val="24"/>
          <w:szCs w:val="24"/>
        </w:rPr>
        <w:t xml:space="preserve"> in the BOLD are adopted. Table 2 summarizes the baseline descriptive statistics of demographic, disease diagnosis and CPT category variables for both the BOLD training set, BOLD testing set and LESS trial. Compared with patients in the BOLD cohort, patients in LESS trial were slightly younger, had higher BMI, and more likely to be non-working, non-married, smokers, and have more comorbidities. For diagnostic- and treatment-related variables, most patients in the LESS trial had spine-related manual care, spine-related percutaneous care and spine-related image, but no one had spine-related surgery.</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3 summarizes baseline PROs by cohort. Compared with patients in the BOLD cohort, patients in LESS had higher values for RMDQ scores, back and leg pain of NRS scores, recovery expectations, PHQ_4 and BPI scores. Besides, they had lower </w:t>
      </w:r>
      <w:proofErr w:type="spellStart"/>
      <w:r>
        <w:rPr>
          <w:rFonts w:ascii="Times New Roman" w:eastAsia="Times New Roman" w:hAnsi="Times New Roman" w:cs="Times New Roman"/>
          <w:sz w:val="24"/>
          <w:szCs w:val="24"/>
        </w:rPr>
        <w:t>EQ_VAS_baseline</w:t>
      </w:r>
      <w:proofErr w:type="spellEnd"/>
      <w:r>
        <w:rPr>
          <w:rFonts w:ascii="Times New Roman" w:eastAsia="Times New Roman" w:hAnsi="Times New Roman" w:cs="Times New Roman"/>
          <w:sz w:val="24"/>
          <w:szCs w:val="24"/>
        </w:rPr>
        <w:t xml:space="preserve"> scores and </w:t>
      </w:r>
      <w:proofErr w:type="spellStart"/>
      <w:r>
        <w:rPr>
          <w:rFonts w:ascii="Times New Roman" w:eastAsia="Times New Roman" w:hAnsi="Times New Roman" w:cs="Times New Roman"/>
          <w:sz w:val="24"/>
          <w:szCs w:val="24"/>
        </w:rPr>
        <w:t>EQ_index_baseline</w:t>
      </w:r>
      <w:proofErr w:type="spellEnd"/>
      <w:r>
        <w:rPr>
          <w:rFonts w:ascii="Times New Roman" w:eastAsia="Times New Roman" w:hAnsi="Times New Roman" w:cs="Times New Roman"/>
          <w:sz w:val="24"/>
          <w:szCs w:val="24"/>
        </w:rPr>
        <w:t xml:space="preserve"> scores.</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C3EED" w:rsidRDefault="0014041C">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In general, there is much more severe disability and pain in the LESS trial patients than in the BOLD cohort. There are also differences in the procedure, diagnosis as well as comorbidities between BOLD </w:t>
      </w:r>
      <w:proofErr w:type="spellStart"/>
      <w:r>
        <w:rPr>
          <w:rFonts w:ascii="Times New Roman" w:eastAsia="Times New Roman" w:hAnsi="Times New Roman" w:cs="Times New Roman"/>
          <w:sz w:val="24"/>
          <w:szCs w:val="24"/>
        </w:rPr>
        <w:t>cohortand</w:t>
      </w:r>
      <w:proofErr w:type="spellEnd"/>
      <w:r>
        <w:rPr>
          <w:rFonts w:ascii="Times New Roman" w:eastAsia="Times New Roman" w:hAnsi="Times New Roman" w:cs="Times New Roman"/>
          <w:sz w:val="24"/>
          <w:szCs w:val="24"/>
        </w:rPr>
        <w:t xml:space="preserve"> LESS patients, but otherwise, the differences between those groups are generally small.</w:t>
      </w:r>
    </w:p>
    <w:p w:rsidR="005C3EED" w:rsidRDefault="005C3EED"/>
    <w:p w:rsidR="005C3EED" w:rsidRDefault="0014041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2. Demographic variables by cohort</w:t>
      </w:r>
    </w:p>
    <w:tbl>
      <w:tblPr>
        <w:tblStyle w:val="a6"/>
        <w:tblW w:w="9330" w:type="dxa"/>
        <w:tblInd w:w="0" w:type="dxa"/>
        <w:tblLayout w:type="fixed"/>
        <w:tblLook w:val="0600" w:firstRow="0" w:lastRow="0" w:firstColumn="0" w:lastColumn="0" w:noHBand="1" w:noVBand="1"/>
      </w:tblPr>
      <w:tblGrid>
        <w:gridCol w:w="4200"/>
        <w:gridCol w:w="1710"/>
        <w:gridCol w:w="1710"/>
        <w:gridCol w:w="1710"/>
      </w:tblGrid>
      <w:tr w:rsidR="005C3EED">
        <w:trPr>
          <w:trHeight w:val="585"/>
        </w:trPr>
        <w:tc>
          <w:tcPr>
            <w:tcW w:w="4200" w:type="dxa"/>
            <w:tcBorders>
              <w:top w:val="single" w:sz="16" w:space="0" w:color="000000"/>
              <w:left w:val="nil"/>
              <w:bottom w:val="single" w:sz="8" w:space="0" w:color="000000"/>
              <w:right w:val="nil"/>
            </w:tcBorders>
            <w:tcMar>
              <w:top w:w="60" w:type="dxa"/>
              <w:left w:w="60" w:type="dxa"/>
              <w:bottom w:w="60" w:type="dxa"/>
              <w:right w:w="160" w:type="dxa"/>
            </w:tcMar>
          </w:tcPr>
          <w:p w:rsidR="005C3EED" w:rsidRDefault="005C3EED">
            <w:pPr>
              <w:jc w:val="center"/>
              <w:rPr>
                <w:sz w:val="20"/>
                <w:szCs w:val="20"/>
              </w:rPr>
            </w:pPr>
          </w:p>
        </w:tc>
        <w:tc>
          <w:tcPr>
            <w:tcW w:w="1710" w:type="dxa"/>
            <w:tcBorders>
              <w:top w:val="single" w:sz="16" w:space="0" w:color="000000"/>
              <w:left w:val="nil"/>
              <w:bottom w:val="single" w:sz="8" w:space="0" w:color="000000"/>
              <w:right w:val="nil"/>
            </w:tcBorders>
            <w:tcMar>
              <w:top w:w="60" w:type="dxa"/>
              <w:left w:w="160" w:type="dxa"/>
              <w:bottom w:w="60" w:type="dxa"/>
              <w:right w:w="160" w:type="dxa"/>
            </w:tcMar>
          </w:tcPr>
          <w:p w:rsidR="005C3EED" w:rsidRDefault="0014041C">
            <w:pPr>
              <w:jc w:val="center"/>
              <w:rPr>
                <w:b/>
                <w:sz w:val="20"/>
                <w:szCs w:val="20"/>
              </w:rPr>
            </w:pPr>
            <w:proofErr w:type="spellStart"/>
            <w:r>
              <w:rPr>
                <w:b/>
                <w:sz w:val="20"/>
                <w:szCs w:val="20"/>
              </w:rPr>
              <w:t>BOLD_Train</w:t>
            </w:r>
            <w:proofErr w:type="spellEnd"/>
          </w:p>
          <w:p w:rsidR="005C3EED" w:rsidRDefault="0014041C">
            <w:pPr>
              <w:jc w:val="center"/>
              <w:rPr>
                <w:sz w:val="20"/>
                <w:szCs w:val="20"/>
              </w:rPr>
            </w:pPr>
            <w:r>
              <w:rPr>
                <w:b/>
                <w:sz w:val="20"/>
                <w:szCs w:val="20"/>
              </w:rPr>
              <w:t>(N=4580)</w:t>
            </w:r>
          </w:p>
        </w:tc>
        <w:tc>
          <w:tcPr>
            <w:tcW w:w="1710" w:type="dxa"/>
            <w:tcBorders>
              <w:top w:val="single" w:sz="16" w:space="0" w:color="000000"/>
              <w:left w:val="nil"/>
              <w:bottom w:val="single" w:sz="8" w:space="0" w:color="000000"/>
              <w:right w:val="nil"/>
            </w:tcBorders>
            <w:tcMar>
              <w:top w:w="60" w:type="dxa"/>
              <w:left w:w="160" w:type="dxa"/>
              <w:bottom w:w="60" w:type="dxa"/>
              <w:right w:w="160" w:type="dxa"/>
            </w:tcMar>
          </w:tcPr>
          <w:p w:rsidR="005C3EED" w:rsidRDefault="0014041C">
            <w:pPr>
              <w:jc w:val="center"/>
              <w:rPr>
                <w:b/>
                <w:sz w:val="20"/>
                <w:szCs w:val="20"/>
              </w:rPr>
            </w:pPr>
            <w:proofErr w:type="spellStart"/>
            <w:r>
              <w:rPr>
                <w:b/>
                <w:sz w:val="20"/>
                <w:szCs w:val="20"/>
              </w:rPr>
              <w:t>BOLD_Test</w:t>
            </w:r>
            <w:proofErr w:type="spellEnd"/>
          </w:p>
          <w:p w:rsidR="005C3EED" w:rsidRDefault="0014041C">
            <w:pPr>
              <w:jc w:val="center"/>
              <w:rPr>
                <w:sz w:val="20"/>
                <w:szCs w:val="20"/>
              </w:rPr>
            </w:pPr>
            <w:r>
              <w:rPr>
                <w:b/>
                <w:sz w:val="20"/>
                <w:szCs w:val="20"/>
              </w:rPr>
              <w:t>(N=663)</w:t>
            </w:r>
          </w:p>
        </w:tc>
        <w:tc>
          <w:tcPr>
            <w:tcW w:w="1710" w:type="dxa"/>
            <w:tcBorders>
              <w:top w:val="single" w:sz="16" w:space="0" w:color="000000"/>
              <w:left w:val="nil"/>
              <w:bottom w:val="single" w:sz="8" w:space="0" w:color="000000"/>
              <w:right w:val="nil"/>
            </w:tcBorders>
            <w:tcMar>
              <w:top w:w="60" w:type="dxa"/>
              <w:left w:w="160" w:type="dxa"/>
              <w:bottom w:w="60" w:type="dxa"/>
              <w:right w:w="160" w:type="dxa"/>
            </w:tcMar>
          </w:tcPr>
          <w:p w:rsidR="005C3EED" w:rsidRDefault="0014041C">
            <w:pPr>
              <w:jc w:val="center"/>
              <w:rPr>
                <w:b/>
                <w:sz w:val="20"/>
                <w:szCs w:val="20"/>
              </w:rPr>
            </w:pPr>
            <w:r>
              <w:rPr>
                <w:b/>
                <w:sz w:val="20"/>
                <w:szCs w:val="20"/>
              </w:rPr>
              <w:t>LESS</w:t>
            </w:r>
          </w:p>
          <w:p w:rsidR="005C3EED" w:rsidRDefault="0014041C">
            <w:pPr>
              <w:jc w:val="center"/>
              <w:rPr>
                <w:sz w:val="20"/>
                <w:szCs w:val="20"/>
              </w:rPr>
            </w:pPr>
            <w:r>
              <w:rPr>
                <w:b/>
                <w:sz w:val="20"/>
                <w:szCs w:val="20"/>
              </w:rPr>
              <w:t>(N=400)</w:t>
            </w:r>
          </w:p>
        </w:tc>
      </w:tr>
      <w:tr w:rsidR="005C3EED">
        <w:trPr>
          <w:trHeight w:val="330"/>
        </w:trPr>
        <w:tc>
          <w:tcPr>
            <w:tcW w:w="4200" w:type="dxa"/>
            <w:tcBorders>
              <w:top w:val="nil"/>
              <w:left w:val="nil"/>
              <w:bottom w:val="nil"/>
              <w:right w:val="nil"/>
            </w:tcBorders>
            <w:tcMar>
              <w:top w:w="60" w:type="dxa"/>
              <w:left w:w="60" w:type="dxa"/>
              <w:bottom w:w="60" w:type="dxa"/>
              <w:right w:w="160" w:type="dxa"/>
            </w:tcMar>
          </w:tcPr>
          <w:p w:rsidR="005C3EED" w:rsidRDefault="0014041C">
            <w:pPr>
              <w:rPr>
                <w:sz w:val="20"/>
                <w:szCs w:val="20"/>
              </w:rPr>
            </w:pPr>
            <w:r>
              <w:rPr>
                <w:b/>
                <w:sz w:val="20"/>
                <w:szCs w:val="20"/>
              </w:rPr>
              <w:t>Age</w:t>
            </w: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Mean (SD)</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73.7 (6.80)</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73.5 (6.71)</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68.0 (9.98)</w:t>
            </w: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Median [Min, Max]</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72.0 [65.0, 98.0]</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72.0 [65.0, 101]</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68.0 [50.0, 96.0]</w:t>
            </w: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Missing</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507 (11.1%)</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84 (12.7%)</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0 (0%)</w:t>
            </w:r>
          </w:p>
        </w:tc>
      </w:tr>
      <w:tr w:rsidR="005C3EED">
        <w:trPr>
          <w:trHeight w:val="330"/>
        </w:trPr>
        <w:tc>
          <w:tcPr>
            <w:tcW w:w="4200" w:type="dxa"/>
            <w:tcBorders>
              <w:top w:val="nil"/>
              <w:left w:val="nil"/>
              <w:bottom w:val="nil"/>
              <w:right w:val="nil"/>
            </w:tcBorders>
            <w:tcMar>
              <w:top w:w="60" w:type="dxa"/>
              <w:left w:w="60" w:type="dxa"/>
              <w:bottom w:w="60" w:type="dxa"/>
              <w:right w:w="160" w:type="dxa"/>
            </w:tcMar>
          </w:tcPr>
          <w:p w:rsidR="005C3EED" w:rsidRDefault="0014041C">
            <w:pPr>
              <w:rPr>
                <w:sz w:val="20"/>
                <w:szCs w:val="20"/>
              </w:rPr>
            </w:pPr>
            <w:r>
              <w:rPr>
                <w:b/>
                <w:sz w:val="20"/>
                <w:szCs w:val="20"/>
              </w:rPr>
              <w:t>Sex</w:t>
            </w: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Female</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2665 (58.2%)</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354 (53.4%)</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221 (55.2%)</w:t>
            </w: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Male</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1408 (30.7%)</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225 (33.9%)</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179 (44.8%)</w:t>
            </w: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Missing</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507 (11.1%)</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84 (12.7%)</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0 (0%)</w:t>
            </w:r>
          </w:p>
        </w:tc>
      </w:tr>
      <w:tr w:rsidR="005C3EED">
        <w:trPr>
          <w:trHeight w:val="330"/>
        </w:trPr>
        <w:tc>
          <w:tcPr>
            <w:tcW w:w="4200" w:type="dxa"/>
            <w:tcBorders>
              <w:top w:val="nil"/>
              <w:left w:val="nil"/>
              <w:bottom w:val="nil"/>
              <w:right w:val="nil"/>
            </w:tcBorders>
            <w:tcMar>
              <w:top w:w="60" w:type="dxa"/>
              <w:left w:w="60" w:type="dxa"/>
              <w:bottom w:w="60" w:type="dxa"/>
              <w:right w:w="160" w:type="dxa"/>
            </w:tcMar>
          </w:tcPr>
          <w:p w:rsidR="005C3EED" w:rsidRDefault="0014041C">
            <w:pPr>
              <w:rPr>
                <w:sz w:val="20"/>
                <w:szCs w:val="20"/>
              </w:rPr>
            </w:pPr>
            <w:r>
              <w:rPr>
                <w:b/>
                <w:sz w:val="20"/>
                <w:szCs w:val="20"/>
              </w:rPr>
              <w:t>Body Mass Index</w:t>
            </w: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lastRenderedPageBreak/>
              <w:t>Mean (SD)</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29.1 (6.15)</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28.9 (5.89)</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30.4 (6.28)</w:t>
            </w: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Median [Min, Max]</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28.3 [14.6, 64.2]</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28.0 [17.1, 59.1]</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29.3 [18.7, 61.5]</w:t>
            </w: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Missing</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181 (4.0%)</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28 (4.2%)</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12 (3.0%)</w:t>
            </w:r>
          </w:p>
        </w:tc>
      </w:tr>
      <w:tr w:rsidR="005C3EED">
        <w:trPr>
          <w:trHeight w:val="330"/>
        </w:trPr>
        <w:tc>
          <w:tcPr>
            <w:tcW w:w="4200" w:type="dxa"/>
            <w:tcBorders>
              <w:top w:val="nil"/>
              <w:left w:val="nil"/>
              <w:bottom w:val="nil"/>
              <w:right w:val="nil"/>
            </w:tcBorders>
            <w:tcMar>
              <w:top w:w="60" w:type="dxa"/>
              <w:left w:w="60" w:type="dxa"/>
              <w:bottom w:w="60" w:type="dxa"/>
              <w:right w:w="160" w:type="dxa"/>
            </w:tcMar>
          </w:tcPr>
          <w:p w:rsidR="005C3EED" w:rsidRDefault="0014041C">
            <w:pPr>
              <w:rPr>
                <w:sz w:val="20"/>
                <w:szCs w:val="20"/>
              </w:rPr>
            </w:pPr>
            <w:r>
              <w:rPr>
                <w:b/>
                <w:sz w:val="20"/>
                <w:szCs w:val="20"/>
              </w:rPr>
              <w:t>Hispanic</w:t>
            </w: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No</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3793 (82.8%)</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547 (82.5%)</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378 (94.5%)</w:t>
            </w: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Yes</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260 (5.7%)</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30 (4.5%)</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17 (4.2%)</w:t>
            </w: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Missing</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527 (11.5%)</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86 (13.0%)</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5 (1.2%)</w:t>
            </w:r>
          </w:p>
        </w:tc>
      </w:tr>
      <w:tr w:rsidR="005C3EED">
        <w:trPr>
          <w:trHeight w:val="330"/>
        </w:trPr>
        <w:tc>
          <w:tcPr>
            <w:tcW w:w="4200" w:type="dxa"/>
            <w:tcBorders>
              <w:top w:val="nil"/>
              <w:left w:val="nil"/>
              <w:bottom w:val="nil"/>
              <w:right w:val="nil"/>
            </w:tcBorders>
            <w:tcMar>
              <w:top w:w="60" w:type="dxa"/>
              <w:left w:w="60" w:type="dxa"/>
              <w:bottom w:w="60" w:type="dxa"/>
              <w:right w:w="160" w:type="dxa"/>
            </w:tcMar>
          </w:tcPr>
          <w:p w:rsidR="005C3EED" w:rsidRDefault="0014041C">
            <w:pPr>
              <w:rPr>
                <w:sz w:val="20"/>
                <w:szCs w:val="20"/>
              </w:rPr>
            </w:pPr>
            <w:r>
              <w:rPr>
                <w:b/>
                <w:sz w:val="20"/>
                <w:szCs w:val="20"/>
              </w:rPr>
              <w:t>Race</w:t>
            </w: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Black or African American</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617 (13.5%)</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99 (14.9%)</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105 (26.2%)</w:t>
            </w: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White</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2966 (64.8%)</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406 (61.2%)</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277 (69.2%)</w:t>
            </w: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Other</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448 (9.8%)</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65 (9.8%)</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18 (4.5%)</w:t>
            </w: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Missing</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549 (12.0%)</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93 (14.0%)</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0 (0%)</w:t>
            </w:r>
          </w:p>
        </w:tc>
      </w:tr>
      <w:tr w:rsidR="005C3EED">
        <w:trPr>
          <w:trHeight w:val="330"/>
        </w:trPr>
        <w:tc>
          <w:tcPr>
            <w:tcW w:w="4200" w:type="dxa"/>
            <w:tcBorders>
              <w:top w:val="nil"/>
              <w:left w:val="nil"/>
              <w:bottom w:val="nil"/>
              <w:right w:val="nil"/>
            </w:tcBorders>
            <w:tcMar>
              <w:top w:w="60" w:type="dxa"/>
              <w:left w:w="60" w:type="dxa"/>
              <w:bottom w:w="60" w:type="dxa"/>
              <w:right w:w="160" w:type="dxa"/>
            </w:tcMar>
          </w:tcPr>
          <w:p w:rsidR="005C3EED" w:rsidRDefault="0014041C">
            <w:pPr>
              <w:rPr>
                <w:sz w:val="20"/>
                <w:szCs w:val="20"/>
              </w:rPr>
            </w:pPr>
            <w:r>
              <w:rPr>
                <w:b/>
                <w:sz w:val="20"/>
                <w:szCs w:val="20"/>
              </w:rPr>
              <w:t>Working status</w:t>
            </w: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No</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226 (4.9%)</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43 (6.5%)</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93 (23.2%)</w:t>
            </w: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Working</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220 (4.8%)</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27 (4.1%)</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35 (8.8%)</w:t>
            </w: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Missing</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4134 (90.3%)</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593 (89.4%)</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272 (68.0%)</w:t>
            </w:r>
          </w:p>
        </w:tc>
      </w:tr>
      <w:tr w:rsidR="005C3EED">
        <w:trPr>
          <w:trHeight w:val="330"/>
        </w:trPr>
        <w:tc>
          <w:tcPr>
            <w:tcW w:w="4200" w:type="dxa"/>
            <w:tcBorders>
              <w:top w:val="nil"/>
              <w:left w:val="nil"/>
              <w:bottom w:val="nil"/>
              <w:right w:val="nil"/>
            </w:tcBorders>
            <w:tcMar>
              <w:top w:w="60" w:type="dxa"/>
              <w:left w:w="60" w:type="dxa"/>
              <w:bottom w:w="60" w:type="dxa"/>
              <w:right w:w="160" w:type="dxa"/>
            </w:tcMar>
          </w:tcPr>
          <w:p w:rsidR="005C3EED" w:rsidRDefault="0014041C">
            <w:pPr>
              <w:rPr>
                <w:sz w:val="20"/>
                <w:szCs w:val="20"/>
              </w:rPr>
            </w:pPr>
            <w:r>
              <w:rPr>
                <w:b/>
                <w:sz w:val="20"/>
                <w:szCs w:val="20"/>
              </w:rPr>
              <w:t>Education</w:t>
            </w: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High School or less</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1242 (27.1%)</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172 (25.9%)</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125 (31.2%)</w:t>
            </w: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Some college</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1223 (26.7%)</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169 (25.5%)</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128 (32.0%)</w:t>
            </w: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proofErr w:type="gramStart"/>
            <w:r>
              <w:rPr>
                <w:sz w:val="20"/>
                <w:szCs w:val="20"/>
              </w:rPr>
              <w:t>Four year</w:t>
            </w:r>
            <w:proofErr w:type="gramEnd"/>
            <w:r>
              <w:rPr>
                <w:sz w:val="20"/>
                <w:szCs w:val="20"/>
              </w:rPr>
              <w:t xml:space="preserve"> college graduate or more</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1599 (34.9%)</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235 (35.4%)</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145 (36.2%)</w:t>
            </w: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Missing</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516 (11.3%)</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87 (13.1%)</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 (0.5%)</w:t>
            </w:r>
          </w:p>
        </w:tc>
      </w:tr>
      <w:tr w:rsidR="005C3EED">
        <w:trPr>
          <w:trHeight w:val="330"/>
        </w:trPr>
        <w:tc>
          <w:tcPr>
            <w:tcW w:w="4200" w:type="dxa"/>
            <w:tcBorders>
              <w:top w:val="nil"/>
              <w:left w:val="nil"/>
              <w:bottom w:val="nil"/>
              <w:right w:val="nil"/>
            </w:tcBorders>
            <w:tcMar>
              <w:top w:w="60" w:type="dxa"/>
              <w:left w:w="60" w:type="dxa"/>
              <w:bottom w:w="60" w:type="dxa"/>
              <w:right w:w="160" w:type="dxa"/>
            </w:tcMar>
          </w:tcPr>
          <w:p w:rsidR="005C3EED" w:rsidRDefault="0014041C">
            <w:pPr>
              <w:rPr>
                <w:sz w:val="20"/>
                <w:szCs w:val="20"/>
              </w:rPr>
            </w:pPr>
            <w:r>
              <w:rPr>
                <w:b/>
                <w:sz w:val="20"/>
                <w:szCs w:val="20"/>
              </w:rPr>
              <w:t>Marital</w:t>
            </w: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No</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1672 (36.5%)</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219 (33.0%)</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162 (40.5%)</w:t>
            </w: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Married/Living with partner</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2389 (52.2%)</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358 (54.0%)</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237 (59.2%)</w:t>
            </w: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Missing</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519 (11.3%)</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86 (13.0%)</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 (0.2%)</w:t>
            </w:r>
          </w:p>
        </w:tc>
      </w:tr>
      <w:tr w:rsidR="005C3EED">
        <w:trPr>
          <w:trHeight w:val="330"/>
        </w:trPr>
        <w:tc>
          <w:tcPr>
            <w:tcW w:w="4200" w:type="dxa"/>
            <w:tcBorders>
              <w:top w:val="nil"/>
              <w:left w:val="nil"/>
              <w:bottom w:val="nil"/>
              <w:right w:val="nil"/>
            </w:tcBorders>
            <w:tcMar>
              <w:top w:w="60" w:type="dxa"/>
              <w:left w:w="60" w:type="dxa"/>
              <w:bottom w:w="60" w:type="dxa"/>
              <w:right w:w="160" w:type="dxa"/>
            </w:tcMar>
          </w:tcPr>
          <w:p w:rsidR="005C3EED" w:rsidRDefault="0014041C">
            <w:pPr>
              <w:rPr>
                <w:sz w:val="20"/>
                <w:szCs w:val="20"/>
              </w:rPr>
            </w:pPr>
            <w:r>
              <w:rPr>
                <w:b/>
                <w:sz w:val="20"/>
                <w:szCs w:val="20"/>
              </w:rPr>
              <w:t>Lawyer</w:t>
            </w: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No</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4040 (88.2%)</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573 (86.4%)</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380 (95.0%)</w:t>
            </w: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Yes</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24 (0.5%)</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4 (0.6%)</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13 (3.2%)</w:t>
            </w: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lastRenderedPageBreak/>
              <w:t>Missing</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516 (11.3%)</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86 (13.0%)</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7 (1.8%)</w:t>
            </w:r>
          </w:p>
        </w:tc>
      </w:tr>
      <w:tr w:rsidR="005C3EED">
        <w:trPr>
          <w:trHeight w:val="330"/>
        </w:trPr>
        <w:tc>
          <w:tcPr>
            <w:tcW w:w="4200" w:type="dxa"/>
            <w:tcBorders>
              <w:top w:val="nil"/>
              <w:left w:val="nil"/>
              <w:bottom w:val="nil"/>
              <w:right w:val="nil"/>
            </w:tcBorders>
            <w:tcMar>
              <w:top w:w="60" w:type="dxa"/>
              <w:left w:w="60" w:type="dxa"/>
              <w:bottom w:w="60" w:type="dxa"/>
              <w:right w:w="160" w:type="dxa"/>
            </w:tcMar>
          </w:tcPr>
          <w:p w:rsidR="005C3EED" w:rsidRDefault="0014041C">
            <w:pPr>
              <w:rPr>
                <w:sz w:val="20"/>
                <w:szCs w:val="20"/>
              </w:rPr>
            </w:pPr>
            <w:r>
              <w:rPr>
                <w:b/>
                <w:sz w:val="20"/>
                <w:szCs w:val="20"/>
              </w:rPr>
              <w:t>Smoking status</w:t>
            </w: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Never Smoked</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2237 (48.8%)</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320 (48.3%)</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172 (43.0%)</w:t>
            </w: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Quit smoking over a year ago</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1573 (34.3%)</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224 (33.8%)</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169 (42.2%)</w:t>
            </w: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Current smoker, or quit less than a year ago</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251 (5.5%)</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33 (5.0%)</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57 (14.2%)</w:t>
            </w: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Missing</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519 (11.3%)</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86 (13.0%)</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 (0.5%)</w:t>
            </w:r>
          </w:p>
        </w:tc>
      </w:tr>
      <w:tr w:rsidR="005C3EED">
        <w:trPr>
          <w:trHeight w:val="330"/>
        </w:trPr>
        <w:tc>
          <w:tcPr>
            <w:tcW w:w="4200" w:type="dxa"/>
            <w:tcBorders>
              <w:top w:val="nil"/>
              <w:left w:val="nil"/>
              <w:bottom w:val="nil"/>
              <w:right w:val="nil"/>
            </w:tcBorders>
            <w:tcMar>
              <w:top w:w="60" w:type="dxa"/>
              <w:left w:w="60" w:type="dxa"/>
              <w:bottom w:w="60" w:type="dxa"/>
              <w:right w:w="160" w:type="dxa"/>
            </w:tcMar>
          </w:tcPr>
          <w:p w:rsidR="005C3EED" w:rsidRDefault="0014041C">
            <w:pPr>
              <w:rPr>
                <w:sz w:val="20"/>
                <w:szCs w:val="20"/>
              </w:rPr>
            </w:pPr>
            <w:r>
              <w:rPr>
                <w:b/>
                <w:sz w:val="20"/>
                <w:szCs w:val="20"/>
              </w:rPr>
              <w:t>Quan comorbidity</w:t>
            </w: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0</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2703 (59.0%)</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392 (59.1%)</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92 (23.0%)</w:t>
            </w: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1</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776 (16.9%)</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108 (16.3%)</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42 (10.5%)</w:t>
            </w: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2 or more</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991 (21.6%)</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143 (21.6%)</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87 (21.8%)</w:t>
            </w: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Missing</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110 (2.4%)</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20 (3.0%)</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179 (44.8%)</w:t>
            </w:r>
          </w:p>
        </w:tc>
      </w:tr>
      <w:tr w:rsidR="005C3EED">
        <w:trPr>
          <w:trHeight w:val="330"/>
        </w:trPr>
        <w:tc>
          <w:tcPr>
            <w:tcW w:w="4200" w:type="dxa"/>
            <w:tcBorders>
              <w:top w:val="nil"/>
              <w:left w:val="nil"/>
              <w:bottom w:val="nil"/>
              <w:right w:val="nil"/>
            </w:tcBorders>
            <w:tcMar>
              <w:top w:w="60" w:type="dxa"/>
              <w:left w:w="60" w:type="dxa"/>
              <w:bottom w:w="60" w:type="dxa"/>
              <w:right w:w="160" w:type="dxa"/>
            </w:tcMar>
          </w:tcPr>
          <w:p w:rsidR="005C3EED" w:rsidRDefault="0014041C">
            <w:pPr>
              <w:rPr>
                <w:sz w:val="20"/>
                <w:szCs w:val="20"/>
              </w:rPr>
            </w:pPr>
            <w:r>
              <w:rPr>
                <w:b/>
                <w:sz w:val="20"/>
                <w:szCs w:val="20"/>
              </w:rPr>
              <w:t>Baseline diagnosis category</w:t>
            </w: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Back pain only</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2765 (60.4%)</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385 (58.1%)</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8 (2.0%)</w:t>
            </w: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Back and leg pain</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881 (19.2%)</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128 (19.3%)</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29 (7.2%)</w:t>
            </w: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Spinal stenosis</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201 (4.4%)</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27 (4.1%)</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102 (25.5%)</w:t>
            </w: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Others</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226 (4.9%)</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39 (5.9%)</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70 (17.5%)</w:t>
            </w: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Missing</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507 (11.1%)</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84 (12.7%)</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191 (47.8%)</w:t>
            </w:r>
          </w:p>
        </w:tc>
      </w:tr>
      <w:tr w:rsidR="005C3EED">
        <w:trPr>
          <w:trHeight w:val="330"/>
        </w:trPr>
        <w:tc>
          <w:tcPr>
            <w:tcW w:w="4200" w:type="dxa"/>
            <w:tcBorders>
              <w:top w:val="nil"/>
              <w:left w:val="nil"/>
              <w:bottom w:val="nil"/>
              <w:right w:val="nil"/>
            </w:tcBorders>
            <w:tcMar>
              <w:top w:w="60" w:type="dxa"/>
              <w:left w:w="60" w:type="dxa"/>
              <w:bottom w:w="60" w:type="dxa"/>
              <w:right w:w="160" w:type="dxa"/>
            </w:tcMar>
          </w:tcPr>
          <w:p w:rsidR="005C3EED" w:rsidRDefault="0014041C">
            <w:pPr>
              <w:rPr>
                <w:sz w:val="20"/>
                <w:szCs w:val="20"/>
              </w:rPr>
            </w:pPr>
            <w:r>
              <w:rPr>
                <w:b/>
                <w:sz w:val="20"/>
                <w:szCs w:val="20"/>
              </w:rPr>
              <w:t>Manual spine-related CPT</w:t>
            </w: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No</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3969 (86.7%)</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578 (87.2%)</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14 (3.5%)</w:t>
            </w: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Yes</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566 (12.4%)</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77 (11.6%)</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207 (51.8%)</w:t>
            </w: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Missing</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45 (1.0%)</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8 (1.2%)</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179 (44.8%)</w:t>
            </w:r>
          </w:p>
        </w:tc>
      </w:tr>
      <w:tr w:rsidR="005C3EED">
        <w:trPr>
          <w:trHeight w:val="330"/>
        </w:trPr>
        <w:tc>
          <w:tcPr>
            <w:tcW w:w="4200" w:type="dxa"/>
            <w:tcBorders>
              <w:top w:val="nil"/>
              <w:left w:val="nil"/>
              <w:bottom w:val="nil"/>
              <w:right w:val="nil"/>
            </w:tcBorders>
            <w:tcMar>
              <w:top w:w="60" w:type="dxa"/>
              <w:left w:w="60" w:type="dxa"/>
              <w:bottom w:w="60" w:type="dxa"/>
              <w:right w:w="160" w:type="dxa"/>
            </w:tcMar>
          </w:tcPr>
          <w:p w:rsidR="005C3EED" w:rsidRDefault="0014041C">
            <w:pPr>
              <w:rPr>
                <w:sz w:val="20"/>
                <w:szCs w:val="20"/>
              </w:rPr>
            </w:pPr>
            <w:r>
              <w:rPr>
                <w:b/>
                <w:sz w:val="20"/>
                <w:szCs w:val="20"/>
              </w:rPr>
              <w:t>Percutaneous spine-related CPT</w:t>
            </w: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No</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4478 (97.8%)</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646 (97.4%)</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10 (2.5%)</w:t>
            </w: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Yes</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57 (1.2%)</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9 (1.4%)</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211 (52.8%)</w:t>
            </w: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Missing</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45 (1.0%)</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8 (1.2%)</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179 (44.8%)</w:t>
            </w:r>
          </w:p>
        </w:tc>
      </w:tr>
      <w:tr w:rsidR="005C3EED">
        <w:trPr>
          <w:trHeight w:val="330"/>
        </w:trPr>
        <w:tc>
          <w:tcPr>
            <w:tcW w:w="4200" w:type="dxa"/>
            <w:tcBorders>
              <w:top w:val="nil"/>
              <w:left w:val="nil"/>
              <w:bottom w:val="nil"/>
              <w:right w:val="nil"/>
            </w:tcBorders>
            <w:tcMar>
              <w:top w:w="60" w:type="dxa"/>
              <w:left w:w="60" w:type="dxa"/>
              <w:bottom w:w="60" w:type="dxa"/>
              <w:right w:w="160" w:type="dxa"/>
            </w:tcMar>
          </w:tcPr>
          <w:p w:rsidR="005C3EED" w:rsidRDefault="0014041C">
            <w:pPr>
              <w:rPr>
                <w:sz w:val="20"/>
                <w:szCs w:val="20"/>
              </w:rPr>
            </w:pPr>
            <w:r>
              <w:rPr>
                <w:b/>
                <w:sz w:val="20"/>
                <w:szCs w:val="20"/>
              </w:rPr>
              <w:t>Spine image-related CPT</w:t>
            </w: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No</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3256 (71.1%)</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492 (74.2%)</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 (0.5%)</w:t>
            </w: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Yes</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1279 (27.9%)</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163 (24.6%)</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219 (54.8%)</w:t>
            </w: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lastRenderedPageBreak/>
              <w:t>Missing</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45 (1.0%)</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8 (1.2%)</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179 (44.8%)</w:t>
            </w:r>
          </w:p>
        </w:tc>
      </w:tr>
      <w:tr w:rsidR="005C3EED">
        <w:trPr>
          <w:trHeight w:val="330"/>
        </w:trPr>
        <w:tc>
          <w:tcPr>
            <w:tcW w:w="4200" w:type="dxa"/>
            <w:tcBorders>
              <w:top w:val="nil"/>
              <w:left w:val="nil"/>
              <w:bottom w:val="nil"/>
              <w:right w:val="nil"/>
            </w:tcBorders>
            <w:tcMar>
              <w:top w:w="60" w:type="dxa"/>
              <w:left w:w="60" w:type="dxa"/>
              <w:bottom w:w="60" w:type="dxa"/>
              <w:right w:w="160" w:type="dxa"/>
            </w:tcMar>
          </w:tcPr>
          <w:p w:rsidR="005C3EED" w:rsidRDefault="0014041C">
            <w:pPr>
              <w:rPr>
                <w:sz w:val="20"/>
                <w:szCs w:val="20"/>
              </w:rPr>
            </w:pPr>
            <w:r>
              <w:rPr>
                <w:b/>
                <w:sz w:val="20"/>
                <w:szCs w:val="20"/>
              </w:rPr>
              <w:t>Spine surgery-related CPT</w:t>
            </w: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71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No</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4517 (98.6%)</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654 (98.6%)</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221 (55.2%)</w:t>
            </w:r>
          </w:p>
        </w:tc>
      </w:tr>
      <w:tr w:rsidR="005C3EED">
        <w:trPr>
          <w:trHeight w:val="330"/>
        </w:trPr>
        <w:tc>
          <w:tcPr>
            <w:tcW w:w="4200"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Yes</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18 (0.4%)</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 (0.2%)</w:t>
            </w:r>
          </w:p>
        </w:tc>
        <w:tc>
          <w:tcPr>
            <w:tcW w:w="171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0 (0%)</w:t>
            </w:r>
          </w:p>
        </w:tc>
      </w:tr>
      <w:tr w:rsidR="005C3EED">
        <w:trPr>
          <w:trHeight w:val="345"/>
        </w:trPr>
        <w:tc>
          <w:tcPr>
            <w:tcW w:w="4200" w:type="dxa"/>
            <w:tcBorders>
              <w:top w:val="nil"/>
              <w:left w:val="nil"/>
              <w:bottom w:val="single" w:sz="16" w:space="0" w:color="000000"/>
              <w:right w:val="nil"/>
            </w:tcBorders>
            <w:tcMar>
              <w:top w:w="60" w:type="dxa"/>
              <w:left w:w="260" w:type="dxa"/>
              <w:bottom w:w="60" w:type="dxa"/>
              <w:right w:w="160" w:type="dxa"/>
            </w:tcMar>
          </w:tcPr>
          <w:p w:rsidR="005C3EED" w:rsidRDefault="0014041C">
            <w:pPr>
              <w:rPr>
                <w:sz w:val="20"/>
                <w:szCs w:val="20"/>
              </w:rPr>
            </w:pPr>
            <w:r>
              <w:rPr>
                <w:sz w:val="20"/>
                <w:szCs w:val="20"/>
              </w:rPr>
              <w:t>Missing</w:t>
            </w:r>
          </w:p>
        </w:tc>
        <w:tc>
          <w:tcPr>
            <w:tcW w:w="1710" w:type="dxa"/>
            <w:tcBorders>
              <w:top w:val="nil"/>
              <w:left w:val="nil"/>
              <w:bottom w:val="single" w:sz="16" w:space="0" w:color="000000"/>
              <w:right w:val="nil"/>
            </w:tcBorders>
            <w:tcMar>
              <w:top w:w="60" w:type="dxa"/>
              <w:left w:w="160" w:type="dxa"/>
              <w:bottom w:w="60" w:type="dxa"/>
              <w:right w:w="160" w:type="dxa"/>
            </w:tcMar>
          </w:tcPr>
          <w:p w:rsidR="005C3EED" w:rsidRDefault="0014041C">
            <w:pPr>
              <w:jc w:val="center"/>
              <w:rPr>
                <w:sz w:val="20"/>
                <w:szCs w:val="20"/>
              </w:rPr>
            </w:pPr>
            <w:r>
              <w:rPr>
                <w:sz w:val="20"/>
                <w:szCs w:val="20"/>
              </w:rPr>
              <w:t>45 (1.0%)</w:t>
            </w:r>
          </w:p>
        </w:tc>
        <w:tc>
          <w:tcPr>
            <w:tcW w:w="1710" w:type="dxa"/>
            <w:tcBorders>
              <w:top w:val="nil"/>
              <w:left w:val="nil"/>
              <w:bottom w:val="single" w:sz="16" w:space="0" w:color="000000"/>
              <w:right w:val="nil"/>
            </w:tcBorders>
            <w:tcMar>
              <w:top w:w="60" w:type="dxa"/>
              <w:left w:w="160" w:type="dxa"/>
              <w:bottom w:w="60" w:type="dxa"/>
              <w:right w:w="160" w:type="dxa"/>
            </w:tcMar>
          </w:tcPr>
          <w:p w:rsidR="005C3EED" w:rsidRDefault="0014041C">
            <w:pPr>
              <w:jc w:val="center"/>
              <w:rPr>
                <w:sz w:val="20"/>
                <w:szCs w:val="20"/>
              </w:rPr>
            </w:pPr>
            <w:r>
              <w:rPr>
                <w:sz w:val="20"/>
                <w:szCs w:val="20"/>
              </w:rPr>
              <w:t>8 (1.2%)</w:t>
            </w:r>
          </w:p>
        </w:tc>
        <w:tc>
          <w:tcPr>
            <w:tcW w:w="1710" w:type="dxa"/>
            <w:tcBorders>
              <w:top w:val="nil"/>
              <w:left w:val="nil"/>
              <w:bottom w:val="single" w:sz="16" w:space="0" w:color="000000"/>
              <w:right w:val="nil"/>
            </w:tcBorders>
            <w:tcMar>
              <w:top w:w="60" w:type="dxa"/>
              <w:left w:w="160" w:type="dxa"/>
              <w:bottom w:w="60" w:type="dxa"/>
              <w:right w:w="160" w:type="dxa"/>
            </w:tcMar>
          </w:tcPr>
          <w:p w:rsidR="005C3EED" w:rsidRDefault="0014041C">
            <w:pPr>
              <w:jc w:val="center"/>
              <w:rPr>
                <w:sz w:val="20"/>
                <w:szCs w:val="20"/>
              </w:rPr>
            </w:pPr>
            <w:r>
              <w:rPr>
                <w:sz w:val="20"/>
                <w:szCs w:val="20"/>
              </w:rPr>
              <w:t>179 (44.8%)</w:t>
            </w:r>
          </w:p>
        </w:tc>
      </w:tr>
    </w:tbl>
    <w:p w:rsidR="005C3EED" w:rsidRDefault="0014041C">
      <w:pPr>
        <w:pBdr>
          <w:top w:val="nil"/>
          <w:left w:val="nil"/>
          <w:bottom w:val="nil"/>
          <w:right w:val="nil"/>
          <w:between w:val="nil"/>
        </w:pBdr>
        <w:rPr>
          <w:sz w:val="20"/>
          <w:szCs w:val="20"/>
        </w:rPr>
      </w:pPr>
      <w:r>
        <w:rPr>
          <w:sz w:val="20"/>
          <w:szCs w:val="20"/>
        </w:rPr>
        <w:t>SD, standard deviations; CPT: Current Procedural Terminology codes.</w:t>
      </w:r>
    </w:p>
    <w:p w:rsidR="005C3EED" w:rsidRDefault="005C3EED">
      <w:pPr>
        <w:spacing w:line="240" w:lineRule="auto"/>
        <w:jc w:val="center"/>
        <w:rPr>
          <w:rFonts w:ascii="Times New Roman" w:eastAsia="Times New Roman" w:hAnsi="Times New Roman" w:cs="Times New Roman"/>
          <w:sz w:val="24"/>
          <w:szCs w:val="24"/>
        </w:rPr>
      </w:pPr>
    </w:p>
    <w:p w:rsidR="005C3EED" w:rsidRDefault="0014041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3. PROs and interventions by cohort</w:t>
      </w:r>
    </w:p>
    <w:tbl>
      <w:tblPr>
        <w:tblStyle w:val="a7"/>
        <w:tblW w:w="9360" w:type="dxa"/>
        <w:tblInd w:w="0" w:type="dxa"/>
        <w:tblLayout w:type="fixed"/>
        <w:tblLook w:val="0600" w:firstRow="0" w:lastRow="0" w:firstColumn="0" w:lastColumn="0" w:noHBand="1" w:noVBand="1"/>
      </w:tblPr>
      <w:tblGrid>
        <w:gridCol w:w="3705"/>
        <w:gridCol w:w="2280"/>
        <w:gridCol w:w="1560"/>
        <w:gridCol w:w="1815"/>
      </w:tblGrid>
      <w:tr w:rsidR="005C3EED">
        <w:trPr>
          <w:trHeight w:val="585"/>
        </w:trPr>
        <w:tc>
          <w:tcPr>
            <w:tcW w:w="3705" w:type="dxa"/>
            <w:tcBorders>
              <w:top w:val="single" w:sz="16" w:space="0" w:color="000000"/>
              <w:left w:val="nil"/>
              <w:bottom w:val="single" w:sz="8" w:space="0" w:color="000000"/>
              <w:right w:val="nil"/>
            </w:tcBorders>
            <w:tcMar>
              <w:top w:w="60" w:type="dxa"/>
              <w:left w:w="60" w:type="dxa"/>
              <w:bottom w:w="60" w:type="dxa"/>
              <w:right w:w="160" w:type="dxa"/>
            </w:tcMar>
          </w:tcPr>
          <w:p w:rsidR="005C3EED" w:rsidRDefault="005C3EED">
            <w:pPr>
              <w:jc w:val="center"/>
              <w:rPr>
                <w:sz w:val="20"/>
                <w:szCs w:val="20"/>
              </w:rPr>
            </w:pPr>
          </w:p>
        </w:tc>
        <w:tc>
          <w:tcPr>
            <w:tcW w:w="2280" w:type="dxa"/>
            <w:tcBorders>
              <w:top w:val="single" w:sz="16" w:space="0" w:color="000000"/>
              <w:left w:val="nil"/>
              <w:bottom w:val="single" w:sz="8" w:space="0" w:color="000000"/>
              <w:right w:val="nil"/>
            </w:tcBorders>
            <w:tcMar>
              <w:top w:w="60" w:type="dxa"/>
              <w:left w:w="160" w:type="dxa"/>
              <w:bottom w:w="60" w:type="dxa"/>
              <w:right w:w="160" w:type="dxa"/>
            </w:tcMar>
          </w:tcPr>
          <w:p w:rsidR="005C3EED" w:rsidRDefault="0014041C">
            <w:pPr>
              <w:jc w:val="center"/>
              <w:rPr>
                <w:b/>
                <w:sz w:val="20"/>
                <w:szCs w:val="20"/>
              </w:rPr>
            </w:pPr>
            <w:proofErr w:type="spellStart"/>
            <w:r>
              <w:rPr>
                <w:b/>
                <w:sz w:val="20"/>
                <w:szCs w:val="20"/>
              </w:rPr>
              <w:t>BOLD_Train</w:t>
            </w:r>
            <w:proofErr w:type="spellEnd"/>
          </w:p>
          <w:p w:rsidR="005C3EED" w:rsidRDefault="0014041C">
            <w:pPr>
              <w:jc w:val="center"/>
              <w:rPr>
                <w:sz w:val="20"/>
                <w:szCs w:val="20"/>
              </w:rPr>
            </w:pPr>
            <w:r>
              <w:rPr>
                <w:b/>
                <w:sz w:val="20"/>
                <w:szCs w:val="20"/>
              </w:rPr>
              <w:t>(N=4580)</w:t>
            </w:r>
          </w:p>
        </w:tc>
        <w:tc>
          <w:tcPr>
            <w:tcW w:w="1560" w:type="dxa"/>
            <w:tcBorders>
              <w:top w:val="single" w:sz="16" w:space="0" w:color="000000"/>
              <w:left w:val="nil"/>
              <w:bottom w:val="single" w:sz="8" w:space="0" w:color="000000"/>
              <w:right w:val="nil"/>
            </w:tcBorders>
            <w:tcMar>
              <w:top w:w="60" w:type="dxa"/>
              <w:left w:w="160" w:type="dxa"/>
              <w:bottom w:w="60" w:type="dxa"/>
              <w:right w:w="160" w:type="dxa"/>
            </w:tcMar>
          </w:tcPr>
          <w:p w:rsidR="005C3EED" w:rsidRDefault="0014041C">
            <w:pPr>
              <w:jc w:val="center"/>
              <w:rPr>
                <w:b/>
                <w:sz w:val="20"/>
                <w:szCs w:val="20"/>
              </w:rPr>
            </w:pPr>
            <w:proofErr w:type="spellStart"/>
            <w:r>
              <w:rPr>
                <w:b/>
                <w:sz w:val="20"/>
                <w:szCs w:val="20"/>
              </w:rPr>
              <w:t>BOLD_Test</w:t>
            </w:r>
            <w:proofErr w:type="spellEnd"/>
          </w:p>
          <w:p w:rsidR="005C3EED" w:rsidRDefault="0014041C">
            <w:pPr>
              <w:jc w:val="center"/>
              <w:rPr>
                <w:sz w:val="20"/>
                <w:szCs w:val="20"/>
              </w:rPr>
            </w:pPr>
            <w:r>
              <w:rPr>
                <w:b/>
                <w:sz w:val="20"/>
                <w:szCs w:val="20"/>
              </w:rPr>
              <w:t>(N=663)</w:t>
            </w:r>
          </w:p>
        </w:tc>
        <w:tc>
          <w:tcPr>
            <w:tcW w:w="1815" w:type="dxa"/>
            <w:tcBorders>
              <w:top w:val="single" w:sz="16" w:space="0" w:color="000000"/>
              <w:left w:val="nil"/>
              <w:bottom w:val="single" w:sz="8" w:space="0" w:color="000000"/>
              <w:right w:val="nil"/>
            </w:tcBorders>
            <w:tcMar>
              <w:top w:w="60" w:type="dxa"/>
              <w:left w:w="160" w:type="dxa"/>
              <w:bottom w:w="60" w:type="dxa"/>
              <w:right w:w="160" w:type="dxa"/>
            </w:tcMar>
          </w:tcPr>
          <w:p w:rsidR="005C3EED" w:rsidRDefault="0014041C">
            <w:pPr>
              <w:jc w:val="center"/>
              <w:rPr>
                <w:b/>
                <w:sz w:val="20"/>
                <w:szCs w:val="20"/>
              </w:rPr>
            </w:pPr>
            <w:r>
              <w:rPr>
                <w:b/>
                <w:sz w:val="20"/>
                <w:szCs w:val="20"/>
              </w:rPr>
              <w:t>LESS</w:t>
            </w:r>
          </w:p>
          <w:p w:rsidR="005C3EED" w:rsidRDefault="0014041C">
            <w:pPr>
              <w:jc w:val="center"/>
              <w:rPr>
                <w:sz w:val="20"/>
                <w:szCs w:val="20"/>
              </w:rPr>
            </w:pPr>
            <w:r>
              <w:rPr>
                <w:b/>
                <w:sz w:val="20"/>
                <w:szCs w:val="20"/>
              </w:rPr>
              <w:t>(N=400)</w:t>
            </w:r>
          </w:p>
        </w:tc>
      </w:tr>
      <w:tr w:rsidR="005C3EED">
        <w:trPr>
          <w:trHeight w:val="330"/>
        </w:trPr>
        <w:tc>
          <w:tcPr>
            <w:tcW w:w="3705" w:type="dxa"/>
            <w:tcBorders>
              <w:top w:val="nil"/>
              <w:left w:val="nil"/>
              <w:bottom w:val="nil"/>
              <w:right w:val="nil"/>
            </w:tcBorders>
            <w:tcMar>
              <w:top w:w="60" w:type="dxa"/>
              <w:left w:w="60" w:type="dxa"/>
              <w:bottom w:w="60" w:type="dxa"/>
              <w:right w:w="160" w:type="dxa"/>
            </w:tcMar>
          </w:tcPr>
          <w:p w:rsidR="005C3EED" w:rsidRDefault="0014041C">
            <w:pPr>
              <w:rPr>
                <w:sz w:val="20"/>
                <w:szCs w:val="20"/>
              </w:rPr>
            </w:pPr>
            <w:r>
              <w:rPr>
                <w:b/>
                <w:sz w:val="20"/>
                <w:szCs w:val="20"/>
              </w:rPr>
              <w:t>RMDQ score(baseline)</w:t>
            </w:r>
          </w:p>
        </w:tc>
        <w:tc>
          <w:tcPr>
            <w:tcW w:w="228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56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815"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r>
      <w:tr w:rsidR="005C3EED">
        <w:trPr>
          <w:trHeight w:val="330"/>
        </w:trPr>
        <w:tc>
          <w:tcPr>
            <w:tcW w:w="3705"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Mean (SD)</w:t>
            </w:r>
          </w:p>
        </w:tc>
        <w:tc>
          <w:tcPr>
            <w:tcW w:w="228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9.83 (6.31)</w:t>
            </w:r>
          </w:p>
        </w:tc>
        <w:tc>
          <w:tcPr>
            <w:tcW w:w="156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9.63 (6.47)</w:t>
            </w:r>
          </w:p>
        </w:tc>
        <w:tc>
          <w:tcPr>
            <w:tcW w:w="1815"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15.8 (4.37)</w:t>
            </w:r>
          </w:p>
        </w:tc>
      </w:tr>
      <w:tr w:rsidR="005C3EED">
        <w:trPr>
          <w:trHeight w:val="330"/>
        </w:trPr>
        <w:tc>
          <w:tcPr>
            <w:tcW w:w="3705"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Median [Min, Max]</w:t>
            </w:r>
          </w:p>
        </w:tc>
        <w:tc>
          <w:tcPr>
            <w:tcW w:w="228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10.0 [0, 24.0]</w:t>
            </w:r>
          </w:p>
        </w:tc>
        <w:tc>
          <w:tcPr>
            <w:tcW w:w="156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9.00 [0, 23.0]</w:t>
            </w:r>
          </w:p>
        </w:tc>
        <w:tc>
          <w:tcPr>
            <w:tcW w:w="1815"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17.0 [5.00, 24.0]</w:t>
            </w:r>
          </w:p>
        </w:tc>
      </w:tr>
      <w:tr w:rsidR="005C3EED">
        <w:trPr>
          <w:trHeight w:val="330"/>
        </w:trPr>
        <w:tc>
          <w:tcPr>
            <w:tcW w:w="3705"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Missing</w:t>
            </w:r>
          </w:p>
        </w:tc>
        <w:tc>
          <w:tcPr>
            <w:tcW w:w="228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507 (11.1%)</w:t>
            </w:r>
          </w:p>
        </w:tc>
        <w:tc>
          <w:tcPr>
            <w:tcW w:w="156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84 (12.7%)</w:t>
            </w:r>
          </w:p>
        </w:tc>
        <w:tc>
          <w:tcPr>
            <w:tcW w:w="1815"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0 (0%)</w:t>
            </w:r>
          </w:p>
        </w:tc>
      </w:tr>
      <w:tr w:rsidR="005C3EED">
        <w:trPr>
          <w:trHeight w:val="330"/>
        </w:trPr>
        <w:tc>
          <w:tcPr>
            <w:tcW w:w="3705" w:type="dxa"/>
            <w:tcBorders>
              <w:top w:val="nil"/>
              <w:left w:val="nil"/>
              <w:bottom w:val="nil"/>
              <w:right w:val="nil"/>
            </w:tcBorders>
            <w:tcMar>
              <w:top w:w="60" w:type="dxa"/>
              <w:left w:w="60" w:type="dxa"/>
              <w:bottom w:w="60" w:type="dxa"/>
              <w:right w:w="160" w:type="dxa"/>
            </w:tcMar>
          </w:tcPr>
          <w:p w:rsidR="005C3EED" w:rsidRDefault="0014041C">
            <w:pPr>
              <w:rPr>
                <w:sz w:val="20"/>
                <w:szCs w:val="20"/>
              </w:rPr>
            </w:pPr>
            <w:r>
              <w:rPr>
                <w:b/>
                <w:sz w:val="20"/>
                <w:szCs w:val="20"/>
              </w:rPr>
              <w:t>NRS back pain(baseline)</w:t>
            </w:r>
          </w:p>
        </w:tc>
        <w:tc>
          <w:tcPr>
            <w:tcW w:w="228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56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815"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r>
      <w:tr w:rsidR="005C3EED">
        <w:trPr>
          <w:trHeight w:val="330"/>
        </w:trPr>
        <w:tc>
          <w:tcPr>
            <w:tcW w:w="3705"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Mean (SD)</w:t>
            </w:r>
          </w:p>
        </w:tc>
        <w:tc>
          <w:tcPr>
            <w:tcW w:w="228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5.06 (2.79)</w:t>
            </w:r>
          </w:p>
        </w:tc>
        <w:tc>
          <w:tcPr>
            <w:tcW w:w="156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5.02 (2.78)</w:t>
            </w:r>
          </w:p>
        </w:tc>
        <w:tc>
          <w:tcPr>
            <w:tcW w:w="1815"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6.66 (2.47)</w:t>
            </w:r>
          </w:p>
        </w:tc>
      </w:tr>
      <w:tr w:rsidR="005C3EED">
        <w:trPr>
          <w:trHeight w:val="330"/>
        </w:trPr>
        <w:tc>
          <w:tcPr>
            <w:tcW w:w="3705"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Median [Min, Max]</w:t>
            </w:r>
          </w:p>
        </w:tc>
        <w:tc>
          <w:tcPr>
            <w:tcW w:w="228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5.00 [0, 10.0]</w:t>
            </w:r>
          </w:p>
        </w:tc>
        <w:tc>
          <w:tcPr>
            <w:tcW w:w="156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5.00 [0, 10.0]</w:t>
            </w:r>
          </w:p>
        </w:tc>
        <w:tc>
          <w:tcPr>
            <w:tcW w:w="1815"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7.00 [0, 10.0]</w:t>
            </w:r>
          </w:p>
        </w:tc>
      </w:tr>
      <w:tr w:rsidR="005C3EED">
        <w:trPr>
          <w:trHeight w:val="330"/>
        </w:trPr>
        <w:tc>
          <w:tcPr>
            <w:tcW w:w="3705"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Missing</w:t>
            </w:r>
          </w:p>
        </w:tc>
        <w:tc>
          <w:tcPr>
            <w:tcW w:w="228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507 (11.1%)</w:t>
            </w:r>
          </w:p>
        </w:tc>
        <w:tc>
          <w:tcPr>
            <w:tcW w:w="156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84 (12.7%)</w:t>
            </w:r>
          </w:p>
        </w:tc>
        <w:tc>
          <w:tcPr>
            <w:tcW w:w="1815"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0 (0%)</w:t>
            </w:r>
          </w:p>
        </w:tc>
      </w:tr>
      <w:tr w:rsidR="005C3EED">
        <w:trPr>
          <w:trHeight w:val="330"/>
        </w:trPr>
        <w:tc>
          <w:tcPr>
            <w:tcW w:w="3705" w:type="dxa"/>
            <w:tcBorders>
              <w:top w:val="nil"/>
              <w:left w:val="nil"/>
              <w:bottom w:val="nil"/>
              <w:right w:val="nil"/>
            </w:tcBorders>
            <w:tcMar>
              <w:top w:w="60" w:type="dxa"/>
              <w:left w:w="60" w:type="dxa"/>
              <w:bottom w:w="60" w:type="dxa"/>
              <w:right w:w="160" w:type="dxa"/>
            </w:tcMar>
          </w:tcPr>
          <w:p w:rsidR="005C3EED" w:rsidRDefault="0014041C">
            <w:pPr>
              <w:rPr>
                <w:sz w:val="20"/>
                <w:szCs w:val="20"/>
              </w:rPr>
            </w:pPr>
            <w:r>
              <w:rPr>
                <w:b/>
                <w:sz w:val="20"/>
                <w:szCs w:val="20"/>
              </w:rPr>
              <w:t>NRS leg pain(baseline)</w:t>
            </w:r>
          </w:p>
        </w:tc>
        <w:tc>
          <w:tcPr>
            <w:tcW w:w="228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56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815"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r>
      <w:tr w:rsidR="005C3EED">
        <w:trPr>
          <w:trHeight w:val="330"/>
        </w:trPr>
        <w:tc>
          <w:tcPr>
            <w:tcW w:w="3705"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Mean (SD)</w:t>
            </w:r>
          </w:p>
        </w:tc>
        <w:tc>
          <w:tcPr>
            <w:tcW w:w="228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3.53 (3.30)</w:t>
            </w:r>
          </w:p>
        </w:tc>
        <w:tc>
          <w:tcPr>
            <w:tcW w:w="156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3.42 (3.37)</w:t>
            </w:r>
          </w:p>
        </w:tc>
        <w:tc>
          <w:tcPr>
            <w:tcW w:w="1815"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7.20 (1.83)</w:t>
            </w:r>
          </w:p>
        </w:tc>
      </w:tr>
      <w:tr w:rsidR="005C3EED">
        <w:trPr>
          <w:trHeight w:val="330"/>
        </w:trPr>
        <w:tc>
          <w:tcPr>
            <w:tcW w:w="3705"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Median [Min, Max]</w:t>
            </w:r>
          </w:p>
        </w:tc>
        <w:tc>
          <w:tcPr>
            <w:tcW w:w="228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3.00 [0, 10.0]</w:t>
            </w:r>
          </w:p>
        </w:tc>
        <w:tc>
          <w:tcPr>
            <w:tcW w:w="156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3.00 [0, 10.0]</w:t>
            </w:r>
          </w:p>
        </w:tc>
        <w:tc>
          <w:tcPr>
            <w:tcW w:w="1815"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7.00 [1.00, 10.0]</w:t>
            </w:r>
          </w:p>
        </w:tc>
      </w:tr>
      <w:tr w:rsidR="005C3EED">
        <w:trPr>
          <w:trHeight w:val="330"/>
        </w:trPr>
        <w:tc>
          <w:tcPr>
            <w:tcW w:w="3705"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Missing</w:t>
            </w:r>
          </w:p>
        </w:tc>
        <w:tc>
          <w:tcPr>
            <w:tcW w:w="228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507 (11.1%)</w:t>
            </w:r>
          </w:p>
        </w:tc>
        <w:tc>
          <w:tcPr>
            <w:tcW w:w="156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85 (12.8%)</w:t>
            </w:r>
          </w:p>
        </w:tc>
        <w:tc>
          <w:tcPr>
            <w:tcW w:w="1815"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0 (0%)</w:t>
            </w:r>
          </w:p>
        </w:tc>
      </w:tr>
      <w:tr w:rsidR="005C3EED">
        <w:trPr>
          <w:trHeight w:val="330"/>
        </w:trPr>
        <w:tc>
          <w:tcPr>
            <w:tcW w:w="3705" w:type="dxa"/>
            <w:tcBorders>
              <w:top w:val="nil"/>
              <w:left w:val="nil"/>
              <w:bottom w:val="nil"/>
              <w:right w:val="nil"/>
            </w:tcBorders>
            <w:tcMar>
              <w:top w:w="60" w:type="dxa"/>
              <w:left w:w="60" w:type="dxa"/>
              <w:bottom w:w="60" w:type="dxa"/>
              <w:right w:w="160" w:type="dxa"/>
            </w:tcMar>
          </w:tcPr>
          <w:p w:rsidR="005C3EED" w:rsidRDefault="0014041C">
            <w:pPr>
              <w:rPr>
                <w:sz w:val="20"/>
                <w:szCs w:val="20"/>
              </w:rPr>
            </w:pPr>
            <w:r>
              <w:rPr>
                <w:b/>
                <w:sz w:val="20"/>
                <w:szCs w:val="20"/>
              </w:rPr>
              <w:t>How confident is the patient that the back of leg pain will be completely gone or will be much better 3 month from now?</w:t>
            </w:r>
          </w:p>
        </w:tc>
        <w:tc>
          <w:tcPr>
            <w:tcW w:w="228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56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815"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r>
      <w:tr w:rsidR="005C3EED">
        <w:trPr>
          <w:trHeight w:val="330"/>
        </w:trPr>
        <w:tc>
          <w:tcPr>
            <w:tcW w:w="3705"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Mean (SD)</w:t>
            </w:r>
          </w:p>
        </w:tc>
        <w:tc>
          <w:tcPr>
            <w:tcW w:w="228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5.49 (3.71)</w:t>
            </w:r>
          </w:p>
        </w:tc>
        <w:tc>
          <w:tcPr>
            <w:tcW w:w="156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5.42 (3.58)</w:t>
            </w:r>
          </w:p>
        </w:tc>
        <w:tc>
          <w:tcPr>
            <w:tcW w:w="1815"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7.71 (1.85)</w:t>
            </w:r>
          </w:p>
        </w:tc>
      </w:tr>
      <w:tr w:rsidR="005C3EED">
        <w:trPr>
          <w:trHeight w:val="330"/>
        </w:trPr>
        <w:tc>
          <w:tcPr>
            <w:tcW w:w="3705"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Median [Min, Max]</w:t>
            </w:r>
          </w:p>
        </w:tc>
        <w:tc>
          <w:tcPr>
            <w:tcW w:w="228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5.00 [0, 10.0]</w:t>
            </w:r>
          </w:p>
        </w:tc>
        <w:tc>
          <w:tcPr>
            <w:tcW w:w="156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5.00 [0, 10.0]</w:t>
            </w:r>
          </w:p>
        </w:tc>
        <w:tc>
          <w:tcPr>
            <w:tcW w:w="1815"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8.00 [2.00, 10.0]</w:t>
            </w:r>
          </w:p>
        </w:tc>
      </w:tr>
      <w:tr w:rsidR="005C3EED">
        <w:trPr>
          <w:trHeight w:val="330"/>
        </w:trPr>
        <w:tc>
          <w:tcPr>
            <w:tcW w:w="3705"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Missing</w:t>
            </w:r>
          </w:p>
        </w:tc>
        <w:tc>
          <w:tcPr>
            <w:tcW w:w="228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516 (11.3%)</w:t>
            </w:r>
          </w:p>
        </w:tc>
        <w:tc>
          <w:tcPr>
            <w:tcW w:w="156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86 (13.0%)</w:t>
            </w:r>
          </w:p>
        </w:tc>
        <w:tc>
          <w:tcPr>
            <w:tcW w:w="1815"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7 (1.8%)</w:t>
            </w:r>
          </w:p>
        </w:tc>
      </w:tr>
      <w:tr w:rsidR="005C3EED">
        <w:trPr>
          <w:trHeight w:val="330"/>
        </w:trPr>
        <w:tc>
          <w:tcPr>
            <w:tcW w:w="3705" w:type="dxa"/>
            <w:tcBorders>
              <w:top w:val="nil"/>
              <w:left w:val="nil"/>
              <w:bottom w:val="nil"/>
              <w:right w:val="nil"/>
            </w:tcBorders>
            <w:tcMar>
              <w:top w:w="60" w:type="dxa"/>
              <w:left w:w="60" w:type="dxa"/>
              <w:bottom w:w="60" w:type="dxa"/>
              <w:right w:w="160" w:type="dxa"/>
            </w:tcMar>
          </w:tcPr>
          <w:p w:rsidR="005C3EED" w:rsidRDefault="0014041C">
            <w:pPr>
              <w:rPr>
                <w:sz w:val="20"/>
                <w:szCs w:val="20"/>
              </w:rPr>
            </w:pPr>
            <w:r>
              <w:rPr>
                <w:b/>
                <w:sz w:val="20"/>
                <w:szCs w:val="20"/>
              </w:rPr>
              <w:t>Patient Health Questionnaire 4(baseline)</w:t>
            </w:r>
          </w:p>
        </w:tc>
        <w:tc>
          <w:tcPr>
            <w:tcW w:w="228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56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815"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r>
      <w:tr w:rsidR="005C3EED">
        <w:trPr>
          <w:trHeight w:val="330"/>
        </w:trPr>
        <w:tc>
          <w:tcPr>
            <w:tcW w:w="3705"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Mean (SD)</w:t>
            </w:r>
          </w:p>
        </w:tc>
        <w:tc>
          <w:tcPr>
            <w:tcW w:w="228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1.65 (2.51)</w:t>
            </w:r>
          </w:p>
        </w:tc>
        <w:tc>
          <w:tcPr>
            <w:tcW w:w="156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1.58 (2.46)</w:t>
            </w:r>
          </w:p>
        </w:tc>
        <w:tc>
          <w:tcPr>
            <w:tcW w:w="1815"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3.11 (3.04)</w:t>
            </w:r>
          </w:p>
        </w:tc>
      </w:tr>
      <w:tr w:rsidR="005C3EED">
        <w:trPr>
          <w:trHeight w:val="330"/>
        </w:trPr>
        <w:tc>
          <w:tcPr>
            <w:tcW w:w="3705"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lastRenderedPageBreak/>
              <w:t>Median [Min, Max]</w:t>
            </w:r>
          </w:p>
        </w:tc>
        <w:tc>
          <w:tcPr>
            <w:tcW w:w="228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0 [0, 12.0]</w:t>
            </w:r>
          </w:p>
        </w:tc>
        <w:tc>
          <w:tcPr>
            <w:tcW w:w="156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0 [0, 12.0]</w:t>
            </w:r>
          </w:p>
        </w:tc>
        <w:tc>
          <w:tcPr>
            <w:tcW w:w="1815"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2.00 [0, 12.0]</w:t>
            </w:r>
          </w:p>
        </w:tc>
      </w:tr>
      <w:tr w:rsidR="005C3EED">
        <w:trPr>
          <w:trHeight w:val="330"/>
        </w:trPr>
        <w:tc>
          <w:tcPr>
            <w:tcW w:w="3705"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Missing</w:t>
            </w:r>
          </w:p>
        </w:tc>
        <w:tc>
          <w:tcPr>
            <w:tcW w:w="228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522 (11.4%)</w:t>
            </w:r>
          </w:p>
        </w:tc>
        <w:tc>
          <w:tcPr>
            <w:tcW w:w="156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85 (12.8%)</w:t>
            </w:r>
          </w:p>
        </w:tc>
        <w:tc>
          <w:tcPr>
            <w:tcW w:w="1815"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15 (3.8%)</w:t>
            </w:r>
          </w:p>
        </w:tc>
      </w:tr>
      <w:tr w:rsidR="005C3EED">
        <w:trPr>
          <w:trHeight w:val="330"/>
        </w:trPr>
        <w:tc>
          <w:tcPr>
            <w:tcW w:w="3705" w:type="dxa"/>
            <w:tcBorders>
              <w:top w:val="nil"/>
              <w:left w:val="nil"/>
              <w:bottom w:val="nil"/>
              <w:right w:val="nil"/>
            </w:tcBorders>
            <w:tcMar>
              <w:top w:w="60" w:type="dxa"/>
              <w:left w:w="60" w:type="dxa"/>
              <w:bottom w:w="60" w:type="dxa"/>
              <w:right w:w="160" w:type="dxa"/>
            </w:tcMar>
          </w:tcPr>
          <w:p w:rsidR="005C3EED" w:rsidRDefault="0014041C">
            <w:pPr>
              <w:rPr>
                <w:sz w:val="20"/>
                <w:szCs w:val="20"/>
              </w:rPr>
            </w:pPr>
            <w:r>
              <w:rPr>
                <w:b/>
                <w:sz w:val="20"/>
                <w:szCs w:val="20"/>
              </w:rPr>
              <w:t>Times of fallen in past 3 weeks(baseline)</w:t>
            </w:r>
          </w:p>
        </w:tc>
        <w:tc>
          <w:tcPr>
            <w:tcW w:w="228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56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815"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r>
      <w:tr w:rsidR="005C3EED">
        <w:trPr>
          <w:trHeight w:val="330"/>
        </w:trPr>
        <w:tc>
          <w:tcPr>
            <w:tcW w:w="3705"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No</w:t>
            </w:r>
          </w:p>
        </w:tc>
        <w:tc>
          <w:tcPr>
            <w:tcW w:w="228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3756 (82.0%)</w:t>
            </w:r>
          </w:p>
        </w:tc>
        <w:tc>
          <w:tcPr>
            <w:tcW w:w="156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538 (81.1%)</w:t>
            </w:r>
          </w:p>
        </w:tc>
        <w:tc>
          <w:tcPr>
            <w:tcW w:w="1815"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356 (89.0%)</w:t>
            </w:r>
          </w:p>
        </w:tc>
      </w:tr>
      <w:tr w:rsidR="005C3EED">
        <w:trPr>
          <w:trHeight w:val="330"/>
        </w:trPr>
        <w:tc>
          <w:tcPr>
            <w:tcW w:w="3705"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 xml:space="preserve">One or more falls in the past e </w:t>
            </w:r>
            <w:proofErr w:type="spellStart"/>
            <w:r>
              <w:rPr>
                <w:sz w:val="20"/>
                <w:szCs w:val="20"/>
              </w:rPr>
              <w:t>wk</w:t>
            </w:r>
            <w:proofErr w:type="spellEnd"/>
          </w:p>
        </w:tc>
        <w:tc>
          <w:tcPr>
            <w:tcW w:w="228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316 (6.9%)</w:t>
            </w:r>
          </w:p>
        </w:tc>
        <w:tc>
          <w:tcPr>
            <w:tcW w:w="156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39 (5.9%)</w:t>
            </w:r>
          </w:p>
        </w:tc>
        <w:tc>
          <w:tcPr>
            <w:tcW w:w="1815"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42 (10.5%)</w:t>
            </w:r>
          </w:p>
        </w:tc>
      </w:tr>
      <w:tr w:rsidR="005C3EED">
        <w:trPr>
          <w:trHeight w:val="330"/>
        </w:trPr>
        <w:tc>
          <w:tcPr>
            <w:tcW w:w="3705"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Missing</w:t>
            </w:r>
          </w:p>
        </w:tc>
        <w:tc>
          <w:tcPr>
            <w:tcW w:w="228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508 (11.1%)</w:t>
            </w:r>
          </w:p>
        </w:tc>
        <w:tc>
          <w:tcPr>
            <w:tcW w:w="156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86 (13.0%)</w:t>
            </w:r>
          </w:p>
        </w:tc>
        <w:tc>
          <w:tcPr>
            <w:tcW w:w="1815"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2 (0.5%)</w:t>
            </w:r>
          </w:p>
        </w:tc>
      </w:tr>
      <w:tr w:rsidR="005C3EED">
        <w:trPr>
          <w:trHeight w:val="330"/>
        </w:trPr>
        <w:tc>
          <w:tcPr>
            <w:tcW w:w="3705" w:type="dxa"/>
            <w:tcBorders>
              <w:top w:val="nil"/>
              <w:left w:val="nil"/>
              <w:bottom w:val="nil"/>
              <w:right w:val="nil"/>
            </w:tcBorders>
            <w:tcMar>
              <w:top w:w="60" w:type="dxa"/>
              <w:left w:w="60" w:type="dxa"/>
              <w:bottom w:w="60" w:type="dxa"/>
              <w:right w:w="160" w:type="dxa"/>
            </w:tcMar>
          </w:tcPr>
          <w:p w:rsidR="005C3EED" w:rsidRDefault="0014041C">
            <w:pPr>
              <w:rPr>
                <w:sz w:val="20"/>
                <w:szCs w:val="20"/>
              </w:rPr>
            </w:pPr>
            <w:r>
              <w:rPr>
                <w:b/>
                <w:sz w:val="20"/>
                <w:szCs w:val="20"/>
              </w:rPr>
              <w:t>Brief Pain Inventory score(baseline)</w:t>
            </w:r>
          </w:p>
        </w:tc>
        <w:tc>
          <w:tcPr>
            <w:tcW w:w="228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56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815"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r>
      <w:tr w:rsidR="005C3EED">
        <w:trPr>
          <w:trHeight w:val="330"/>
        </w:trPr>
        <w:tc>
          <w:tcPr>
            <w:tcW w:w="3705"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Mean (SD)</w:t>
            </w:r>
          </w:p>
        </w:tc>
        <w:tc>
          <w:tcPr>
            <w:tcW w:w="228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3.39 (2.46)</w:t>
            </w:r>
          </w:p>
        </w:tc>
        <w:tc>
          <w:tcPr>
            <w:tcW w:w="156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3.30 (2.52)</w:t>
            </w:r>
          </w:p>
        </w:tc>
        <w:tc>
          <w:tcPr>
            <w:tcW w:w="1815"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6.10 (2.29)</w:t>
            </w:r>
          </w:p>
        </w:tc>
      </w:tr>
      <w:tr w:rsidR="005C3EED">
        <w:trPr>
          <w:trHeight w:val="330"/>
        </w:trPr>
        <w:tc>
          <w:tcPr>
            <w:tcW w:w="3705"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Median [Min, Max]</w:t>
            </w:r>
          </w:p>
        </w:tc>
        <w:tc>
          <w:tcPr>
            <w:tcW w:w="228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3.14 [0, 10.0]</w:t>
            </w:r>
          </w:p>
        </w:tc>
        <w:tc>
          <w:tcPr>
            <w:tcW w:w="156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3.00 [0, 9.71]</w:t>
            </w:r>
          </w:p>
        </w:tc>
        <w:tc>
          <w:tcPr>
            <w:tcW w:w="1815"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6.50 [0, 10.0]</w:t>
            </w:r>
          </w:p>
        </w:tc>
      </w:tr>
      <w:tr w:rsidR="005C3EED">
        <w:trPr>
          <w:trHeight w:val="330"/>
        </w:trPr>
        <w:tc>
          <w:tcPr>
            <w:tcW w:w="3705"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Missing</w:t>
            </w:r>
          </w:p>
        </w:tc>
        <w:tc>
          <w:tcPr>
            <w:tcW w:w="228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507 (11.1%)</w:t>
            </w:r>
          </w:p>
        </w:tc>
        <w:tc>
          <w:tcPr>
            <w:tcW w:w="156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84 (12.7%)</w:t>
            </w:r>
          </w:p>
        </w:tc>
        <w:tc>
          <w:tcPr>
            <w:tcW w:w="1815"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 (0.2%)</w:t>
            </w:r>
          </w:p>
        </w:tc>
      </w:tr>
      <w:tr w:rsidR="005C3EED">
        <w:trPr>
          <w:trHeight w:val="330"/>
        </w:trPr>
        <w:tc>
          <w:tcPr>
            <w:tcW w:w="3705" w:type="dxa"/>
            <w:tcBorders>
              <w:top w:val="nil"/>
              <w:left w:val="nil"/>
              <w:bottom w:val="nil"/>
              <w:right w:val="nil"/>
            </w:tcBorders>
            <w:tcMar>
              <w:top w:w="60" w:type="dxa"/>
              <w:left w:w="60" w:type="dxa"/>
              <w:bottom w:w="60" w:type="dxa"/>
              <w:right w:w="160" w:type="dxa"/>
            </w:tcMar>
          </w:tcPr>
          <w:p w:rsidR="005C3EED" w:rsidRDefault="0014041C">
            <w:pPr>
              <w:rPr>
                <w:sz w:val="20"/>
                <w:szCs w:val="20"/>
              </w:rPr>
            </w:pPr>
            <w:r>
              <w:rPr>
                <w:b/>
                <w:sz w:val="20"/>
                <w:szCs w:val="20"/>
              </w:rPr>
              <w:t>EQ5D-VAS 0-100(baseline)</w:t>
            </w:r>
          </w:p>
        </w:tc>
        <w:tc>
          <w:tcPr>
            <w:tcW w:w="228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56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815"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r>
      <w:tr w:rsidR="005C3EED">
        <w:trPr>
          <w:trHeight w:val="330"/>
        </w:trPr>
        <w:tc>
          <w:tcPr>
            <w:tcW w:w="3705"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Mean (SD)</w:t>
            </w:r>
          </w:p>
        </w:tc>
        <w:tc>
          <w:tcPr>
            <w:tcW w:w="228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74.4 (18.4)</w:t>
            </w:r>
          </w:p>
        </w:tc>
        <w:tc>
          <w:tcPr>
            <w:tcW w:w="156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73.6 (18.7)</w:t>
            </w:r>
          </w:p>
        </w:tc>
        <w:tc>
          <w:tcPr>
            <w:tcW w:w="1815"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66.4 (20.8)</w:t>
            </w:r>
          </w:p>
        </w:tc>
      </w:tr>
      <w:tr w:rsidR="005C3EED">
        <w:trPr>
          <w:trHeight w:val="330"/>
        </w:trPr>
        <w:tc>
          <w:tcPr>
            <w:tcW w:w="3705"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Median [Min, Max]</w:t>
            </w:r>
          </w:p>
        </w:tc>
        <w:tc>
          <w:tcPr>
            <w:tcW w:w="228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80.0 [0, 100]</w:t>
            </w:r>
          </w:p>
        </w:tc>
        <w:tc>
          <w:tcPr>
            <w:tcW w:w="156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80.0 [0, 100]</w:t>
            </w:r>
          </w:p>
        </w:tc>
        <w:tc>
          <w:tcPr>
            <w:tcW w:w="1815"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70.0 [3.00, 100]</w:t>
            </w:r>
          </w:p>
        </w:tc>
      </w:tr>
      <w:tr w:rsidR="005C3EED">
        <w:trPr>
          <w:trHeight w:val="330"/>
        </w:trPr>
        <w:tc>
          <w:tcPr>
            <w:tcW w:w="3705"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Missing</w:t>
            </w:r>
          </w:p>
        </w:tc>
        <w:tc>
          <w:tcPr>
            <w:tcW w:w="228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6 (0.1%)</w:t>
            </w:r>
          </w:p>
        </w:tc>
        <w:tc>
          <w:tcPr>
            <w:tcW w:w="156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3 (0.5%)</w:t>
            </w:r>
          </w:p>
        </w:tc>
        <w:tc>
          <w:tcPr>
            <w:tcW w:w="1815"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11 (2.8%)</w:t>
            </w:r>
          </w:p>
        </w:tc>
      </w:tr>
      <w:tr w:rsidR="005C3EED">
        <w:trPr>
          <w:trHeight w:val="330"/>
        </w:trPr>
        <w:tc>
          <w:tcPr>
            <w:tcW w:w="3705" w:type="dxa"/>
            <w:tcBorders>
              <w:top w:val="nil"/>
              <w:left w:val="nil"/>
              <w:bottom w:val="nil"/>
              <w:right w:val="nil"/>
            </w:tcBorders>
            <w:tcMar>
              <w:top w:w="60" w:type="dxa"/>
              <w:left w:w="60" w:type="dxa"/>
              <w:bottom w:w="60" w:type="dxa"/>
              <w:right w:w="160" w:type="dxa"/>
            </w:tcMar>
          </w:tcPr>
          <w:p w:rsidR="005C3EED" w:rsidRDefault="0014041C">
            <w:pPr>
              <w:rPr>
                <w:sz w:val="20"/>
                <w:szCs w:val="20"/>
              </w:rPr>
            </w:pPr>
            <w:r>
              <w:rPr>
                <w:b/>
                <w:sz w:val="20"/>
                <w:szCs w:val="20"/>
              </w:rPr>
              <w:t>EQ5D-Index 0-1(baseline)</w:t>
            </w:r>
          </w:p>
        </w:tc>
        <w:tc>
          <w:tcPr>
            <w:tcW w:w="228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560"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c>
          <w:tcPr>
            <w:tcW w:w="1815" w:type="dxa"/>
            <w:tcBorders>
              <w:top w:val="nil"/>
              <w:left w:val="nil"/>
              <w:bottom w:val="nil"/>
              <w:right w:val="nil"/>
            </w:tcBorders>
            <w:tcMar>
              <w:top w:w="60" w:type="dxa"/>
              <w:left w:w="160" w:type="dxa"/>
              <w:bottom w:w="60" w:type="dxa"/>
              <w:right w:w="160" w:type="dxa"/>
            </w:tcMar>
          </w:tcPr>
          <w:p w:rsidR="005C3EED" w:rsidRDefault="005C3EED">
            <w:pPr>
              <w:jc w:val="center"/>
              <w:rPr>
                <w:sz w:val="20"/>
                <w:szCs w:val="20"/>
              </w:rPr>
            </w:pPr>
          </w:p>
        </w:tc>
      </w:tr>
      <w:tr w:rsidR="005C3EED">
        <w:trPr>
          <w:trHeight w:val="330"/>
        </w:trPr>
        <w:tc>
          <w:tcPr>
            <w:tcW w:w="3705"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Mean (SD)</w:t>
            </w:r>
          </w:p>
        </w:tc>
        <w:tc>
          <w:tcPr>
            <w:tcW w:w="228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0.756 (0.174)</w:t>
            </w:r>
          </w:p>
        </w:tc>
        <w:tc>
          <w:tcPr>
            <w:tcW w:w="156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0.756 (0.183)</w:t>
            </w:r>
          </w:p>
        </w:tc>
        <w:tc>
          <w:tcPr>
            <w:tcW w:w="1815"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0.578 (0.203)</w:t>
            </w:r>
          </w:p>
        </w:tc>
      </w:tr>
      <w:tr w:rsidR="005C3EED">
        <w:trPr>
          <w:trHeight w:val="330"/>
        </w:trPr>
        <w:tc>
          <w:tcPr>
            <w:tcW w:w="3705" w:type="dxa"/>
            <w:tcBorders>
              <w:top w:val="nil"/>
              <w:left w:val="nil"/>
              <w:bottom w:val="nil"/>
              <w:right w:val="nil"/>
            </w:tcBorders>
            <w:tcMar>
              <w:top w:w="60" w:type="dxa"/>
              <w:left w:w="260" w:type="dxa"/>
              <w:bottom w:w="60" w:type="dxa"/>
              <w:right w:w="160" w:type="dxa"/>
            </w:tcMar>
          </w:tcPr>
          <w:p w:rsidR="005C3EED" w:rsidRDefault="0014041C">
            <w:pPr>
              <w:rPr>
                <w:sz w:val="20"/>
                <w:szCs w:val="20"/>
              </w:rPr>
            </w:pPr>
            <w:r>
              <w:rPr>
                <w:sz w:val="20"/>
                <w:szCs w:val="20"/>
              </w:rPr>
              <w:t>Median [Min, Max]</w:t>
            </w:r>
          </w:p>
        </w:tc>
        <w:tc>
          <w:tcPr>
            <w:tcW w:w="228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0.778 [-0.109, 1.00]</w:t>
            </w:r>
          </w:p>
        </w:tc>
        <w:tc>
          <w:tcPr>
            <w:tcW w:w="1560"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0.778 [-0.0384, 1.00]</w:t>
            </w:r>
          </w:p>
        </w:tc>
        <w:tc>
          <w:tcPr>
            <w:tcW w:w="1815" w:type="dxa"/>
            <w:tcBorders>
              <w:top w:val="nil"/>
              <w:left w:val="nil"/>
              <w:bottom w:val="nil"/>
              <w:right w:val="nil"/>
            </w:tcBorders>
            <w:tcMar>
              <w:top w:w="60" w:type="dxa"/>
              <w:left w:w="160" w:type="dxa"/>
              <w:bottom w:w="60" w:type="dxa"/>
              <w:right w:w="160" w:type="dxa"/>
            </w:tcMar>
          </w:tcPr>
          <w:p w:rsidR="005C3EED" w:rsidRDefault="0014041C">
            <w:pPr>
              <w:jc w:val="center"/>
              <w:rPr>
                <w:sz w:val="20"/>
                <w:szCs w:val="20"/>
              </w:rPr>
            </w:pPr>
            <w:r>
              <w:rPr>
                <w:sz w:val="20"/>
                <w:szCs w:val="20"/>
              </w:rPr>
              <w:t>0.597 [0.0494, 1.00]</w:t>
            </w:r>
          </w:p>
        </w:tc>
      </w:tr>
      <w:tr w:rsidR="005C3EED">
        <w:trPr>
          <w:trHeight w:val="345"/>
        </w:trPr>
        <w:tc>
          <w:tcPr>
            <w:tcW w:w="3705" w:type="dxa"/>
            <w:tcBorders>
              <w:top w:val="nil"/>
              <w:left w:val="nil"/>
              <w:bottom w:val="single" w:sz="16" w:space="0" w:color="000000"/>
              <w:right w:val="nil"/>
            </w:tcBorders>
            <w:tcMar>
              <w:top w:w="60" w:type="dxa"/>
              <w:left w:w="260" w:type="dxa"/>
              <w:bottom w:w="60" w:type="dxa"/>
              <w:right w:w="160" w:type="dxa"/>
            </w:tcMar>
          </w:tcPr>
          <w:p w:rsidR="005C3EED" w:rsidRDefault="0014041C">
            <w:pPr>
              <w:rPr>
                <w:sz w:val="20"/>
                <w:szCs w:val="20"/>
              </w:rPr>
            </w:pPr>
            <w:r>
              <w:rPr>
                <w:sz w:val="20"/>
                <w:szCs w:val="20"/>
              </w:rPr>
              <w:t>Missing</w:t>
            </w:r>
          </w:p>
        </w:tc>
        <w:tc>
          <w:tcPr>
            <w:tcW w:w="2280" w:type="dxa"/>
            <w:tcBorders>
              <w:top w:val="nil"/>
              <w:left w:val="nil"/>
              <w:bottom w:val="single" w:sz="16" w:space="0" w:color="000000"/>
              <w:right w:val="nil"/>
            </w:tcBorders>
            <w:tcMar>
              <w:top w:w="60" w:type="dxa"/>
              <w:left w:w="160" w:type="dxa"/>
              <w:bottom w:w="60" w:type="dxa"/>
              <w:right w:w="160" w:type="dxa"/>
            </w:tcMar>
          </w:tcPr>
          <w:p w:rsidR="005C3EED" w:rsidRDefault="0014041C">
            <w:pPr>
              <w:jc w:val="center"/>
              <w:rPr>
                <w:sz w:val="20"/>
                <w:szCs w:val="20"/>
              </w:rPr>
            </w:pPr>
            <w:r>
              <w:rPr>
                <w:sz w:val="20"/>
                <w:szCs w:val="20"/>
              </w:rPr>
              <w:t>11 (0.2%)</w:t>
            </w:r>
          </w:p>
        </w:tc>
        <w:tc>
          <w:tcPr>
            <w:tcW w:w="1560" w:type="dxa"/>
            <w:tcBorders>
              <w:top w:val="nil"/>
              <w:left w:val="nil"/>
              <w:bottom w:val="single" w:sz="16" w:space="0" w:color="000000"/>
              <w:right w:val="nil"/>
            </w:tcBorders>
            <w:tcMar>
              <w:top w:w="60" w:type="dxa"/>
              <w:left w:w="160" w:type="dxa"/>
              <w:bottom w:w="60" w:type="dxa"/>
              <w:right w:w="160" w:type="dxa"/>
            </w:tcMar>
          </w:tcPr>
          <w:p w:rsidR="005C3EED" w:rsidRDefault="0014041C">
            <w:pPr>
              <w:jc w:val="center"/>
              <w:rPr>
                <w:sz w:val="20"/>
                <w:szCs w:val="20"/>
              </w:rPr>
            </w:pPr>
            <w:r>
              <w:rPr>
                <w:sz w:val="20"/>
                <w:szCs w:val="20"/>
              </w:rPr>
              <w:t>4 (0.6%)</w:t>
            </w:r>
          </w:p>
        </w:tc>
        <w:tc>
          <w:tcPr>
            <w:tcW w:w="1815" w:type="dxa"/>
            <w:tcBorders>
              <w:top w:val="nil"/>
              <w:left w:val="nil"/>
              <w:bottom w:val="single" w:sz="16" w:space="0" w:color="000000"/>
              <w:right w:val="nil"/>
            </w:tcBorders>
            <w:tcMar>
              <w:top w:w="60" w:type="dxa"/>
              <w:left w:w="160" w:type="dxa"/>
              <w:bottom w:w="60" w:type="dxa"/>
              <w:right w:w="160" w:type="dxa"/>
            </w:tcMar>
          </w:tcPr>
          <w:p w:rsidR="005C3EED" w:rsidRDefault="0014041C">
            <w:pPr>
              <w:jc w:val="center"/>
              <w:rPr>
                <w:sz w:val="20"/>
                <w:szCs w:val="20"/>
              </w:rPr>
            </w:pPr>
            <w:r>
              <w:rPr>
                <w:sz w:val="20"/>
                <w:szCs w:val="20"/>
              </w:rPr>
              <w:t>1 (0.2%)</w:t>
            </w:r>
          </w:p>
        </w:tc>
      </w:tr>
    </w:tbl>
    <w:p w:rsidR="005C3EED" w:rsidRDefault="0014041C">
      <w:pPr>
        <w:pBdr>
          <w:top w:val="nil"/>
          <w:left w:val="nil"/>
          <w:bottom w:val="nil"/>
          <w:right w:val="nil"/>
          <w:between w:val="nil"/>
        </w:pBdr>
        <w:rPr>
          <w:sz w:val="20"/>
          <w:szCs w:val="20"/>
        </w:rPr>
      </w:pPr>
      <w:r>
        <w:rPr>
          <w:sz w:val="20"/>
          <w:szCs w:val="20"/>
        </w:rPr>
        <w:t>*SD, standard deviation; NRS, numerical rating scale; PHQ-4, Patient Health Questionnaire 4, question version asking about depression and anxiety; EQ5D-Index, European Quality of Life 5 Dimension Index; EQ5D-VAS, European Quality of Life 5 Dimension Visual Analog Scale; PRO, patient reported outcome; RMDQ, Roland-Morris Disability Questionnaire.</w:t>
      </w:r>
    </w:p>
    <w:p w:rsidR="005C3EED" w:rsidRDefault="005C3EED">
      <w:pPr>
        <w:spacing w:line="360" w:lineRule="auto"/>
      </w:pPr>
    </w:p>
    <w:p w:rsidR="005C3EED" w:rsidRDefault="005C3EED">
      <w:pPr>
        <w:pBdr>
          <w:top w:val="nil"/>
          <w:left w:val="nil"/>
          <w:bottom w:val="nil"/>
          <w:right w:val="nil"/>
          <w:between w:val="nil"/>
        </w:pBdr>
        <w:rPr>
          <w:sz w:val="24"/>
          <w:szCs w:val="24"/>
        </w:rPr>
      </w:pPr>
    </w:p>
    <w:p w:rsidR="005C3EED" w:rsidRDefault="0014041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3.2 Modeling for Aim 1: Develop and validate a predictive model in BOLD</w:t>
      </w:r>
    </w:p>
    <w:p w:rsidR="005C3EED" w:rsidRDefault="005C3EED">
      <w:pPr>
        <w:rPr>
          <w:rFonts w:ascii="Times New Roman" w:eastAsia="Times New Roman" w:hAnsi="Times New Roman" w:cs="Times New Roman"/>
          <w:b/>
          <w:sz w:val="24"/>
          <w:szCs w:val="24"/>
        </w:rPr>
      </w:pPr>
    </w:p>
    <w:p w:rsidR="005C3EED" w:rsidRDefault="0014041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3.2.1 Primary model: prediction of 3-month RMDQ (continuous variable)</w:t>
      </w:r>
    </w:p>
    <w:p w:rsidR="005C3EED" w:rsidRDefault="005C3EED">
      <w:pPr>
        <w:rPr>
          <w:rFonts w:ascii="Times New Roman" w:eastAsia="Times New Roman" w:hAnsi="Times New Roman" w:cs="Times New Roman"/>
        </w:rPr>
      </w:pP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Model 1 testing on LESS-1 containing 171 patients who had PRO variables as well as LESS-2 containing 94 patients who have both EHR and PRO had the highest R</w:t>
      </w:r>
      <w:r>
        <w:rPr>
          <w:vertAlign w:val="superscript"/>
        </w:rPr>
        <w:t>2</w:t>
      </w:r>
      <w:r>
        <w:rPr>
          <w:rFonts w:ascii="Times New Roman" w:eastAsia="Times New Roman" w:hAnsi="Times New Roman" w:cs="Times New Roman"/>
          <w:sz w:val="24"/>
          <w:szCs w:val="24"/>
        </w:rPr>
        <w:t xml:space="preserve"> and lowest MSE (</w:t>
      </w:r>
      <w:r>
        <w:rPr>
          <w:rFonts w:ascii="Times New Roman" w:eastAsia="Times New Roman" w:hAnsi="Times New Roman" w:cs="Times New Roman"/>
          <w:b/>
          <w:sz w:val="24"/>
          <w:szCs w:val="24"/>
        </w:rPr>
        <w:t>Fig. 3</w:t>
      </w:r>
      <w:r>
        <w:rPr>
          <w:rFonts w:ascii="Times New Roman" w:eastAsia="Times New Roman" w:hAnsi="Times New Roman" w:cs="Times New Roman"/>
          <w:sz w:val="24"/>
          <w:szCs w:val="24"/>
        </w:rPr>
        <w:t xml:space="preserve">). To be </w:t>
      </w:r>
      <w:proofErr w:type="gramStart"/>
      <w:r>
        <w:rPr>
          <w:rFonts w:ascii="Times New Roman" w:eastAsia="Times New Roman" w:hAnsi="Times New Roman" w:cs="Times New Roman"/>
          <w:sz w:val="24"/>
          <w:szCs w:val="24"/>
        </w:rPr>
        <w:t>specific,  the</w:t>
      </w:r>
      <w:proofErr w:type="gramEnd"/>
      <w:r>
        <w:rPr>
          <w:rFonts w:ascii="Times New Roman" w:eastAsia="Times New Roman" w:hAnsi="Times New Roman" w:cs="Times New Roman"/>
          <w:sz w:val="24"/>
          <w:szCs w:val="24"/>
        </w:rPr>
        <w:t xml:space="preserve"> R</w:t>
      </w:r>
      <w:r>
        <w:rPr>
          <w:vertAlign w:val="superscript"/>
        </w:rPr>
        <w:t xml:space="preserve">2 </w:t>
      </w:r>
      <w:r>
        <w:rPr>
          <w:rFonts w:ascii="Times New Roman" w:eastAsia="Times New Roman" w:hAnsi="Times New Roman" w:cs="Times New Roman"/>
          <w:sz w:val="24"/>
          <w:szCs w:val="24"/>
        </w:rPr>
        <w:t>was 34% using the model 1 on LESS-1 and 22% on LESS -2,  21% using the model 2, and 19% using the model 3 (</w:t>
      </w:r>
      <w:r>
        <w:rPr>
          <w:rFonts w:ascii="Times New Roman" w:eastAsia="Times New Roman" w:hAnsi="Times New Roman" w:cs="Times New Roman"/>
          <w:b/>
          <w:sz w:val="24"/>
          <w:szCs w:val="24"/>
        </w:rPr>
        <w:t>Fig. 3</w:t>
      </w:r>
      <w:r>
        <w:rPr>
          <w:rFonts w:ascii="Times New Roman" w:eastAsia="Times New Roman" w:hAnsi="Times New Roman" w:cs="Times New Roman"/>
          <w:sz w:val="24"/>
          <w:szCs w:val="24"/>
        </w:rPr>
        <w:t xml:space="preserve">), indicating that the additional EHR </w:t>
      </w:r>
      <w:r>
        <w:rPr>
          <w:rFonts w:ascii="Times New Roman" w:eastAsia="Times New Roman" w:hAnsi="Times New Roman" w:cs="Times New Roman"/>
          <w:sz w:val="24"/>
          <w:szCs w:val="24"/>
        </w:rPr>
        <w:lastRenderedPageBreak/>
        <w:t xml:space="preserve">variables including disease diagnosis and interventions did not provide additional prognostic information. Based on the </w:t>
      </w:r>
      <w:proofErr w:type="gramStart"/>
      <w:r>
        <w:rPr>
          <w:rFonts w:ascii="Times New Roman" w:eastAsia="Times New Roman" w:hAnsi="Times New Roman" w:cs="Times New Roman"/>
          <w:sz w:val="24"/>
          <w:szCs w:val="24"/>
        </w:rPr>
        <w:t>result,  we</w:t>
      </w:r>
      <w:proofErr w:type="gramEnd"/>
      <w:r>
        <w:rPr>
          <w:rFonts w:ascii="Times New Roman" w:eastAsia="Times New Roman" w:hAnsi="Times New Roman" w:cs="Times New Roman"/>
          <w:sz w:val="24"/>
          <w:szCs w:val="24"/>
        </w:rPr>
        <w:t xml:space="preserve"> chose model 1 as the appropriate predictive model.  Using the training dataset, this LASSO baseline model selected 21 out </w:t>
      </w:r>
      <w:proofErr w:type="gramStart"/>
      <w:r>
        <w:rPr>
          <w:rFonts w:ascii="Times New Roman" w:eastAsia="Times New Roman" w:hAnsi="Times New Roman" w:cs="Times New Roman"/>
          <w:sz w:val="24"/>
          <w:szCs w:val="24"/>
        </w:rPr>
        <w:t>of  27</w:t>
      </w:r>
      <w:proofErr w:type="gramEnd"/>
      <w:r>
        <w:rPr>
          <w:rFonts w:ascii="Times New Roman" w:eastAsia="Times New Roman" w:hAnsi="Times New Roman" w:cs="Times New Roman"/>
          <w:sz w:val="24"/>
          <w:szCs w:val="24"/>
        </w:rPr>
        <w:t xml:space="preserve"> possible variables. The model excluded the variables </w:t>
      </w:r>
      <w:proofErr w:type="spellStart"/>
      <w:r>
        <w:rPr>
          <w:rFonts w:ascii="Times New Roman" w:eastAsia="Times New Roman" w:hAnsi="Times New Roman" w:cs="Times New Roman"/>
          <w:sz w:val="24"/>
          <w:szCs w:val="24"/>
        </w:rPr>
        <w:t>hispanic</w:t>
      </w:r>
      <w:proofErr w:type="spellEnd"/>
      <w:r>
        <w:rPr>
          <w:rFonts w:ascii="Times New Roman" w:eastAsia="Times New Roman" w:hAnsi="Times New Roman" w:cs="Times New Roman"/>
          <w:sz w:val="24"/>
          <w:szCs w:val="24"/>
        </w:rPr>
        <w:t xml:space="preserve"> ethnicity, having had a college education, marital status, having a lawyer involved in current pain or health, and having quit smoking over a year ago. </w:t>
      </w:r>
    </w:p>
    <w:p w:rsidR="005C3EED" w:rsidRDefault="005C3EED">
      <w:pPr>
        <w:spacing w:line="240" w:lineRule="auto"/>
        <w:rPr>
          <w:rFonts w:ascii="Times New Roman" w:eastAsia="Times New Roman" w:hAnsi="Times New Roman" w:cs="Times New Roman"/>
          <w:sz w:val="24"/>
          <w:szCs w:val="24"/>
        </w:rPr>
      </w:pPr>
    </w:p>
    <w:p w:rsidR="005C3EED" w:rsidRDefault="0014041C">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extent cx="5943600" cy="3314700"/>
            <wp:effectExtent l="0" t="0" r="0" b="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943600" cy="3314700"/>
                    </a:xfrm>
                    <a:prstGeom prst="rect">
                      <a:avLst/>
                    </a:prstGeom>
                    <a:ln/>
                  </pic:spPr>
                </pic:pic>
              </a:graphicData>
            </a:graphic>
          </wp:inline>
        </w:drawing>
      </w:r>
    </w:p>
    <w:p w:rsidR="005C3EED" w:rsidRDefault="0014041C">
      <w:pP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Fig. 2</w:t>
      </w:r>
      <w:r>
        <w:rPr>
          <w:sz w:val="20"/>
          <w:szCs w:val="20"/>
        </w:rPr>
        <w:t xml:space="preserve">. </w:t>
      </w:r>
      <w:r>
        <w:rPr>
          <w:rFonts w:ascii="Times New Roman" w:eastAsia="Times New Roman" w:hAnsi="Times New Roman" w:cs="Times New Roman"/>
          <w:sz w:val="20"/>
          <w:szCs w:val="20"/>
        </w:rPr>
        <w:t>Scatter plot comparing actual RMDQ versus predicted RMDQ generated by Model 1 among LESS patients with control treatment.</w:t>
      </w:r>
    </w:p>
    <w:p w:rsidR="005C3EED" w:rsidRDefault="005C3EED">
      <w:pPr>
        <w:spacing w:line="240" w:lineRule="auto"/>
        <w:rPr>
          <w:rFonts w:ascii="Times New Roman" w:eastAsia="Times New Roman" w:hAnsi="Times New Roman" w:cs="Times New Roman"/>
          <w:sz w:val="20"/>
          <w:szCs w:val="20"/>
        </w:rPr>
      </w:pPr>
    </w:p>
    <w:p w:rsidR="005C3EED" w:rsidRDefault="0014041C">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7239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943600" cy="723900"/>
                    </a:xfrm>
                    <a:prstGeom prst="rect">
                      <a:avLst/>
                    </a:prstGeom>
                    <a:ln/>
                  </pic:spPr>
                </pic:pic>
              </a:graphicData>
            </a:graphic>
          </wp:inline>
        </w:drawing>
      </w:r>
    </w:p>
    <w:p w:rsidR="005C3EED" w:rsidRDefault="0014041C">
      <w:pPr>
        <w:rPr>
          <w:rFonts w:ascii="Times New Roman" w:eastAsia="Times New Roman" w:hAnsi="Times New Roman" w:cs="Times New Roman"/>
          <w:sz w:val="20"/>
          <w:szCs w:val="20"/>
        </w:rPr>
      </w:pPr>
      <w:r>
        <w:rPr>
          <w:rFonts w:ascii="Times New Roman" w:eastAsia="Times New Roman" w:hAnsi="Times New Roman" w:cs="Times New Roman"/>
          <w:b/>
          <w:sz w:val="20"/>
          <w:szCs w:val="20"/>
        </w:rPr>
        <w:t>Fig. 3</w:t>
      </w:r>
      <w:r>
        <w:rPr>
          <w:sz w:val="20"/>
          <w:szCs w:val="20"/>
        </w:rPr>
        <w:t>.</w:t>
      </w:r>
      <w:r>
        <w:rPr>
          <w:rFonts w:ascii="Times New Roman" w:eastAsia="Times New Roman" w:hAnsi="Times New Roman" w:cs="Times New Roman"/>
          <w:sz w:val="20"/>
          <w:szCs w:val="20"/>
        </w:rPr>
        <w:t xml:space="preserve"> Prediction performance of continuous 3-month RMDQ as the outcome for each model. MSE and R</w:t>
      </w:r>
      <w:r>
        <w:rPr>
          <w:sz w:val="18"/>
          <w:szCs w:val="18"/>
          <w:vertAlign w:val="superscript"/>
        </w:rPr>
        <w:t xml:space="preserve">2 </w:t>
      </w:r>
      <w:r>
        <w:rPr>
          <w:rFonts w:ascii="Times New Roman" w:eastAsia="Times New Roman" w:hAnsi="Times New Roman" w:cs="Times New Roman"/>
          <w:sz w:val="20"/>
          <w:szCs w:val="20"/>
        </w:rPr>
        <w:t>were calculated for the BOLD training set, BOLD testing set and LESS testing set.</w:t>
      </w:r>
    </w:p>
    <w:p w:rsidR="005C3EED" w:rsidRDefault="005C3EED">
      <w:pPr>
        <w:rPr>
          <w:rFonts w:ascii="Times New Roman" w:eastAsia="Times New Roman" w:hAnsi="Times New Roman" w:cs="Times New Roman"/>
          <w:sz w:val="20"/>
          <w:szCs w:val="20"/>
        </w:rPr>
      </w:pPr>
    </w:p>
    <w:p w:rsidR="005C3EED" w:rsidRDefault="005C3EED">
      <w:pPr>
        <w:rPr>
          <w:rFonts w:ascii="Times New Roman" w:eastAsia="Times New Roman" w:hAnsi="Times New Roman" w:cs="Times New Roman"/>
          <w:b/>
          <w:sz w:val="24"/>
          <w:szCs w:val="24"/>
        </w:rPr>
      </w:pPr>
    </w:p>
    <w:p w:rsidR="005C3EED" w:rsidRDefault="0014041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3.2.2 Secondary models: Prediction of 3-month back pain NRS (continuous variable)</w:t>
      </w:r>
    </w:p>
    <w:p w:rsidR="005C3EED" w:rsidRDefault="005C3EED">
      <w:pPr>
        <w:rPr>
          <w:rFonts w:ascii="Times New Roman" w:eastAsia="Times New Roman" w:hAnsi="Times New Roman" w:cs="Times New Roman"/>
          <w:sz w:val="20"/>
          <w:szCs w:val="20"/>
        </w:rPr>
      </w:pPr>
    </w:p>
    <w:p w:rsidR="005C3EED" w:rsidRDefault="0014041C">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extent cx="5943600" cy="7112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943600" cy="711200"/>
                    </a:xfrm>
                    <a:prstGeom prst="rect">
                      <a:avLst/>
                    </a:prstGeom>
                    <a:ln/>
                  </pic:spPr>
                </pic:pic>
              </a:graphicData>
            </a:graphic>
          </wp:inline>
        </w:drawing>
      </w:r>
    </w:p>
    <w:p w:rsidR="005C3EED" w:rsidRDefault="0014041C">
      <w:pPr>
        <w:rPr>
          <w:rFonts w:ascii="Times New Roman" w:eastAsia="Times New Roman" w:hAnsi="Times New Roman" w:cs="Times New Roman"/>
          <w:sz w:val="20"/>
          <w:szCs w:val="20"/>
        </w:rPr>
      </w:pPr>
      <w:r>
        <w:rPr>
          <w:rFonts w:ascii="Times New Roman" w:eastAsia="Times New Roman" w:hAnsi="Times New Roman" w:cs="Times New Roman"/>
          <w:b/>
          <w:sz w:val="20"/>
          <w:szCs w:val="20"/>
        </w:rPr>
        <w:t>Fig. 4</w:t>
      </w:r>
      <w:r>
        <w:rPr>
          <w:sz w:val="20"/>
          <w:szCs w:val="20"/>
        </w:rPr>
        <w:t>.</w:t>
      </w:r>
      <w:r>
        <w:rPr>
          <w:rFonts w:ascii="Times New Roman" w:eastAsia="Times New Roman" w:hAnsi="Times New Roman" w:cs="Times New Roman"/>
          <w:sz w:val="20"/>
          <w:szCs w:val="20"/>
        </w:rPr>
        <w:t xml:space="preserve"> Prediction performance of continuous 3-month back pain NRS scores as the outcome for each model. MSE and R</w:t>
      </w:r>
      <w:r>
        <w:rPr>
          <w:sz w:val="18"/>
          <w:szCs w:val="18"/>
          <w:vertAlign w:val="superscript"/>
        </w:rPr>
        <w:t>2</w:t>
      </w:r>
      <w:r>
        <w:rPr>
          <w:rFonts w:ascii="Times New Roman" w:eastAsia="Times New Roman" w:hAnsi="Times New Roman" w:cs="Times New Roman"/>
          <w:sz w:val="20"/>
          <w:szCs w:val="20"/>
        </w:rPr>
        <w:t xml:space="preserve"> were calculated for the BOLD training set, BOLD testing set and LESS testing set. </w:t>
      </w:r>
    </w:p>
    <w:p w:rsidR="005C3EED" w:rsidRDefault="005C3EED">
      <w:pPr>
        <w:rPr>
          <w:rFonts w:ascii="Times New Roman" w:eastAsia="Times New Roman" w:hAnsi="Times New Roman" w:cs="Times New Roman"/>
          <w:sz w:val="24"/>
          <w:szCs w:val="24"/>
        </w:rPr>
      </w:pP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continuous NRS back pain score, three sequential models all had similar performance on both BOLD sets and LESS testing sets. The R</w:t>
      </w:r>
      <w:r>
        <w:rPr>
          <w:vertAlign w:val="superscript"/>
        </w:rPr>
        <w:t>2</w:t>
      </w:r>
      <w:r>
        <w:rPr>
          <w:rFonts w:ascii="Times New Roman" w:eastAsia="Times New Roman" w:hAnsi="Times New Roman" w:cs="Times New Roman"/>
          <w:sz w:val="24"/>
          <w:szCs w:val="24"/>
        </w:rPr>
        <w:t xml:space="preserve"> was 13% using the model 1 on LESS-1 and 7% on LESS-</w:t>
      </w:r>
      <w:proofErr w:type="gramStart"/>
      <w:r>
        <w:rPr>
          <w:rFonts w:ascii="Times New Roman" w:eastAsia="Times New Roman" w:hAnsi="Times New Roman" w:cs="Times New Roman"/>
          <w:sz w:val="24"/>
          <w:szCs w:val="24"/>
        </w:rPr>
        <w:t>2,  8</w:t>
      </w:r>
      <w:proofErr w:type="gramEnd"/>
      <w:r>
        <w:rPr>
          <w:rFonts w:ascii="Times New Roman" w:eastAsia="Times New Roman" w:hAnsi="Times New Roman" w:cs="Times New Roman"/>
          <w:sz w:val="24"/>
          <w:szCs w:val="24"/>
        </w:rPr>
        <w:t>% using the model 2, and 7% using the model 3 (</w:t>
      </w:r>
      <w:r>
        <w:rPr>
          <w:rFonts w:ascii="Times New Roman" w:eastAsia="Times New Roman" w:hAnsi="Times New Roman" w:cs="Times New Roman"/>
          <w:b/>
          <w:sz w:val="24"/>
          <w:szCs w:val="24"/>
        </w:rPr>
        <w:t>Fig. 4</w:t>
      </w:r>
      <w:r>
        <w:rPr>
          <w:rFonts w:ascii="Times New Roman" w:eastAsia="Times New Roman" w:hAnsi="Times New Roman" w:cs="Times New Roman"/>
          <w:sz w:val="24"/>
          <w:szCs w:val="24"/>
        </w:rPr>
        <w:t>). We can conclude that Model 2 had highest R</w:t>
      </w:r>
      <w:r>
        <w:rPr>
          <w:vertAlign w:val="superscript"/>
        </w:rPr>
        <w:t>2</w:t>
      </w:r>
      <w:r>
        <w:rPr>
          <w:rFonts w:ascii="Times New Roman" w:eastAsia="Times New Roman" w:hAnsi="Times New Roman" w:cs="Times New Roman"/>
          <w:sz w:val="24"/>
          <w:szCs w:val="24"/>
        </w:rPr>
        <w:t xml:space="preserve"> while Model 1 had lowest MSE among patients with control treatment and within LESS-2.  However, neither of these three models provided sufficient predictive power for further evaluation of HTE in the LESS trial. Therefore, we decided not to use continuous back pain score as the endpoint in Aim 1.</w:t>
      </w:r>
    </w:p>
    <w:p w:rsidR="005C3EED" w:rsidRDefault="005C3EED">
      <w:pPr>
        <w:rPr>
          <w:rFonts w:ascii="Times New Roman" w:eastAsia="Times New Roman" w:hAnsi="Times New Roman" w:cs="Times New Roman"/>
        </w:rPr>
      </w:pPr>
    </w:p>
    <w:p w:rsidR="005C3EED" w:rsidRDefault="005C3EED">
      <w:pPr>
        <w:rPr>
          <w:rFonts w:ascii="Times New Roman" w:eastAsia="Times New Roman" w:hAnsi="Times New Roman" w:cs="Times New Roman"/>
        </w:rPr>
      </w:pPr>
    </w:p>
    <w:p w:rsidR="005C3EED" w:rsidRDefault="0014041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3.3 Modeling for Aim 2: Treatment Effect Modeling to Identify HTE in LESS</w:t>
      </w:r>
    </w:p>
    <w:p w:rsidR="005C3EED" w:rsidRDefault="005C3EED">
      <w:pPr>
        <w:rPr>
          <w:rFonts w:ascii="Times New Roman" w:eastAsia="Times New Roman" w:hAnsi="Times New Roman" w:cs="Times New Roman"/>
          <w:b/>
          <w:sz w:val="24"/>
          <w:szCs w:val="24"/>
        </w:rPr>
      </w:pPr>
    </w:p>
    <w:p w:rsidR="005C3EED" w:rsidRDefault="0014041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divided patients into four quartiles based on the risk scores generated from analysis of BOLD. For each risk strata from lowest quantile to the highest quantile, the range of their risk scores is (4.26, 10.22), (10.23, 12.79), (12.81, 15.19), (15.20, 20.11) (</w:t>
      </w:r>
      <w:r>
        <w:rPr>
          <w:rFonts w:ascii="Times New Roman" w:eastAsia="Times New Roman" w:hAnsi="Times New Roman" w:cs="Times New Roman"/>
          <w:b/>
          <w:sz w:val="24"/>
          <w:szCs w:val="24"/>
        </w:rPr>
        <w:t>Fig. 5</w:t>
      </w:r>
      <w:r>
        <w:rPr>
          <w:rFonts w:ascii="Times New Roman" w:eastAsia="Times New Roman" w:hAnsi="Times New Roman" w:cs="Times New Roman"/>
          <w:sz w:val="24"/>
          <w:szCs w:val="24"/>
        </w:rPr>
        <w:t xml:space="preserve">). </w:t>
      </w:r>
    </w:p>
    <w:p w:rsidR="005C3EED" w:rsidRDefault="0014041C">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highlight w:val="white"/>
        </w:rPr>
        <w:drawing>
          <wp:inline distT="114300" distB="114300" distL="114300" distR="114300">
            <wp:extent cx="5943600" cy="32385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943600" cy="3238500"/>
                    </a:xfrm>
                    <a:prstGeom prst="rect">
                      <a:avLst/>
                    </a:prstGeom>
                    <a:ln/>
                  </pic:spPr>
                </pic:pic>
              </a:graphicData>
            </a:graphic>
          </wp:inline>
        </w:drawing>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b/>
          <w:sz w:val="20"/>
          <w:szCs w:val="20"/>
        </w:rPr>
        <w:t>Fig. 5</w:t>
      </w:r>
      <w:r>
        <w:rPr>
          <w:sz w:val="20"/>
          <w:szCs w:val="20"/>
        </w:rPr>
        <w:t>.</w:t>
      </w:r>
      <w:r>
        <w:rPr>
          <w:rFonts w:ascii="Times New Roman" w:eastAsia="Times New Roman" w:hAnsi="Times New Roman" w:cs="Times New Roman"/>
          <w:sz w:val="20"/>
          <w:szCs w:val="20"/>
        </w:rPr>
        <w:t xml:space="preserve"> Plot of distribution </w:t>
      </w:r>
      <w:proofErr w:type="gramStart"/>
      <w:r>
        <w:rPr>
          <w:rFonts w:ascii="Times New Roman" w:eastAsia="Times New Roman" w:hAnsi="Times New Roman" w:cs="Times New Roman"/>
          <w:sz w:val="20"/>
          <w:szCs w:val="20"/>
        </w:rPr>
        <w:t>of  risk</w:t>
      </w:r>
      <w:proofErr w:type="gramEnd"/>
      <w:r>
        <w:rPr>
          <w:rFonts w:ascii="Times New Roman" w:eastAsia="Times New Roman" w:hAnsi="Times New Roman" w:cs="Times New Roman"/>
          <w:sz w:val="20"/>
          <w:szCs w:val="20"/>
        </w:rPr>
        <w:t xml:space="preserve"> scores four risk strata divided by quartiles. The red dotted line represents the range of each quartile.</w:t>
      </w:r>
    </w:p>
    <w:p w:rsidR="005C3EED" w:rsidRDefault="005C3EED">
      <w:pPr>
        <w:jc w:val="both"/>
        <w:rPr>
          <w:rFonts w:ascii="Times New Roman" w:eastAsia="Times New Roman" w:hAnsi="Times New Roman" w:cs="Times New Roman"/>
          <w:sz w:val="24"/>
          <w:szCs w:val="24"/>
        </w:rPr>
      </w:pPr>
    </w:p>
    <w:p w:rsidR="005C3EED" w:rsidRDefault="0014041C">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Fig. </w:t>
      </w:r>
      <w:proofErr w:type="gramStart"/>
      <w:r>
        <w:rPr>
          <w:rFonts w:ascii="Times New Roman" w:eastAsia="Times New Roman" w:hAnsi="Times New Roman" w:cs="Times New Roman"/>
          <w:sz w:val="24"/>
          <w:szCs w:val="24"/>
        </w:rPr>
        <w:t>6  below</w:t>
      </w:r>
      <w:proofErr w:type="gramEnd"/>
      <w:r>
        <w:rPr>
          <w:rFonts w:ascii="Times New Roman" w:eastAsia="Times New Roman" w:hAnsi="Times New Roman" w:cs="Times New Roman"/>
          <w:sz w:val="24"/>
          <w:szCs w:val="24"/>
        </w:rPr>
        <w:t xml:space="preserve"> showed the heterogeneity of epidural glucocorticoid injections effect among 4 risk strata for 6-week RMDQ and 6-week back pain NRS respectively. For 6-week continuous RMDQ, there was a decreasing trend from stratum 1 to stratum 3 indicating patients with higher predicted risk received more benefit from the epidural glucocorticoid injections. The treatment benefit was generally similar (although slightly smaller) in the stratum 4 (average treatment effect, -2.10 points; 95%CI, -4.42 to 0.22). We also identified that patients receiving epidural glucocorticoid injections within strata 3 had significant treatment benefit (average treatment effect, -2.36 points; 95%CI</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lastRenderedPageBreak/>
        <w:t xml:space="preserve">4.58 to -0.14). </w:t>
      </w:r>
      <w:r>
        <w:rPr>
          <w:rFonts w:ascii="Times New Roman" w:eastAsia="Times New Roman" w:hAnsi="Times New Roman" w:cs="Times New Roman"/>
          <w:sz w:val="24"/>
          <w:szCs w:val="24"/>
          <w:highlight w:val="white"/>
        </w:rPr>
        <w:t xml:space="preserve">According to the Wald test with robust standard error, there was no statistically significant difference (p-value=0.19 &gt; 0.05) of treatment effect across each </w:t>
      </w:r>
      <w:proofErr w:type="gramStart"/>
      <w:r>
        <w:rPr>
          <w:rFonts w:ascii="Times New Roman" w:eastAsia="Times New Roman" w:hAnsi="Times New Roman" w:cs="Times New Roman"/>
          <w:sz w:val="24"/>
          <w:szCs w:val="24"/>
          <w:highlight w:val="white"/>
        </w:rPr>
        <w:t>strata</w:t>
      </w:r>
      <w:proofErr w:type="gram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b/>
          <w:sz w:val="24"/>
          <w:szCs w:val="24"/>
          <w:highlight w:val="white"/>
        </w:rPr>
        <w:t>Table 5</w:t>
      </w:r>
      <w:r>
        <w:rPr>
          <w:rFonts w:ascii="Times New Roman" w:eastAsia="Times New Roman" w:hAnsi="Times New Roman" w:cs="Times New Roman"/>
          <w:sz w:val="24"/>
          <w:szCs w:val="24"/>
          <w:highlight w:val="white"/>
        </w:rPr>
        <w:t>).</w:t>
      </w:r>
    </w:p>
    <w:p w:rsidR="005C3EED" w:rsidRDefault="005C3EED">
      <w:pPr>
        <w:rPr>
          <w:rFonts w:ascii="Times New Roman" w:eastAsia="Times New Roman" w:hAnsi="Times New Roman" w:cs="Times New Roman"/>
          <w:sz w:val="20"/>
          <w:szCs w:val="20"/>
        </w:rPr>
      </w:pPr>
    </w:p>
    <w:p w:rsidR="005C3EED" w:rsidRDefault="005C3EED">
      <w:pPr>
        <w:rPr>
          <w:rFonts w:ascii="Times New Roman" w:eastAsia="Times New Roman" w:hAnsi="Times New Roman" w:cs="Times New Roman"/>
          <w:sz w:val="24"/>
          <w:szCs w:val="24"/>
          <w:highlight w:val="white"/>
        </w:rPr>
      </w:pPr>
    </w:p>
    <w:p w:rsidR="005C3EED" w:rsidRDefault="0014041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4. Results of the strata analysis performed for continuous outcomes</w:t>
      </w:r>
    </w:p>
    <w:p w:rsidR="005C3EED" w:rsidRDefault="0014041C">
      <w:pPr>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extent cx="5272088" cy="1326471"/>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272088" cy="1326471"/>
                    </a:xfrm>
                    <a:prstGeom prst="rect">
                      <a:avLst/>
                    </a:prstGeom>
                    <a:ln/>
                  </pic:spPr>
                </pic:pic>
              </a:graphicData>
            </a:graphic>
          </wp:inline>
        </w:drawing>
      </w:r>
    </w:p>
    <w:p w:rsidR="005C3EED" w:rsidRDefault="005C3EED">
      <w:pPr>
        <w:jc w:val="center"/>
        <w:rPr>
          <w:rFonts w:ascii="Times New Roman" w:eastAsia="Times New Roman" w:hAnsi="Times New Roman" w:cs="Times New Roman"/>
          <w:b/>
          <w:sz w:val="24"/>
          <w:szCs w:val="24"/>
        </w:rPr>
      </w:pP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b/>
          <w:sz w:val="20"/>
          <w:szCs w:val="20"/>
        </w:rPr>
        <w:t xml:space="preserve">Table 5. </w:t>
      </w:r>
      <w:r>
        <w:rPr>
          <w:rFonts w:ascii="Times New Roman" w:eastAsia="Times New Roman" w:hAnsi="Times New Roman" w:cs="Times New Roman"/>
          <w:sz w:val="20"/>
          <w:szCs w:val="20"/>
        </w:rPr>
        <w:t xml:space="preserve">Modeling results of the strata analysis performed for continuous outcomes. Point estimate and 95% confidence interval were shown in the table for each </w:t>
      </w:r>
      <w:proofErr w:type="gramStart"/>
      <w:r>
        <w:rPr>
          <w:rFonts w:ascii="Times New Roman" w:eastAsia="Times New Roman" w:hAnsi="Times New Roman" w:cs="Times New Roman"/>
          <w:sz w:val="20"/>
          <w:szCs w:val="20"/>
        </w:rPr>
        <w:t>covariates</w:t>
      </w:r>
      <w:proofErr w:type="gramEnd"/>
      <w:r>
        <w:rPr>
          <w:rFonts w:ascii="Times New Roman" w:eastAsia="Times New Roman" w:hAnsi="Times New Roman" w:cs="Times New Roman"/>
          <w:sz w:val="20"/>
          <w:szCs w:val="20"/>
        </w:rPr>
        <w:t xml:space="preserve">. The P-value testing significance of interaction terms was calculated using Wald test with robust Huber Sandwich Estimator for RMDQ and back pain NRS respectively. </w:t>
      </w:r>
    </w:p>
    <w:p w:rsidR="005C3EED" w:rsidRDefault="005C3EED">
      <w:pPr>
        <w:rPr>
          <w:rFonts w:ascii="Times New Roman" w:eastAsia="Times New Roman" w:hAnsi="Times New Roman" w:cs="Times New Roman"/>
          <w:sz w:val="24"/>
          <w:szCs w:val="24"/>
        </w:rPr>
      </w:pPr>
    </w:p>
    <w:p w:rsidR="005C3EED" w:rsidRDefault="0014041C">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For 6-week continuous NRS, the treatment effect also showed a decreasing trend from low risk group to high risk group, with stratum 4 having the most treatment benefit (average treatment effect, -0.</w:t>
      </w:r>
      <w:proofErr w:type="gramStart"/>
      <w:r>
        <w:rPr>
          <w:rFonts w:ascii="Times New Roman" w:eastAsia="Times New Roman" w:hAnsi="Times New Roman" w:cs="Times New Roman"/>
          <w:sz w:val="24"/>
          <w:szCs w:val="24"/>
          <w:highlight w:val="white"/>
        </w:rPr>
        <w:t>92  points</w:t>
      </w:r>
      <w:proofErr w:type="gramEnd"/>
      <w:r>
        <w:rPr>
          <w:rFonts w:ascii="Times New Roman" w:eastAsia="Times New Roman" w:hAnsi="Times New Roman" w:cs="Times New Roman"/>
          <w:sz w:val="24"/>
          <w:szCs w:val="24"/>
          <w:highlight w:val="white"/>
        </w:rPr>
        <w:t xml:space="preserve">; 95%CI,  -2.10 to 0.25). The P-value 0.48 (&gt; 0.05) calculated using Wald test with robust standard error showed that there was no statistically significant difference of treatment effect across each strata when using 6-week back pain NRS as </w:t>
      </w:r>
      <w:proofErr w:type="gramStart"/>
      <w:r>
        <w:rPr>
          <w:rFonts w:ascii="Times New Roman" w:eastAsia="Times New Roman" w:hAnsi="Times New Roman" w:cs="Times New Roman"/>
          <w:sz w:val="24"/>
          <w:szCs w:val="24"/>
          <w:highlight w:val="white"/>
        </w:rPr>
        <w:t>endpoints .</w:t>
      </w:r>
      <w:proofErr w:type="gramEnd"/>
    </w:p>
    <w:p w:rsidR="005C3EED" w:rsidRDefault="005C3EED">
      <w:pPr>
        <w:jc w:val="both"/>
        <w:rPr>
          <w:rFonts w:ascii="Times New Roman" w:eastAsia="Times New Roman" w:hAnsi="Times New Roman" w:cs="Times New Roman"/>
          <w:sz w:val="24"/>
          <w:szCs w:val="24"/>
          <w:highlight w:val="white"/>
        </w:rPr>
      </w:pPr>
    </w:p>
    <w:p w:rsidR="005C3EED" w:rsidRDefault="0014041C">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2235200"/>
            <wp:effectExtent l="0" t="0" r="0" b="0"/>
            <wp:docPr id="1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5943600" cy="2235200"/>
                    </a:xfrm>
                    <a:prstGeom prst="rect">
                      <a:avLst/>
                    </a:prstGeom>
                    <a:ln/>
                  </pic:spPr>
                </pic:pic>
              </a:graphicData>
            </a:graphic>
          </wp:inline>
        </w:drawing>
      </w:r>
    </w:p>
    <w:p w:rsidR="005C3EED" w:rsidRDefault="005C3EED">
      <w:pPr>
        <w:rPr>
          <w:rFonts w:ascii="Times New Roman" w:eastAsia="Times New Roman" w:hAnsi="Times New Roman" w:cs="Times New Roman"/>
          <w:b/>
          <w:sz w:val="24"/>
          <w:szCs w:val="24"/>
        </w:rPr>
      </w:pPr>
    </w:p>
    <w:p w:rsidR="005C3EED" w:rsidRDefault="0014041C">
      <w:pPr>
        <w:rPr>
          <w:rFonts w:ascii="Times New Roman" w:eastAsia="Times New Roman" w:hAnsi="Times New Roman" w:cs="Times New Roman"/>
          <w:sz w:val="24"/>
          <w:szCs w:val="24"/>
          <w:highlight w:val="white"/>
        </w:rPr>
      </w:pPr>
      <w:r>
        <w:rPr>
          <w:rFonts w:ascii="Times New Roman" w:eastAsia="Times New Roman" w:hAnsi="Times New Roman" w:cs="Times New Roman"/>
          <w:b/>
          <w:sz w:val="20"/>
          <w:szCs w:val="20"/>
        </w:rPr>
        <w:t>Fig. 6</w:t>
      </w:r>
      <w:r>
        <w:rPr>
          <w:rFonts w:ascii="Times New Roman" w:eastAsia="Times New Roman" w:hAnsi="Times New Roman" w:cs="Times New Roman"/>
          <w:sz w:val="20"/>
          <w:szCs w:val="20"/>
        </w:rPr>
        <w:t xml:space="preserve">. Heterogeneity of epidural glucocorticoid injections effect among 4 risk strata. Point estimate and 95% confidence interval were shown in the plot. The P-value testing significance of interaction terms was calculated using Wald test with robust Huber Sandwich Estimator for RMDQ and back pain NRS respectively. </w:t>
      </w:r>
    </w:p>
    <w:p w:rsidR="005C3EED" w:rsidRDefault="005C3EED">
      <w:pPr>
        <w:jc w:val="both"/>
        <w:rPr>
          <w:rFonts w:ascii="Times New Roman" w:eastAsia="Times New Roman" w:hAnsi="Times New Roman" w:cs="Times New Roman"/>
          <w:sz w:val="24"/>
          <w:szCs w:val="24"/>
          <w:highlight w:val="white"/>
        </w:rPr>
      </w:pPr>
    </w:p>
    <w:p w:rsidR="005C3EED" w:rsidRDefault="005C3EED">
      <w:pPr>
        <w:rPr>
          <w:rFonts w:ascii="Times New Roman" w:eastAsia="Times New Roman" w:hAnsi="Times New Roman" w:cs="Times New Roman"/>
          <w:sz w:val="24"/>
          <w:szCs w:val="24"/>
          <w:highlight w:val="white"/>
        </w:rPr>
      </w:pP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For our primary analysis, we </w:t>
      </w:r>
      <w:proofErr w:type="gramStart"/>
      <w:r>
        <w:rPr>
          <w:rFonts w:ascii="Times New Roman" w:eastAsia="Times New Roman" w:hAnsi="Times New Roman" w:cs="Times New Roman"/>
          <w:sz w:val="24"/>
          <w:szCs w:val="24"/>
        </w:rPr>
        <w:t>evaluated  the</w:t>
      </w:r>
      <w:proofErr w:type="gramEnd"/>
      <w:r>
        <w:rPr>
          <w:rFonts w:ascii="Times New Roman" w:eastAsia="Times New Roman" w:hAnsi="Times New Roman" w:cs="Times New Roman"/>
          <w:sz w:val="24"/>
          <w:szCs w:val="24"/>
        </w:rPr>
        <w:t xml:space="preserve"> risk scores as continuous effect modifiers for the association between the 6-week RMDQ and treatment groups. As risk scores increased, the </w:t>
      </w:r>
      <w:r>
        <w:rPr>
          <w:rFonts w:ascii="Times New Roman" w:eastAsia="Times New Roman" w:hAnsi="Times New Roman" w:cs="Times New Roman"/>
          <w:sz w:val="24"/>
          <w:szCs w:val="24"/>
        </w:rPr>
        <w:lastRenderedPageBreak/>
        <w:t>magnitude of estimated coefficient of treatment effects decreased linearly (</w:t>
      </w:r>
      <w:r>
        <w:rPr>
          <w:rFonts w:ascii="Times New Roman" w:eastAsia="Times New Roman" w:hAnsi="Times New Roman" w:cs="Times New Roman"/>
          <w:b/>
          <w:sz w:val="24"/>
          <w:szCs w:val="24"/>
        </w:rPr>
        <w:t>Fig. 7</w:t>
      </w:r>
      <w:r>
        <w:rPr>
          <w:rFonts w:ascii="Times New Roman" w:eastAsia="Times New Roman" w:hAnsi="Times New Roman" w:cs="Times New Roman"/>
          <w:sz w:val="24"/>
          <w:szCs w:val="24"/>
        </w:rPr>
        <w:t>), showing better treatment effects for patients with higher risk scores. However, there was no significance for the interaction term (P-value = 0.11) (</w:t>
      </w:r>
      <w:r>
        <w:rPr>
          <w:rFonts w:ascii="Times New Roman" w:eastAsia="Times New Roman" w:hAnsi="Times New Roman" w:cs="Times New Roman"/>
          <w:b/>
          <w:sz w:val="24"/>
          <w:szCs w:val="24"/>
        </w:rPr>
        <w:t>Table 5</w:t>
      </w:r>
      <w:r>
        <w:rPr>
          <w:rFonts w:ascii="Times New Roman" w:eastAsia="Times New Roman" w:hAnsi="Times New Roman" w:cs="Times New Roman"/>
          <w:sz w:val="24"/>
          <w:szCs w:val="24"/>
        </w:rPr>
        <w:t xml:space="preserve">). As for 6-week back NRS, the interaction term (P-value = 0.53) was also not statistically significant. </w:t>
      </w:r>
    </w:p>
    <w:p w:rsidR="005C3EED" w:rsidRDefault="0014041C">
      <w:pPr>
        <w:jc w:val="center"/>
      </w:pPr>
      <w:r>
        <w:rPr>
          <w:noProof/>
        </w:rPr>
        <w:drawing>
          <wp:inline distT="114300" distB="114300" distL="114300" distR="114300">
            <wp:extent cx="5310188" cy="3225378"/>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310188" cy="3225378"/>
                    </a:xfrm>
                    <a:prstGeom prst="rect">
                      <a:avLst/>
                    </a:prstGeom>
                    <a:ln/>
                  </pic:spPr>
                </pic:pic>
              </a:graphicData>
            </a:graphic>
          </wp:inline>
        </w:drawing>
      </w:r>
    </w:p>
    <w:p w:rsidR="005C3EED" w:rsidRDefault="0014041C">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b/>
          <w:sz w:val="20"/>
          <w:szCs w:val="20"/>
        </w:rPr>
        <w:t>Fig. 7</w:t>
      </w:r>
      <w:r>
        <w:rPr>
          <w:rFonts w:ascii="Times New Roman" w:eastAsia="Times New Roman" w:hAnsi="Times New Roman" w:cs="Times New Roman"/>
          <w:sz w:val="20"/>
          <w:szCs w:val="20"/>
        </w:rPr>
        <w:t>. Association of risk scores (along the x-axis) and the magnitude of the estimated coefficient of treatment effects by risk scores, with the distribution of risk scores at bottom. The caption at the right bottom corner shows the confidence intervals of the conditional effects corresponding to the grey area in the plot.</w:t>
      </w:r>
    </w:p>
    <w:p w:rsidR="005C3EED" w:rsidRDefault="005C3EED">
      <w:pPr>
        <w:jc w:val="both"/>
        <w:rPr>
          <w:rFonts w:ascii="Times New Roman" w:eastAsia="Times New Roman" w:hAnsi="Times New Roman" w:cs="Times New Roman"/>
          <w:sz w:val="24"/>
          <w:szCs w:val="24"/>
          <w:highlight w:val="white"/>
        </w:rPr>
      </w:pPr>
    </w:p>
    <w:p w:rsidR="005C3EED" w:rsidRDefault="0014041C">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Table 5. Results of the overall HTE analysis for continuous RMDQ</w:t>
      </w:r>
    </w:p>
    <w:p w:rsidR="005C3EED" w:rsidRDefault="005C3EED">
      <w:pPr>
        <w:jc w:val="center"/>
        <w:rPr>
          <w:rFonts w:ascii="Times New Roman" w:eastAsia="Times New Roman" w:hAnsi="Times New Roman" w:cs="Times New Roman"/>
          <w:sz w:val="24"/>
          <w:szCs w:val="24"/>
          <w:highlight w:val="white"/>
        </w:rPr>
      </w:pPr>
    </w:p>
    <w:tbl>
      <w:tblPr>
        <w:tblStyle w:val="a8"/>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5C3EED">
        <w:tc>
          <w:tcPr>
            <w:tcW w:w="3120" w:type="dxa"/>
            <w:tcBorders>
              <w:left w:val="single" w:sz="8" w:space="0" w:color="FFFFFF"/>
            </w:tcBorders>
            <w:shd w:val="clear" w:color="auto" w:fill="auto"/>
            <w:tcMar>
              <w:top w:w="100" w:type="dxa"/>
              <w:left w:w="100" w:type="dxa"/>
              <w:bottom w:w="100" w:type="dxa"/>
              <w:right w:w="100" w:type="dxa"/>
            </w:tcMar>
          </w:tcPr>
          <w:p w:rsidR="005C3EED" w:rsidRDefault="0014041C">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Variable </w:t>
            </w:r>
          </w:p>
        </w:tc>
        <w:tc>
          <w:tcPr>
            <w:tcW w:w="3120" w:type="dxa"/>
            <w:shd w:val="clear" w:color="auto" w:fill="auto"/>
            <w:tcMar>
              <w:top w:w="100" w:type="dxa"/>
              <w:left w:w="100" w:type="dxa"/>
              <w:bottom w:w="100" w:type="dxa"/>
              <w:right w:w="100" w:type="dxa"/>
            </w:tcMar>
          </w:tcPr>
          <w:p w:rsidR="005C3EED" w:rsidRDefault="0014041C">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Estimate (95% CI)</w:t>
            </w:r>
          </w:p>
        </w:tc>
        <w:tc>
          <w:tcPr>
            <w:tcW w:w="3120" w:type="dxa"/>
            <w:tcBorders>
              <w:right w:val="single" w:sz="8" w:space="0" w:color="FFFFFF"/>
            </w:tcBorders>
            <w:shd w:val="clear" w:color="auto" w:fill="auto"/>
            <w:tcMar>
              <w:top w:w="100" w:type="dxa"/>
              <w:left w:w="100" w:type="dxa"/>
              <w:bottom w:w="100" w:type="dxa"/>
              <w:right w:w="100" w:type="dxa"/>
            </w:tcMar>
          </w:tcPr>
          <w:p w:rsidR="005C3EED" w:rsidRDefault="0014041C">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P-value</w:t>
            </w:r>
          </w:p>
        </w:tc>
      </w:tr>
      <w:tr w:rsidR="005C3EED">
        <w:tc>
          <w:tcPr>
            <w:tcW w:w="3120" w:type="dxa"/>
            <w:tcBorders>
              <w:left w:val="single" w:sz="8" w:space="0" w:color="FFFFFF"/>
            </w:tcBorders>
            <w:shd w:val="clear" w:color="auto" w:fill="auto"/>
            <w:tcMar>
              <w:top w:w="100" w:type="dxa"/>
              <w:left w:w="100" w:type="dxa"/>
              <w:bottom w:w="100" w:type="dxa"/>
              <w:right w:w="100" w:type="dxa"/>
            </w:tcMar>
          </w:tcPr>
          <w:p w:rsidR="005C3EED" w:rsidRDefault="0014041C">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tx</w:t>
            </w:r>
            <w:proofErr w:type="spellEnd"/>
          </w:p>
        </w:tc>
        <w:tc>
          <w:tcPr>
            <w:tcW w:w="3120" w:type="dxa"/>
            <w:shd w:val="clear" w:color="auto" w:fill="auto"/>
            <w:tcMar>
              <w:top w:w="100" w:type="dxa"/>
              <w:left w:w="100" w:type="dxa"/>
              <w:bottom w:w="100" w:type="dxa"/>
              <w:right w:w="100" w:type="dxa"/>
            </w:tcMar>
          </w:tcPr>
          <w:p w:rsidR="005C3EED" w:rsidRDefault="0014041C">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2.58 (-2.08, 7.25)</w:t>
            </w:r>
          </w:p>
        </w:tc>
        <w:tc>
          <w:tcPr>
            <w:tcW w:w="3120" w:type="dxa"/>
            <w:tcBorders>
              <w:right w:val="single" w:sz="8" w:space="0" w:color="FFFFFF"/>
            </w:tcBorders>
            <w:shd w:val="clear" w:color="auto" w:fill="auto"/>
            <w:tcMar>
              <w:top w:w="100" w:type="dxa"/>
              <w:left w:w="100" w:type="dxa"/>
              <w:bottom w:w="100" w:type="dxa"/>
              <w:right w:w="100" w:type="dxa"/>
            </w:tcMar>
          </w:tcPr>
          <w:p w:rsidR="005C3EED" w:rsidRDefault="0014041C">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0.28</w:t>
            </w:r>
          </w:p>
        </w:tc>
      </w:tr>
      <w:tr w:rsidR="005C3EED">
        <w:tc>
          <w:tcPr>
            <w:tcW w:w="3120" w:type="dxa"/>
            <w:tcBorders>
              <w:left w:val="single" w:sz="8" w:space="0" w:color="FFFFFF"/>
            </w:tcBorders>
            <w:shd w:val="clear" w:color="auto" w:fill="auto"/>
            <w:tcMar>
              <w:top w:w="100" w:type="dxa"/>
              <w:left w:w="100" w:type="dxa"/>
              <w:bottom w:w="100" w:type="dxa"/>
              <w:right w:w="100" w:type="dxa"/>
            </w:tcMar>
          </w:tcPr>
          <w:p w:rsidR="005C3EED" w:rsidRDefault="0014041C">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risk scores</w:t>
            </w:r>
          </w:p>
        </w:tc>
        <w:tc>
          <w:tcPr>
            <w:tcW w:w="3120" w:type="dxa"/>
            <w:shd w:val="clear" w:color="auto" w:fill="auto"/>
            <w:tcMar>
              <w:top w:w="100" w:type="dxa"/>
              <w:left w:w="100" w:type="dxa"/>
              <w:bottom w:w="100" w:type="dxa"/>
              <w:right w:w="100" w:type="dxa"/>
            </w:tcMar>
          </w:tcPr>
          <w:p w:rsidR="005C3EED" w:rsidRDefault="0014041C">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0.85 (0.42, 1.29)</w:t>
            </w:r>
          </w:p>
        </w:tc>
        <w:tc>
          <w:tcPr>
            <w:tcW w:w="3120" w:type="dxa"/>
            <w:tcBorders>
              <w:right w:val="single" w:sz="8" w:space="0" w:color="FFFFFF"/>
            </w:tcBorders>
            <w:shd w:val="clear" w:color="auto" w:fill="auto"/>
            <w:tcMar>
              <w:top w:w="100" w:type="dxa"/>
              <w:left w:w="100" w:type="dxa"/>
              <w:bottom w:w="100" w:type="dxa"/>
              <w:right w:w="100" w:type="dxa"/>
            </w:tcMar>
          </w:tcPr>
          <w:p w:rsidR="005C3EED" w:rsidRDefault="0014041C">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0.00015 ***</w:t>
            </w:r>
          </w:p>
        </w:tc>
      </w:tr>
      <w:tr w:rsidR="005C3EED">
        <w:tc>
          <w:tcPr>
            <w:tcW w:w="3120" w:type="dxa"/>
            <w:tcBorders>
              <w:left w:val="single" w:sz="8" w:space="0" w:color="FFFFFF"/>
            </w:tcBorders>
            <w:shd w:val="clear" w:color="auto" w:fill="auto"/>
            <w:tcMar>
              <w:top w:w="100" w:type="dxa"/>
              <w:left w:w="100" w:type="dxa"/>
              <w:bottom w:w="100" w:type="dxa"/>
              <w:right w:w="100" w:type="dxa"/>
            </w:tcMar>
          </w:tcPr>
          <w:p w:rsidR="005C3EED" w:rsidRDefault="0014041C">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Baseline RMDQ </w:t>
            </w:r>
          </w:p>
        </w:tc>
        <w:tc>
          <w:tcPr>
            <w:tcW w:w="3120" w:type="dxa"/>
            <w:shd w:val="clear" w:color="auto" w:fill="auto"/>
            <w:tcMar>
              <w:top w:w="100" w:type="dxa"/>
              <w:left w:w="100" w:type="dxa"/>
              <w:bottom w:w="100" w:type="dxa"/>
              <w:right w:w="100" w:type="dxa"/>
            </w:tcMar>
          </w:tcPr>
          <w:p w:rsidR="005C3EED" w:rsidRDefault="0014041C">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0.33 (0.04, 0.61)</w:t>
            </w:r>
          </w:p>
        </w:tc>
        <w:tc>
          <w:tcPr>
            <w:tcW w:w="3120" w:type="dxa"/>
            <w:tcBorders>
              <w:right w:val="single" w:sz="8" w:space="0" w:color="FFFFFF"/>
            </w:tcBorders>
            <w:shd w:val="clear" w:color="auto" w:fill="auto"/>
            <w:tcMar>
              <w:top w:w="100" w:type="dxa"/>
              <w:left w:w="100" w:type="dxa"/>
              <w:bottom w:w="100" w:type="dxa"/>
              <w:right w:w="100" w:type="dxa"/>
            </w:tcMar>
          </w:tcPr>
          <w:p w:rsidR="005C3EED" w:rsidRDefault="0014041C">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0.026 *</w:t>
            </w:r>
          </w:p>
        </w:tc>
      </w:tr>
      <w:tr w:rsidR="005C3EED">
        <w:tc>
          <w:tcPr>
            <w:tcW w:w="3120" w:type="dxa"/>
            <w:tcBorders>
              <w:left w:val="single" w:sz="8" w:space="0" w:color="FFFFFF"/>
            </w:tcBorders>
            <w:shd w:val="clear" w:color="auto" w:fill="auto"/>
            <w:tcMar>
              <w:top w:w="100" w:type="dxa"/>
              <w:left w:w="100" w:type="dxa"/>
              <w:bottom w:w="100" w:type="dxa"/>
              <w:right w:w="100" w:type="dxa"/>
            </w:tcMar>
          </w:tcPr>
          <w:p w:rsidR="005C3EED" w:rsidRDefault="0014041C">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Site 2</w:t>
            </w:r>
          </w:p>
        </w:tc>
        <w:tc>
          <w:tcPr>
            <w:tcW w:w="3120" w:type="dxa"/>
            <w:shd w:val="clear" w:color="auto" w:fill="auto"/>
            <w:tcMar>
              <w:top w:w="100" w:type="dxa"/>
              <w:left w:w="100" w:type="dxa"/>
              <w:bottom w:w="100" w:type="dxa"/>
              <w:right w:w="100" w:type="dxa"/>
            </w:tcMar>
          </w:tcPr>
          <w:p w:rsidR="005C3EED" w:rsidRDefault="0014041C">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2.31 (0.55, 4.06)</w:t>
            </w:r>
          </w:p>
        </w:tc>
        <w:tc>
          <w:tcPr>
            <w:tcW w:w="3120" w:type="dxa"/>
            <w:tcBorders>
              <w:right w:val="single" w:sz="8" w:space="0" w:color="FFFFFF"/>
            </w:tcBorders>
            <w:shd w:val="clear" w:color="auto" w:fill="auto"/>
            <w:tcMar>
              <w:top w:w="100" w:type="dxa"/>
              <w:left w:w="100" w:type="dxa"/>
              <w:bottom w:w="100" w:type="dxa"/>
              <w:right w:w="100" w:type="dxa"/>
            </w:tcMar>
          </w:tcPr>
          <w:p w:rsidR="005C3EED" w:rsidRDefault="0014041C">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0.011 *</w:t>
            </w:r>
          </w:p>
        </w:tc>
      </w:tr>
      <w:tr w:rsidR="005C3EED">
        <w:tc>
          <w:tcPr>
            <w:tcW w:w="3120" w:type="dxa"/>
            <w:tcBorders>
              <w:left w:val="single" w:sz="8" w:space="0" w:color="FFFFFF"/>
            </w:tcBorders>
            <w:shd w:val="clear" w:color="auto" w:fill="auto"/>
            <w:tcMar>
              <w:top w:w="100" w:type="dxa"/>
              <w:left w:w="100" w:type="dxa"/>
              <w:bottom w:w="100" w:type="dxa"/>
              <w:right w:w="100" w:type="dxa"/>
            </w:tcMar>
          </w:tcPr>
          <w:p w:rsidR="005C3EED" w:rsidRDefault="0014041C">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Site 3</w:t>
            </w:r>
          </w:p>
        </w:tc>
        <w:tc>
          <w:tcPr>
            <w:tcW w:w="3120" w:type="dxa"/>
            <w:shd w:val="clear" w:color="auto" w:fill="auto"/>
            <w:tcMar>
              <w:top w:w="100" w:type="dxa"/>
              <w:left w:w="100" w:type="dxa"/>
              <w:bottom w:w="100" w:type="dxa"/>
              <w:right w:w="100" w:type="dxa"/>
            </w:tcMar>
          </w:tcPr>
          <w:p w:rsidR="005C3EED" w:rsidRDefault="0014041C">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0.76 (-0.83, 2.34)</w:t>
            </w:r>
          </w:p>
        </w:tc>
        <w:tc>
          <w:tcPr>
            <w:tcW w:w="3120" w:type="dxa"/>
            <w:tcBorders>
              <w:right w:val="single" w:sz="8" w:space="0" w:color="FFFFFF"/>
            </w:tcBorders>
            <w:shd w:val="clear" w:color="auto" w:fill="auto"/>
            <w:tcMar>
              <w:top w:w="100" w:type="dxa"/>
              <w:left w:w="100" w:type="dxa"/>
              <w:bottom w:w="100" w:type="dxa"/>
              <w:right w:w="100" w:type="dxa"/>
            </w:tcMar>
          </w:tcPr>
          <w:p w:rsidR="005C3EED" w:rsidRDefault="0014041C">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0.35</w:t>
            </w:r>
          </w:p>
        </w:tc>
      </w:tr>
      <w:tr w:rsidR="005C3EED">
        <w:tc>
          <w:tcPr>
            <w:tcW w:w="3120" w:type="dxa"/>
            <w:tcBorders>
              <w:left w:val="single" w:sz="8" w:space="0" w:color="FFFFFF"/>
            </w:tcBorders>
            <w:shd w:val="clear" w:color="auto" w:fill="auto"/>
            <w:tcMar>
              <w:top w:w="100" w:type="dxa"/>
              <w:left w:w="100" w:type="dxa"/>
              <w:bottom w:w="100" w:type="dxa"/>
              <w:right w:w="100" w:type="dxa"/>
            </w:tcMar>
          </w:tcPr>
          <w:p w:rsidR="005C3EED" w:rsidRDefault="0014041C">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Site 4</w:t>
            </w:r>
          </w:p>
        </w:tc>
        <w:tc>
          <w:tcPr>
            <w:tcW w:w="3120" w:type="dxa"/>
            <w:shd w:val="clear" w:color="auto" w:fill="auto"/>
            <w:tcMar>
              <w:top w:w="100" w:type="dxa"/>
              <w:left w:w="100" w:type="dxa"/>
              <w:bottom w:w="100" w:type="dxa"/>
              <w:right w:w="100" w:type="dxa"/>
            </w:tcMar>
          </w:tcPr>
          <w:p w:rsidR="005C3EED" w:rsidRDefault="0014041C">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1.87 (0.33, 3.4)</w:t>
            </w:r>
          </w:p>
        </w:tc>
        <w:tc>
          <w:tcPr>
            <w:tcW w:w="3120" w:type="dxa"/>
            <w:tcBorders>
              <w:right w:val="single" w:sz="8" w:space="0" w:color="FFFFFF"/>
            </w:tcBorders>
            <w:shd w:val="clear" w:color="auto" w:fill="auto"/>
            <w:tcMar>
              <w:top w:w="100" w:type="dxa"/>
              <w:left w:w="100" w:type="dxa"/>
              <w:bottom w:w="100" w:type="dxa"/>
              <w:right w:w="100" w:type="dxa"/>
            </w:tcMar>
          </w:tcPr>
          <w:p w:rsidR="005C3EED" w:rsidRDefault="0014041C">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0.018 * </w:t>
            </w:r>
          </w:p>
        </w:tc>
      </w:tr>
      <w:tr w:rsidR="005C3EED">
        <w:tc>
          <w:tcPr>
            <w:tcW w:w="3120" w:type="dxa"/>
            <w:tcBorders>
              <w:left w:val="single" w:sz="8" w:space="0" w:color="FFFFFF"/>
            </w:tcBorders>
            <w:shd w:val="clear" w:color="auto" w:fill="auto"/>
            <w:tcMar>
              <w:top w:w="100" w:type="dxa"/>
              <w:left w:w="100" w:type="dxa"/>
              <w:bottom w:w="100" w:type="dxa"/>
              <w:right w:w="100" w:type="dxa"/>
            </w:tcMar>
          </w:tcPr>
          <w:p w:rsidR="005C3EED" w:rsidRDefault="0014041C">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tx</w:t>
            </w:r>
            <w:proofErr w:type="spellEnd"/>
            <w:r>
              <w:rPr>
                <w:rFonts w:ascii="Times New Roman" w:eastAsia="Times New Roman" w:hAnsi="Times New Roman" w:cs="Times New Roman"/>
                <w:sz w:val="24"/>
                <w:szCs w:val="24"/>
                <w:highlight w:val="white"/>
              </w:rPr>
              <w:t>* risk scores</w:t>
            </w:r>
          </w:p>
        </w:tc>
        <w:tc>
          <w:tcPr>
            <w:tcW w:w="3120" w:type="dxa"/>
            <w:shd w:val="clear" w:color="auto" w:fill="auto"/>
            <w:tcMar>
              <w:top w:w="100" w:type="dxa"/>
              <w:left w:w="100" w:type="dxa"/>
              <w:bottom w:w="100" w:type="dxa"/>
              <w:right w:w="100" w:type="dxa"/>
            </w:tcMar>
          </w:tcPr>
          <w:p w:rsidR="005C3EED" w:rsidRDefault="0014041C">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-0.29 (-0.65, 0.064)</w:t>
            </w:r>
          </w:p>
        </w:tc>
        <w:tc>
          <w:tcPr>
            <w:tcW w:w="3120" w:type="dxa"/>
            <w:tcBorders>
              <w:right w:val="single" w:sz="8" w:space="0" w:color="FFFFFF"/>
            </w:tcBorders>
            <w:shd w:val="clear" w:color="auto" w:fill="auto"/>
            <w:tcMar>
              <w:top w:w="100" w:type="dxa"/>
              <w:left w:w="100" w:type="dxa"/>
              <w:bottom w:w="100" w:type="dxa"/>
              <w:right w:w="100" w:type="dxa"/>
            </w:tcMar>
          </w:tcPr>
          <w:p w:rsidR="005C3EED" w:rsidRDefault="0014041C">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0.11</w:t>
            </w:r>
          </w:p>
        </w:tc>
      </w:tr>
    </w:tbl>
    <w:p w:rsidR="005C3EED" w:rsidRDefault="005C3EED">
      <w:pPr>
        <w:rPr>
          <w:rFonts w:ascii="Times New Roman" w:eastAsia="Times New Roman" w:hAnsi="Times New Roman" w:cs="Times New Roman"/>
          <w:b/>
          <w:sz w:val="20"/>
          <w:szCs w:val="20"/>
        </w:rPr>
      </w:pPr>
    </w:p>
    <w:p w:rsidR="005C3EED" w:rsidRDefault="0014041C">
      <w:pPr>
        <w:rPr>
          <w:rFonts w:ascii="Times New Roman" w:eastAsia="Times New Roman" w:hAnsi="Times New Roman" w:cs="Times New Roman"/>
          <w:sz w:val="24"/>
          <w:szCs w:val="24"/>
          <w:highlight w:val="white"/>
        </w:rPr>
      </w:pPr>
      <w:r>
        <w:rPr>
          <w:rFonts w:ascii="Times New Roman" w:eastAsia="Times New Roman" w:hAnsi="Times New Roman" w:cs="Times New Roman"/>
          <w:b/>
          <w:sz w:val="20"/>
          <w:szCs w:val="20"/>
        </w:rPr>
        <w:t xml:space="preserve">Table 5. </w:t>
      </w:r>
      <w:r>
        <w:rPr>
          <w:rFonts w:ascii="Times New Roman" w:eastAsia="Times New Roman" w:hAnsi="Times New Roman" w:cs="Times New Roman"/>
          <w:sz w:val="20"/>
          <w:szCs w:val="20"/>
        </w:rPr>
        <w:t xml:space="preserve">Modeling results of the linear regression including continuous risk scores. Point estimate, 95% confidence interval and P-value were shown in the table for each </w:t>
      </w:r>
      <w:proofErr w:type="gramStart"/>
      <w:r>
        <w:rPr>
          <w:rFonts w:ascii="Times New Roman" w:eastAsia="Times New Roman" w:hAnsi="Times New Roman" w:cs="Times New Roman"/>
          <w:sz w:val="20"/>
          <w:szCs w:val="20"/>
        </w:rPr>
        <w:t>covariates</w:t>
      </w:r>
      <w:proofErr w:type="gramEnd"/>
      <w:r>
        <w:rPr>
          <w:rFonts w:ascii="Times New Roman" w:eastAsia="Times New Roman" w:hAnsi="Times New Roman" w:cs="Times New Roman"/>
          <w:sz w:val="20"/>
          <w:szCs w:val="20"/>
        </w:rPr>
        <w:t xml:space="preserve">. </w:t>
      </w:r>
    </w:p>
    <w:p w:rsidR="005C3EED" w:rsidRDefault="005C3EED">
      <w:pPr>
        <w:jc w:val="both"/>
        <w:rPr>
          <w:rFonts w:ascii="Times New Roman" w:eastAsia="Times New Roman" w:hAnsi="Times New Roman" w:cs="Times New Roman"/>
          <w:sz w:val="24"/>
          <w:szCs w:val="24"/>
          <w:highlight w:val="white"/>
        </w:rPr>
      </w:pPr>
    </w:p>
    <w:p w:rsidR="005C3EED" w:rsidRDefault="005C3EED">
      <w:pPr>
        <w:jc w:val="both"/>
        <w:rPr>
          <w:rFonts w:ascii="Times New Roman" w:eastAsia="Times New Roman" w:hAnsi="Times New Roman" w:cs="Times New Roman"/>
          <w:b/>
          <w:sz w:val="24"/>
          <w:szCs w:val="24"/>
        </w:rPr>
      </w:pPr>
    </w:p>
    <w:p w:rsidR="005C3EED" w:rsidRDefault="005C3EED">
      <w:pPr>
        <w:pBdr>
          <w:top w:val="nil"/>
          <w:left w:val="nil"/>
          <w:bottom w:val="nil"/>
          <w:right w:val="nil"/>
          <w:between w:val="nil"/>
        </w:pBdr>
        <w:rPr>
          <w:rFonts w:ascii="Times New Roman" w:eastAsia="Times New Roman" w:hAnsi="Times New Roman" w:cs="Times New Roman"/>
          <w:sz w:val="20"/>
          <w:szCs w:val="20"/>
        </w:rPr>
      </w:pPr>
    </w:p>
    <w:p w:rsidR="005C3EED" w:rsidRDefault="005C3EED">
      <w:pPr>
        <w:rPr>
          <w:rFonts w:ascii="Times New Roman" w:eastAsia="Times New Roman" w:hAnsi="Times New Roman" w:cs="Times New Roman"/>
          <w:sz w:val="20"/>
          <w:szCs w:val="20"/>
        </w:rPr>
      </w:pPr>
    </w:p>
    <w:p w:rsidR="005C3EED" w:rsidRDefault="005C3EED">
      <w:pPr>
        <w:rPr>
          <w:rFonts w:ascii="Times New Roman" w:eastAsia="Times New Roman" w:hAnsi="Times New Roman" w:cs="Times New Roman"/>
          <w:sz w:val="20"/>
          <w:szCs w:val="20"/>
        </w:rPr>
      </w:pPr>
    </w:p>
    <w:p w:rsidR="005C3EED" w:rsidRDefault="005C3EED">
      <w:pPr>
        <w:rPr>
          <w:rFonts w:ascii="Times New Roman" w:eastAsia="Times New Roman" w:hAnsi="Times New Roman" w:cs="Times New Roman"/>
          <w:sz w:val="20"/>
          <w:szCs w:val="20"/>
        </w:rPr>
      </w:pP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rsidR="005C3EED" w:rsidRDefault="0014041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 Discussion</w:t>
      </w:r>
    </w:p>
    <w:p w:rsidR="005C3EED" w:rsidRDefault="005C3EED">
      <w:pPr>
        <w:rPr>
          <w:rFonts w:ascii="Times New Roman" w:eastAsia="Times New Roman" w:hAnsi="Times New Roman" w:cs="Times New Roman"/>
          <w:b/>
          <w:sz w:val="28"/>
          <w:szCs w:val="28"/>
        </w:rPr>
      </w:pPr>
    </w:p>
    <w:p w:rsidR="005C3EED" w:rsidRDefault="0014041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To sum up, the risk modeling method based on the PATH statement showed that it was a promising method to evaluate heterogeneity of treatment effect. By applying an external model generated from the BOLD cohort, we observed a decreasing trend from low risk patients to high risk patients, although this was not statistically significant. </w:t>
      </w:r>
      <w:r>
        <w:rPr>
          <w:rFonts w:ascii="Times New Roman" w:eastAsia="Times New Roman" w:hAnsi="Times New Roman" w:cs="Times New Roman"/>
          <w:sz w:val="24"/>
          <w:szCs w:val="24"/>
        </w:rPr>
        <w:t xml:space="preserve">We also identified one subgroup </w:t>
      </w:r>
      <w:proofErr w:type="gramStart"/>
      <w:r>
        <w:rPr>
          <w:rFonts w:ascii="Times New Roman" w:eastAsia="Times New Roman" w:hAnsi="Times New Roman" w:cs="Times New Roman"/>
          <w:sz w:val="24"/>
          <w:szCs w:val="24"/>
        </w:rPr>
        <w:t>of  patients</w:t>
      </w:r>
      <w:proofErr w:type="gramEnd"/>
      <w:r>
        <w:rPr>
          <w:rFonts w:ascii="Times New Roman" w:eastAsia="Times New Roman" w:hAnsi="Times New Roman" w:cs="Times New Roman"/>
          <w:sz w:val="24"/>
          <w:szCs w:val="24"/>
        </w:rPr>
        <w:t xml:space="preserve"> receiving epidural glucocorticoid injections had significant treatment benefit. </w:t>
      </w:r>
      <w:r>
        <w:rPr>
          <w:rFonts w:ascii="Times New Roman" w:eastAsia="Times New Roman" w:hAnsi="Times New Roman" w:cs="Times New Roman"/>
          <w:sz w:val="24"/>
          <w:szCs w:val="24"/>
          <w:highlight w:val="white"/>
        </w:rPr>
        <w:t>Moreover, while baseline patient characteristics were consistently valuable</w:t>
      </w:r>
      <w:r>
        <w:rPr>
          <w:sz w:val="16"/>
          <w:szCs w:val="16"/>
        </w:rPr>
        <w:t xml:space="preserve"> </w:t>
      </w:r>
      <w:r>
        <w:rPr>
          <w:rFonts w:ascii="Times New Roman" w:eastAsia="Times New Roman" w:hAnsi="Times New Roman" w:cs="Times New Roman"/>
          <w:sz w:val="24"/>
          <w:szCs w:val="24"/>
          <w:highlight w:val="white"/>
        </w:rPr>
        <w:t>predictors of back disability and pain 3 months lat</w:t>
      </w:r>
      <w:r>
        <w:rPr>
          <w:rFonts w:ascii="Times New Roman" w:eastAsia="Times New Roman" w:hAnsi="Times New Roman" w:cs="Times New Roman"/>
          <w:sz w:val="24"/>
          <w:szCs w:val="24"/>
        </w:rPr>
        <w:t xml:space="preserve">er, medical interventions and disease diagnosis generally didn’t provide additional information. </w:t>
      </w:r>
    </w:p>
    <w:p w:rsidR="005C3EED" w:rsidRDefault="0014041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C3EED" w:rsidRDefault="0014041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used a relatively novel approach PATH to evaluate HTE. PATH has two advantages compared with usual subgroup analysis. Firstly, PATH avoids </w:t>
      </w:r>
      <w:r>
        <w:rPr>
          <w:rFonts w:ascii="Times New Roman" w:eastAsia="Times New Roman" w:hAnsi="Times New Roman" w:cs="Times New Roman"/>
          <w:sz w:val="24"/>
          <w:szCs w:val="24"/>
          <w:highlight w:val="white"/>
        </w:rPr>
        <w:t xml:space="preserve">low statistical power and multiplicity in “one-variable-at-a-time” analyses and provides patient-centered estimates, taking into account all related patient characteristics simultaneously. Secondly, PATH is feasible for analyzing data from different cohorts, by using external models. While there was no statistically significant difference of treatment effect across the four risk strata as well as the continuous risk score, the result was still informative in that we observed significant treatment effects in stratum 3. In the lower risk group, the </w:t>
      </w:r>
      <w:r>
        <w:rPr>
          <w:rFonts w:ascii="Times New Roman" w:eastAsia="Times New Roman" w:hAnsi="Times New Roman" w:cs="Times New Roman"/>
          <w:sz w:val="24"/>
          <w:szCs w:val="24"/>
        </w:rPr>
        <w:t>epidural glucocorticoid injections</w:t>
      </w:r>
      <w:r>
        <w:rPr>
          <w:rFonts w:ascii="Times New Roman" w:eastAsia="Times New Roman" w:hAnsi="Times New Roman" w:cs="Times New Roman"/>
          <w:sz w:val="24"/>
          <w:szCs w:val="24"/>
          <w:highlight w:val="white"/>
        </w:rPr>
        <w:t xml:space="preserve"> did not improve RMDQ or back </w:t>
      </w:r>
      <w:proofErr w:type="gramStart"/>
      <w:r>
        <w:rPr>
          <w:rFonts w:ascii="Times New Roman" w:eastAsia="Times New Roman" w:hAnsi="Times New Roman" w:cs="Times New Roman"/>
          <w:sz w:val="24"/>
          <w:szCs w:val="24"/>
          <w:highlight w:val="white"/>
        </w:rPr>
        <w:t>NRS  though</w:t>
      </w:r>
      <w:proofErr w:type="gramEnd"/>
      <w:r>
        <w:rPr>
          <w:rFonts w:ascii="Times New Roman" w:eastAsia="Times New Roman" w:hAnsi="Times New Roman" w:cs="Times New Roman"/>
          <w:sz w:val="24"/>
          <w:szCs w:val="24"/>
          <w:highlight w:val="white"/>
        </w:rPr>
        <w:t xml:space="preserve"> the treatment effectiveness increased with increasing risk stratum. </w:t>
      </w:r>
      <w:r>
        <w:rPr>
          <w:rFonts w:ascii="Times New Roman" w:eastAsia="Times New Roman" w:hAnsi="Times New Roman" w:cs="Times New Roman"/>
          <w:sz w:val="24"/>
          <w:szCs w:val="24"/>
        </w:rPr>
        <w:t xml:space="preserve"> </w:t>
      </w:r>
    </w:p>
    <w:p w:rsidR="005C3EED" w:rsidRDefault="0014041C">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rsidR="005C3EED" w:rsidRDefault="0014041C">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Limitations to our study include the following:</w:t>
      </w:r>
    </w:p>
    <w:p w:rsidR="005C3EED" w:rsidRDefault="0014041C">
      <w:pPr>
        <w:numPr>
          <w:ilvl w:val="0"/>
          <w:numId w:val="1"/>
        </w:numPr>
        <w:jc w:val="both"/>
      </w:pPr>
      <w:r>
        <w:rPr>
          <w:rFonts w:ascii="Times New Roman" w:eastAsia="Times New Roman" w:hAnsi="Times New Roman" w:cs="Times New Roman"/>
          <w:sz w:val="24"/>
          <w:szCs w:val="24"/>
          <w:highlight w:val="white"/>
        </w:rPr>
        <w:t>For Aim 1, the outcome for developing the risk score was 3-month RMDQ. However, in Aim 2, we chose the 6-week RMDQ as the outcome. There was a time difference between those two outcomes because we lacked the 6-week RMDQ data in the BOLD cohort. Therefore, we used the nearest RMDQ measurement, the 3-month RMDQs.</w:t>
      </w:r>
    </w:p>
    <w:p w:rsidR="005C3EED" w:rsidRDefault="0014041C">
      <w:pPr>
        <w:numPr>
          <w:ilvl w:val="0"/>
          <w:numId w:val="1"/>
        </w:numPr>
        <w:jc w:val="both"/>
      </w:pPr>
      <w:r>
        <w:rPr>
          <w:rFonts w:ascii="Times New Roman" w:eastAsia="Times New Roman" w:hAnsi="Times New Roman" w:cs="Times New Roman"/>
          <w:sz w:val="24"/>
          <w:szCs w:val="24"/>
          <w:highlight w:val="white"/>
        </w:rPr>
        <w:t xml:space="preserve">When we developed the model for the risk score, we only included the linear term instead of adding any interaction term or splines. We later performed sensitivity analyses by adding interaction terms. The resulting </w:t>
      </w:r>
      <w:r>
        <w:rPr>
          <w:rFonts w:ascii="Times New Roman" w:eastAsia="Times New Roman" w:hAnsi="Times New Roman" w:cs="Times New Roman"/>
          <w:sz w:val="24"/>
          <w:szCs w:val="24"/>
        </w:rPr>
        <w:t>R</w:t>
      </w:r>
      <w:r>
        <w:rPr>
          <w:vertAlign w:val="superscript"/>
        </w:rPr>
        <w:t>2</w:t>
      </w:r>
      <w:r>
        <w:rPr>
          <w:rFonts w:ascii="Times New Roman" w:eastAsia="Times New Roman" w:hAnsi="Times New Roman" w:cs="Times New Roman"/>
          <w:sz w:val="24"/>
          <w:szCs w:val="24"/>
          <w:highlight w:val="white"/>
        </w:rPr>
        <w:t xml:space="preserve"> did not improve. Adding splines in the model made the results even worse. Therefore, we used only the variables in the linear term.</w:t>
      </w:r>
    </w:p>
    <w:p w:rsidR="005C3EED" w:rsidRDefault="0014041C">
      <w:pPr>
        <w:numPr>
          <w:ilvl w:val="0"/>
          <w:numId w:val="1"/>
        </w:numPr>
        <w:jc w:val="both"/>
      </w:pPr>
      <w:r>
        <w:rPr>
          <w:rFonts w:ascii="Times New Roman" w:eastAsia="Times New Roman" w:hAnsi="Times New Roman" w:cs="Times New Roman"/>
          <w:sz w:val="24"/>
          <w:szCs w:val="24"/>
        </w:rPr>
        <w:t xml:space="preserve">Variables were not completely consistent in these two cohorts. We only used the variables present in both cohorts to build the models. Since not all of the LESS cohort had EHR data, by including EHR in the model, we lost lots of LESS patients.  Therefore, there was a trade-off between observations and variables that we could include in the models. </w:t>
      </w:r>
    </w:p>
    <w:p w:rsidR="005C3EED" w:rsidRDefault="0014041C">
      <w:pPr>
        <w:numPr>
          <w:ilvl w:val="0"/>
          <w:numId w:val="1"/>
        </w:numPr>
        <w:jc w:val="both"/>
      </w:pPr>
      <w:r>
        <w:rPr>
          <w:rFonts w:ascii="Times New Roman" w:eastAsia="Times New Roman" w:hAnsi="Times New Roman" w:cs="Times New Roman"/>
          <w:sz w:val="24"/>
          <w:szCs w:val="24"/>
        </w:rPr>
        <w:lastRenderedPageBreak/>
        <w:t xml:space="preserve">Some of the variables that we used were derived from previous studies. For example, the diagnosis of patients was derived from ICD-9 codes. Here, we categorized them into 4 groups based on </w:t>
      </w:r>
      <w:proofErr w:type="spellStart"/>
      <w:proofErr w:type="gramStart"/>
      <w:r>
        <w:rPr>
          <w:rFonts w:ascii="Times New Roman" w:eastAsia="Times New Roman" w:hAnsi="Times New Roman" w:cs="Times New Roman"/>
          <w:sz w:val="24"/>
          <w:szCs w:val="24"/>
        </w:rPr>
        <w:t>Jerry,etc</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paper in 2018 . We did the same for CPT codes, mean BPI, etc. The different ways of categorization will impact the results. We used more detailed</w:t>
      </w:r>
      <w:r>
        <w:rPr>
          <w:sz w:val="16"/>
          <w:szCs w:val="16"/>
        </w:rPr>
        <w:t xml:space="preserve"> </w:t>
      </w:r>
      <w:r>
        <w:rPr>
          <w:rFonts w:ascii="Times New Roman" w:eastAsia="Times New Roman" w:hAnsi="Times New Roman" w:cs="Times New Roman"/>
          <w:sz w:val="24"/>
          <w:szCs w:val="24"/>
        </w:rPr>
        <w:t>categorization for CPT code and ICD-9 code in model 3.</w:t>
      </w:r>
    </w:p>
    <w:p w:rsidR="005C3EED" w:rsidRDefault="0014041C">
      <w:pPr>
        <w:numPr>
          <w:ilvl w:val="0"/>
          <w:numId w:val="1"/>
        </w:numPr>
        <w:jc w:val="both"/>
      </w:pPr>
      <w:r>
        <w:rPr>
          <w:rFonts w:ascii="Times New Roman" w:eastAsia="Times New Roman" w:hAnsi="Times New Roman" w:cs="Times New Roman"/>
          <w:sz w:val="24"/>
          <w:szCs w:val="24"/>
        </w:rPr>
        <w:t xml:space="preserve">There were differences between BOLD and LESS cohorts, such as the degree of disability and pain measured. The baseline RMDQ and NRS distribution are different which is one explanation of why the models built on one cohort performed less well for the other one. </w:t>
      </w:r>
    </w:p>
    <w:p w:rsidR="005C3EED" w:rsidRDefault="0014041C">
      <w:pPr>
        <w:numPr>
          <w:ilvl w:val="0"/>
          <w:numId w:val="1"/>
        </w:numPr>
        <w:jc w:val="both"/>
      </w:pPr>
      <w:r>
        <w:rPr>
          <w:rFonts w:ascii="Times New Roman" w:eastAsia="Times New Roman" w:hAnsi="Times New Roman" w:cs="Times New Roman"/>
          <w:sz w:val="24"/>
          <w:szCs w:val="24"/>
        </w:rPr>
        <w:t>Model selection was based on results of testing on LESS, meaning that we used LESS data twice. However, it makes sense that in the clinical setting, our final goal is to develop an accurate risk score for the LESS cohort in order to have a convincing result for the HTE.</w:t>
      </w:r>
    </w:p>
    <w:p w:rsidR="005C3EED" w:rsidRDefault="005C3EED"/>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b/>
          <w:sz w:val="28"/>
          <w:szCs w:val="28"/>
        </w:rPr>
        <w:t>5. References</w:t>
      </w:r>
    </w:p>
    <w:p w:rsidR="005C3EED" w:rsidRDefault="005C3EED">
      <w:pPr>
        <w:rPr>
          <w:rFonts w:ascii="Times New Roman" w:eastAsia="Times New Roman" w:hAnsi="Times New Roman" w:cs="Times New Roman"/>
          <w:sz w:val="24"/>
          <w:szCs w:val="24"/>
        </w:rPr>
      </w:pPr>
    </w:p>
    <w:p w:rsidR="005C3EED" w:rsidRDefault="0014041C">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roofErr w:type="spellStart"/>
      <w:r>
        <w:rPr>
          <w:rFonts w:ascii="Times New Roman" w:eastAsia="Times New Roman" w:hAnsi="Times New Roman" w:cs="Times New Roman"/>
          <w:sz w:val="24"/>
          <w:szCs w:val="24"/>
        </w:rPr>
        <w:t>Harrast</w:t>
      </w:r>
      <w:proofErr w:type="spellEnd"/>
      <w:r>
        <w:rPr>
          <w:rFonts w:ascii="Times New Roman" w:eastAsia="Times New Roman" w:hAnsi="Times New Roman" w:cs="Times New Roman"/>
          <w:sz w:val="24"/>
          <w:szCs w:val="24"/>
        </w:rPr>
        <w:t xml:space="preserve"> MA. Epidural steroid injections for lumbar spinal stenosis. </w:t>
      </w:r>
      <w:proofErr w:type="spellStart"/>
      <w:r>
        <w:rPr>
          <w:rFonts w:ascii="Times New Roman" w:eastAsia="Times New Roman" w:hAnsi="Times New Roman" w:cs="Times New Roman"/>
          <w:sz w:val="24"/>
          <w:szCs w:val="24"/>
        </w:rPr>
        <w:t>Curr</w:t>
      </w:r>
      <w:proofErr w:type="spellEnd"/>
      <w:r>
        <w:rPr>
          <w:rFonts w:ascii="Times New Roman" w:eastAsia="Times New Roman" w:hAnsi="Times New Roman" w:cs="Times New Roman"/>
          <w:sz w:val="24"/>
          <w:szCs w:val="24"/>
        </w:rPr>
        <w:t xml:space="preserve"> Rev </w:t>
      </w:r>
      <w:proofErr w:type="spellStart"/>
      <w:r>
        <w:rPr>
          <w:rFonts w:ascii="Times New Roman" w:eastAsia="Times New Roman" w:hAnsi="Times New Roman" w:cs="Times New Roman"/>
          <w:sz w:val="24"/>
          <w:szCs w:val="24"/>
        </w:rPr>
        <w:t>Musculoskel</w:t>
      </w:r>
      <w:proofErr w:type="spellEnd"/>
      <w:r>
        <w:rPr>
          <w:rFonts w:ascii="Times New Roman" w:eastAsia="Times New Roman" w:hAnsi="Times New Roman" w:cs="Times New Roman"/>
          <w:sz w:val="24"/>
          <w:szCs w:val="24"/>
        </w:rPr>
        <w:t xml:space="preserve"> Med </w:t>
      </w:r>
      <w:proofErr w:type="gramStart"/>
      <w:r>
        <w:rPr>
          <w:rFonts w:ascii="Times New Roman" w:eastAsia="Times New Roman" w:hAnsi="Times New Roman" w:cs="Times New Roman"/>
          <w:sz w:val="24"/>
          <w:szCs w:val="24"/>
        </w:rPr>
        <w:t>2008;1:32</w:t>
      </w:r>
      <w:proofErr w:type="gramEnd"/>
      <w:r>
        <w:rPr>
          <w:rFonts w:ascii="Times New Roman" w:eastAsia="Times New Roman" w:hAnsi="Times New Roman" w:cs="Times New Roman"/>
          <w:sz w:val="24"/>
          <w:szCs w:val="24"/>
        </w:rPr>
        <w:t>-38</w:t>
      </w:r>
    </w:p>
    <w:p w:rsidR="005C3EED" w:rsidRDefault="0014041C">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roofErr w:type="spellStart"/>
      <w:r>
        <w:rPr>
          <w:rFonts w:ascii="Times New Roman" w:eastAsia="Times New Roman" w:hAnsi="Times New Roman" w:cs="Times New Roman"/>
          <w:sz w:val="24"/>
          <w:szCs w:val="24"/>
        </w:rPr>
        <w:t>Deyo</w:t>
      </w:r>
      <w:proofErr w:type="spellEnd"/>
      <w:r>
        <w:rPr>
          <w:rFonts w:ascii="Times New Roman" w:eastAsia="Times New Roman" w:hAnsi="Times New Roman" w:cs="Times New Roman"/>
          <w:sz w:val="24"/>
          <w:szCs w:val="24"/>
        </w:rPr>
        <w:t xml:space="preserve"> RA, Mirza SK, Martin BI, </w:t>
      </w:r>
      <w:proofErr w:type="spellStart"/>
      <w:r>
        <w:rPr>
          <w:rFonts w:ascii="Times New Roman" w:eastAsia="Times New Roman" w:hAnsi="Times New Roman" w:cs="Times New Roman"/>
          <w:sz w:val="24"/>
          <w:szCs w:val="24"/>
        </w:rPr>
        <w:t>Kreuter</w:t>
      </w:r>
      <w:proofErr w:type="spellEnd"/>
      <w:r>
        <w:rPr>
          <w:rFonts w:ascii="Times New Roman" w:eastAsia="Times New Roman" w:hAnsi="Times New Roman" w:cs="Times New Roman"/>
          <w:sz w:val="24"/>
          <w:szCs w:val="24"/>
        </w:rPr>
        <w:t xml:space="preserve"> W, Goodman DC, </w:t>
      </w:r>
      <w:proofErr w:type="spellStart"/>
      <w:r>
        <w:rPr>
          <w:rFonts w:ascii="Times New Roman" w:eastAsia="Times New Roman" w:hAnsi="Times New Roman" w:cs="Times New Roman"/>
          <w:sz w:val="24"/>
          <w:szCs w:val="24"/>
        </w:rPr>
        <w:t>Jarvik</w:t>
      </w:r>
      <w:proofErr w:type="spellEnd"/>
      <w:r>
        <w:rPr>
          <w:rFonts w:ascii="Times New Roman" w:eastAsia="Times New Roman" w:hAnsi="Times New Roman" w:cs="Times New Roman"/>
          <w:sz w:val="24"/>
          <w:szCs w:val="24"/>
        </w:rPr>
        <w:t xml:space="preserve"> JG. Trends, major medical complications, and charges associated with surgery for lumbar spinal stenosis in older adults. JAMA </w:t>
      </w:r>
      <w:proofErr w:type="gramStart"/>
      <w:r>
        <w:rPr>
          <w:rFonts w:ascii="Times New Roman" w:eastAsia="Times New Roman" w:hAnsi="Times New Roman" w:cs="Times New Roman"/>
          <w:sz w:val="24"/>
          <w:szCs w:val="24"/>
        </w:rPr>
        <w:t>2010;303:1259</w:t>
      </w:r>
      <w:proofErr w:type="gramEnd"/>
      <w:r>
        <w:rPr>
          <w:rFonts w:ascii="Times New Roman" w:eastAsia="Times New Roman" w:hAnsi="Times New Roman" w:cs="Times New Roman"/>
          <w:sz w:val="24"/>
          <w:szCs w:val="24"/>
        </w:rPr>
        <w:t>-1265</w:t>
      </w:r>
    </w:p>
    <w:p w:rsidR="005C3EED" w:rsidRDefault="0014041C">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roofErr w:type="spellStart"/>
      <w:r>
        <w:rPr>
          <w:rFonts w:ascii="Times New Roman" w:eastAsia="Times New Roman" w:hAnsi="Times New Roman" w:cs="Times New Roman"/>
          <w:sz w:val="24"/>
          <w:szCs w:val="24"/>
        </w:rPr>
        <w:t>Daffner</w:t>
      </w:r>
      <w:proofErr w:type="spellEnd"/>
      <w:r>
        <w:rPr>
          <w:rFonts w:ascii="Times New Roman" w:eastAsia="Times New Roman" w:hAnsi="Times New Roman" w:cs="Times New Roman"/>
          <w:sz w:val="24"/>
          <w:szCs w:val="24"/>
        </w:rPr>
        <w:t xml:space="preserve"> SD, Wang JC. The pathophysiology and nonsurgical treatment of lumbar spinal stenosis. </w:t>
      </w:r>
      <w:proofErr w:type="spellStart"/>
      <w:r>
        <w:rPr>
          <w:rFonts w:ascii="Times New Roman" w:eastAsia="Times New Roman" w:hAnsi="Times New Roman" w:cs="Times New Roman"/>
          <w:sz w:val="24"/>
          <w:szCs w:val="24"/>
        </w:rPr>
        <w:t>Instr</w:t>
      </w:r>
      <w:proofErr w:type="spellEnd"/>
      <w:r>
        <w:rPr>
          <w:rFonts w:ascii="Times New Roman" w:eastAsia="Times New Roman" w:hAnsi="Times New Roman" w:cs="Times New Roman"/>
          <w:sz w:val="24"/>
          <w:szCs w:val="24"/>
        </w:rPr>
        <w:t xml:space="preserve"> Course </w:t>
      </w:r>
      <w:proofErr w:type="spellStart"/>
      <w:r>
        <w:rPr>
          <w:rFonts w:ascii="Times New Roman" w:eastAsia="Times New Roman" w:hAnsi="Times New Roman" w:cs="Times New Roman"/>
          <w:sz w:val="24"/>
          <w:szCs w:val="24"/>
        </w:rPr>
        <w:t>Lect</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2009;58:657</w:t>
      </w:r>
      <w:proofErr w:type="gramEnd"/>
      <w:r>
        <w:rPr>
          <w:rFonts w:ascii="Times New Roman" w:eastAsia="Times New Roman" w:hAnsi="Times New Roman" w:cs="Times New Roman"/>
          <w:sz w:val="24"/>
          <w:szCs w:val="24"/>
        </w:rPr>
        <w:t>-668</w:t>
      </w:r>
    </w:p>
    <w:p w:rsidR="005C3EED" w:rsidRDefault="0014041C">
      <w:pPr>
        <w:pBdr>
          <w:top w:val="nil"/>
          <w:left w:val="nil"/>
          <w:bottom w:val="nil"/>
          <w:right w:val="nil"/>
          <w:between w:val="nil"/>
        </w:pBdr>
        <w:rPr>
          <w:rFonts w:ascii="Times New Roman" w:eastAsia="Times New Roman" w:hAnsi="Times New Roman" w:cs="Times New Roman"/>
          <w:color w:val="4D4D4D"/>
          <w:sz w:val="26"/>
          <w:szCs w:val="26"/>
        </w:rPr>
      </w:pPr>
      <w:r>
        <w:rPr>
          <w:rFonts w:ascii="Times New Roman" w:eastAsia="Times New Roman" w:hAnsi="Times New Roman" w:cs="Times New Roman"/>
          <w:sz w:val="24"/>
          <w:szCs w:val="24"/>
        </w:rPr>
        <w:t xml:space="preserve">[4] Englund J. Lumbar spinal stenosis. </w:t>
      </w:r>
      <w:proofErr w:type="spellStart"/>
      <w:r>
        <w:rPr>
          <w:rFonts w:ascii="Times New Roman" w:eastAsia="Times New Roman" w:hAnsi="Times New Roman" w:cs="Times New Roman"/>
          <w:sz w:val="24"/>
          <w:szCs w:val="24"/>
        </w:rPr>
        <w:t>Curr</w:t>
      </w:r>
      <w:proofErr w:type="spellEnd"/>
      <w:r>
        <w:rPr>
          <w:rFonts w:ascii="Times New Roman" w:eastAsia="Times New Roman" w:hAnsi="Times New Roman" w:cs="Times New Roman"/>
          <w:sz w:val="24"/>
          <w:szCs w:val="24"/>
        </w:rPr>
        <w:t xml:space="preserve"> Sports Med Rep </w:t>
      </w:r>
      <w:proofErr w:type="gramStart"/>
      <w:r>
        <w:rPr>
          <w:rFonts w:ascii="Times New Roman" w:eastAsia="Times New Roman" w:hAnsi="Times New Roman" w:cs="Times New Roman"/>
          <w:sz w:val="24"/>
          <w:szCs w:val="24"/>
        </w:rPr>
        <w:t>2007;6:50</w:t>
      </w:r>
      <w:proofErr w:type="gramEnd"/>
      <w:r>
        <w:rPr>
          <w:rFonts w:ascii="Times New Roman" w:eastAsia="Times New Roman" w:hAnsi="Times New Roman" w:cs="Times New Roman"/>
          <w:sz w:val="24"/>
          <w:szCs w:val="24"/>
        </w:rPr>
        <w:t>-55</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roofErr w:type="spellStart"/>
      <w:r>
        <w:rPr>
          <w:rFonts w:ascii="Times New Roman" w:eastAsia="Times New Roman" w:hAnsi="Times New Roman" w:cs="Times New Roman"/>
          <w:sz w:val="24"/>
          <w:szCs w:val="24"/>
        </w:rPr>
        <w:t>Friedly</w:t>
      </w:r>
      <w:proofErr w:type="spellEnd"/>
      <w:r>
        <w:rPr>
          <w:rFonts w:ascii="Times New Roman" w:eastAsia="Times New Roman" w:hAnsi="Times New Roman" w:cs="Times New Roman"/>
          <w:sz w:val="24"/>
          <w:szCs w:val="24"/>
        </w:rPr>
        <w:t>, Janna L., et al. "A randomized trial of epidural glucocorticoid injections for spinal stenosis." New England Journal of Medicine 371.1 (2014): 11-21.</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[6] Kent, David M., et al. "The predictive approaches to treatment effect heterogeneity (PATH) statement." Annals of internal medicine 172.1 (2020): 35-45.</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Kent </w:t>
      </w:r>
      <w:proofErr w:type="gramStart"/>
      <w:r>
        <w:rPr>
          <w:rFonts w:ascii="Times New Roman" w:eastAsia="Times New Roman" w:hAnsi="Times New Roman" w:cs="Times New Roman"/>
          <w:sz w:val="24"/>
          <w:szCs w:val="24"/>
        </w:rPr>
        <w:t>DM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Steyerberg</w:t>
      </w:r>
      <w:proofErr w:type="spellEnd"/>
      <w:r>
        <w:rPr>
          <w:rFonts w:ascii="Times New Roman" w:eastAsia="Times New Roman" w:hAnsi="Times New Roman" w:cs="Times New Roman"/>
          <w:sz w:val="24"/>
          <w:szCs w:val="24"/>
        </w:rPr>
        <w:t xml:space="preserve"> E , and  van </w:t>
      </w:r>
      <w:proofErr w:type="spellStart"/>
      <w:r>
        <w:rPr>
          <w:rFonts w:ascii="Times New Roman" w:eastAsia="Times New Roman" w:hAnsi="Times New Roman" w:cs="Times New Roman"/>
          <w:sz w:val="24"/>
          <w:szCs w:val="24"/>
        </w:rPr>
        <w:t>Klaveren</w:t>
      </w:r>
      <w:proofErr w:type="spellEnd"/>
      <w:r>
        <w:rPr>
          <w:rFonts w:ascii="Times New Roman" w:eastAsia="Times New Roman" w:hAnsi="Times New Roman" w:cs="Times New Roman"/>
          <w:sz w:val="24"/>
          <w:szCs w:val="24"/>
        </w:rPr>
        <w:t xml:space="preserve"> D . Personalized </w:t>
      </w:r>
      <w:proofErr w:type="gramStart"/>
      <w:r>
        <w:rPr>
          <w:rFonts w:ascii="Times New Roman" w:eastAsia="Times New Roman" w:hAnsi="Times New Roman" w:cs="Times New Roman"/>
          <w:sz w:val="24"/>
          <w:szCs w:val="24"/>
        </w:rPr>
        <w:t>evidence based</w:t>
      </w:r>
      <w:proofErr w:type="gramEnd"/>
      <w:r>
        <w:rPr>
          <w:rFonts w:ascii="Times New Roman" w:eastAsia="Times New Roman" w:hAnsi="Times New Roman" w:cs="Times New Roman"/>
          <w:sz w:val="24"/>
          <w:szCs w:val="24"/>
        </w:rPr>
        <w:t xml:space="preserve"> medicine: predictive approaches to heterogeneous treatment effects. BMJ. 2018;</w:t>
      </w:r>
      <w:proofErr w:type="gramStart"/>
      <w:r>
        <w:rPr>
          <w:rFonts w:ascii="Times New Roman" w:eastAsia="Times New Roman" w:hAnsi="Times New Roman" w:cs="Times New Roman"/>
          <w:sz w:val="24"/>
          <w:szCs w:val="24"/>
        </w:rPr>
        <w:t>363:k</w:t>
      </w:r>
      <w:proofErr w:type="gramEnd"/>
      <w:r>
        <w:rPr>
          <w:rFonts w:ascii="Times New Roman" w:eastAsia="Times New Roman" w:hAnsi="Times New Roman" w:cs="Times New Roman"/>
          <w:sz w:val="24"/>
          <w:szCs w:val="24"/>
        </w:rPr>
        <w:t>4245. [PMID: 30530757] doi:10.1136/</w:t>
      </w:r>
      <w:proofErr w:type="gramStart"/>
      <w:r>
        <w:rPr>
          <w:rFonts w:ascii="Times New Roman" w:eastAsia="Times New Roman" w:hAnsi="Times New Roman" w:cs="Times New Roman"/>
          <w:sz w:val="24"/>
          <w:szCs w:val="24"/>
        </w:rPr>
        <w:t>bmj.k</w:t>
      </w:r>
      <w:proofErr w:type="gramEnd"/>
      <w:r>
        <w:rPr>
          <w:rFonts w:ascii="Times New Roman" w:eastAsia="Times New Roman" w:hAnsi="Times New Roman" w:cs="Times New Roman"/>
          <w:sz w:val="24"/>
          <w:szCs w:val="24"/>
        </w:rPr>
        <w:t>4245</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proofErr w:type="spellStart"/>
      <w:r>
        <w:rPr>
          <w:rFonts w:ascii="Times New Roman" w:eastAsia="Times New Roman" w:hAnsi="Times New Roman" w:cs="Times New Roman"/>
          <w:sz w:val="24"/>
          <w:szCs w:val="24"/>
        </w:rPr>
        <w:t>Varadhan</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 ,</w:t>
      </w:r>
      <w:proofErr w:type="gramEnd"/>
      <w:r>
        <w:rPr>
          <w:rFonts w:ascii="Times New Roman" w:eastAsia="Times New Roman" w:hAnsi="Times New Roman" w:cs="Times New Roman"/>
          <w:sz w:val="24"/>
          <w:szCs w:val="24"/>
        </w:rPr>
        <w:t xml:space="preserve">  Segal JB ,  Boyd CM , et al. A framework for the analysis of heterogeneity of treatment effect in patient-centered outcomes research. J Clin Epidemiol. </w:t>
      </w:r>
      <w:proofErr w:type="gramStart"/>
      <w:r>
        <w:rPr>
          <w:rFonts w:ascii="Times New Roman" w:eastAsia="Times New Roman" w:hAnsi="Times New Roman" w:cs="Times New Roman"/>
          <w:sz w:val="24"/>
          <w:szCs w:val="24"/>
        </w:rPr>
        <w:t>2013;66:818</w:t>
      </w:r>
      <w:proofErr w:type="gramEnd"/>
      <w:r>
        <w:rPr>
          <w:rFonts w:ascii="Times New Roman" w:eastAsia="Times New Roman" w:hAnsi="Times New Roman" w:cs="Times New Roman"/>
          <w:sz w:val="24"/>
          <w:szCs w:val="24"/>
        </w:rPr>
        <w:t xml:space="preserve">-25. [PMID: </w:t>
      </w:r>
      <w:hyperlink r:id="rId19">
        <w:r>
          <w:rPr>
            <w:rFonts w:ascii="Times New Roman" w:eastAsia="Times New Roman" w:hAnsi="Times New Roman" w:cs="Times New Roman"/>
            <w:sz w:val="24"/>
            <w:szCs w:val="24"/>
          </w:rPr>
          <w:t>23651763</w:t>
        </w:r>
      </w:hyperlink>
      <w:r>
        <w:rPr>
          <w:rFonts w:ascii="Times New Roman" w:eastAsia="Times New Roman" w:hAnsi="Times New Roman" w:cs="Times New Roman"/>
          <w:sz w:val="24"/>
          <w:szCs w:val="24"/>
        </w:rPr>
        <w:t>] doi:</w:t>
      </w:r>
      <w:hyperlink r:id="rId20">
        <w:r>
          <w:rPr>
            <w:rFonts w:ascii="Times New Roman" w:eastAsia="Times New Roman" w:hAnsi="Times New Roman" w:cs="Times New Roman"/>
            <w:sz w:val="24"/>
            <w:szCs w:val="24"/>
          </w:rPr>
          <w:t>10.1016/j.jclinepi.2013.02.009</w:t>
        </w:r>
      </w:hyperlink>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proofErr w:type="spellStart"/>
      <w:r>
        <w:rPr>
          <w:rFonts w:ascii="Times New Roman" w:eastAsia="Times New Roman" w:hAnsi="Times New Roman" w:cs="Times New Roman"/>
          <w:sz w:val="24"/>
          <w:szCs w:val="24"/>
        </w:rPr>
        <w:t>Rekkas</w:t>
      </w:r>
      <w:proofErr w:type="spellEnd"/>
      <w:r>
        <w:rPr>
          <w:rFonts w:ascii="Times New Roman" w:eastAsia="Times New Roman" w:hAnsi="Times New Roman" w:cs="Times New Roman"/>
          <w:sz w:val="24"/>
          <w:szCs w:val="24"/>
        </w:rPr>
        <w:t xml:space="preserve">, Alexandros, et al. "A standardized framework for risk-based assessment of treatment effect heterogeneity in observational healthcare databases." </w:t>
      </w:r>
      <w:proofErr w:type="spellStart"/>
      <w:r>
        <w:rPr>
          <w:rFonts w:ascii="Times New Roman" w:eastAsia="Times New Roman" w:hAnsi="Times New Roman" w:cs="Times New Roman"/>
          <w:sz w:val="24"/>
          <w:szCs w:val="24"/>
        </w:rPr>
        <w:t>arXiv</w:t>
      </w:r>
      <w:proofErr w:type="spellEnd"/>
      <w:r>
        <w:rPr>
          <w:rFonts w:ascii="Times New Roman" w:eastAsia="Times New Roman" w:hAnsi="Times New Roman" w:cs="Times New Roman"/>
          <w:sz w:val="24"/>
          <w:szCs w:val="24"/>
        </w:rPr>
        <w:t xml:space="preserve"> preprint arXiv:2010.06430 (2020).</w:t>
      </w:r>
      <w:r>
        <w:rPr>
          <w:rFonts w:ascii="Times New Roman" w:eastAsia="Times New Roman" w:hAnsi="Times New Roman" w:cs="Times New Roman"/>
          <w:sz w:val="24"/>
          <w:szCs w:val="24"/>
        </w:rPr>
        <w:tab/>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proofErr w:type="spellStart"/>
      <w:r>
        <w:rPr>
          <w:rFonts w:ascii="Times New Roman" w:eastAsia="Times New Roman" w:hAnsi="Times New Roman" w:cs="Times New Roman"/>
          <w:sz w:val="24"/>
          <w:szCs w:val="24"/>
        </w:rPr>
        <w:t>JarvikJG</w:t>
      </w:r>
      <w:proofErr w:type="spellEnd"/>
      <w:r>
        <w:rPr>
          <w:rFonts w:ascii="Times New Roman" w:eastAsia="Times New Roman" w:hAnsi="Times New Roman" w:cs="Times New Roman"/>
          <w:sz w:val="24"/>
          <w:szCs w:val="24"/>
        </w:rPr>
        <w:t xml:space="preserve">, Gold LS, Tan K, et al. Long-term outcomes of a large, prospective observational cohort of older adults with back pain. </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proofErr w:type="spellStart"/>
      <w:r>
        <w:rPr>
          <w:rFonts w:ascii="Times New Roman" w:eastAsia="Times New Roman" w:hAnsi="Times New Roman" w:cs="Times New Roman"/>
          <w:sz w:val="24"/>
          <w:szCs w:val="24"/>
        </w:rPr>
        <w:t>Jarvik</w:t>
      </w:r>
      <w:proofErr w:type="spellEnd"/>
      <w:r>
        <w:rPr>
          <w:rFonts w:ascii="Times New Roman" w:eastAsia="Times New Roman" w:hAnsi="Times New Roman" w:cs="Times New Roman"/>
          <w:sz w:val="24"/>
          <w:szCs w:val="24"/>
        </w:rPr>
        <w:t xml:space="preserve"> JG, Comstock BA, Bresnahan BW, et al. Study protocol: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Back pain Outcomes using Longitudinal Data (BOLD) Registry. BMC </w:t>
      </w:r>
      <w:proofErr w:type="spellStart"/>
      <w:r>
        <w:rPr>
          <w:rFonts w:ascii="Times New Roman" w:eastAsia="Times New Roman" w:hAnsi="Times New Roman" w:cs="Times New Roman"/>
          <w:sz w:val="24"/>
          <w:szCs w:val="24"/>
        </w:rPr>
        <w:t>Musculoskelet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Disord</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2012;13:64</w:t>
      </w:r>
      <w:proofErr w:type="gramEnd"/>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[12] Roland M, Morris R. A study of the natural history of back pain. Part 1: </w:t>
      </w:r>
      <w:r>
        <w:rPr>
          <w:rFonts w:ascii="Times New Roman" w:eastAsia="Times New Roman" w:hAnsi="Times New Roman" w:cs="Times New Roman"/>
          <w:sz w:val="24"/>
          <w:szCs w:val="24"/>
        </w:rPr>
        <w:lastRenderedPageBreak/>
        <w:t xml:space="preserve">development of a reliable and sensitive measure of disability in low back pain. Spine </w:t>
      </w:r>
      <w:proofErr w:type="gramStart"/>
      <w:r>
        <w:rPr>
          <w:rFonts w:ascii="Times New Roman" w:eastAsia="Times New Roman" w:hAnsi="Times New Roman" w:cs="Times New Roman"/>
          <w:sz w:val="24"/>
          <w:szCs w:val="24"/>
        </w:rPr>
        <w:t>1983;8:141</w:t>
      </w:r>
      <w:proofErr w:type="gramEnd"/>
      <w:r>
        <w:rPr>
          <w:rFonts w:ascii="Times New Roman" w:eastAsia="Times New Roman" w:hAnsi="Times New Roman" w:cs="Times New Roman"/>
          <w:sz w:val="24"/>
          <w:szCs w:val="24"/>
        </w:rPr>
        <w:t xml:space="preserve">–4. </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proofErr w:type="spellStart"/>
      <w:r>
        <w:rPr>
          <w:rFonts w:ascii="Times New Roman" w:eastAsia="Times New Roman" w:hAnsi="Times New Roman" w:cs="Times New Roman"/>
          <w:sz w:val="24"/>
          <w:szCs w:val="24"/>
        </w:rPr>
        <w:t>Cleeland</w:t>
      </w:r>
      <w:proofErr w:type="spellEnd"/>
      <w:r>
        <w:rPr>
          <w:rFonts w:ascii="Times New Roman" w:eastAsia="Times New Roman" w:hAnsi="Times New Roman" w:cs="Times New Roman"/>
          <w:sz w:val="24"/>
          <w:szCs w:val="24"/>
        </w:rPr>
        <w:t xml:space="preserve"> CS, Nakamura Y, Mendoza TR, Edwards KR, Douglas J, </w:t>
      </w:r>
      <w:proofErr w:type="spellStart"/>
      <w:r>
        <w:rPr>
          <w:rFonts w:ascii="Times New Roman" w:eastAsia="Times New Roman" w:hAnsi="Times New Roman" w:cs="Times New Roman"/>
          <w:sz w:val="24"/>
          <w:szCs w:val="24"/>
        </w:rPr>
        <w:t>Serlin</w:t>
      </w:r>
      <w:proofErr w:type="spellEnd"/>
      <w:r>
        <w:rPr>
          <w:rFonts w:ascii="Times New Roman" w:eastAsia="Times New Roman" w:hAnsi="Times New Roman" w:cs="Times New Roman"/>
          <w:sz w:val="24"/>
          <w:szCs w:val="24"/>
        </w:rPr>
        <w:t xml:space="preserve"> RC. Dimensions of the impact of cancer pain in a </w:t>
      </w:r>
      <w:proofErr w:type="gramStart"/>
      <w:r>
        <w:rPr>
          <w:rFonts w:ascii="Times New Roman" w:eastAsia="Times New Roman" w:hAnsi="Times New Roman" w:cs="Times New Roman"/>
          <w:sz w:val="24"/>
          <w:szCs w:val="24"/>
        </w:rPr>
        <w:t>four country</w:t>
      </w:r>
      <w:proofErr w:type="gramEnd"/>
      <w:r>
        <w:rPr>
          <w:rFonts w:ascii="Times New Roman" w:eastAsia="Times New Roman" w:hAnsi="Times New Roman" w:cs="Times New Roman"/>
          <w:sz w:val="24"/>
          <w:szCs w:val="24"/>
        </w:rPr>
        <w:t xml:space="preserve"> sample: new information from multidimensional scaling. Pain </w:t>
      </w:r>
      <w:proofErr w:type="gramStart"/>
      <w:r>
        <w:rPr>
          <w:rFonts w:ascii="Times New Roman" w:eastAsia="Times New Roman" w:hAnsi="Times New Roman" w:cs="Times New Roman"/>
          <w:sz w:val="24"/>
          <w:szCs w:val="24"/>
        </w:rPr>
        <w:t>1996;67:267</w:t>
      </w:r>
      <w:proofErr w:type="gramEnd"/>
      <w:r>
        <w:rPr>
          <w:rFonts w:ascii="Times New Roman" w:eastAsia="Times New Roman" w:hAnsi="Times New Roman" w:cs="Times New Roman"/>
          <w:sz w:val="24"/>
          <w:szCs w:val="24"/>
        </w:rPr>
        <w:t xml:space="preserve">–73. </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roofErr w:type="gramStart"/>
      <w:r>
        <w:rPr>
          <w:rFonts w:ascii="Times New Roman" w:eastAsia="Times New Roman" w:hAnsi="Times New Roman" w:cs="Times New Roman"/>
          <w:sz w:val="24"/>
          <w:szCs w:val="24"/>
        </w:rPr>
        <w:t>]  Quan</w:t>
      </w:r>
      <w:proofErr w:type="gramEnd"/>
      <w:r>
        <w:rPr>
          <w:rFonts w:ascii="Times New Roman" w:eastAsia="Times New Roman" w:hAnsi="Times New Roman" w:cs="Times New Roman"/>
          <w:sz w:val="24"/>
          <w:szCs w:val="24"/>
        </w:rPr>
        <w:t xml:space="preserve"> H, Li B, </w:t>
      </w:r>
      <w:proofErr w:type="spellStart"/>
      <w:r>
        <w:rPr>
          <w:rFonts w:ascii="Times New Roman" w:eastAsia="Times New Roman" w:hAnsi="Times New Roman" w:cs="Times New Roman"/>
          <w:sz w:val="24"/>
          <w:szCs w:val="24"/>
        </w:rPr>
        <w:t>Couris</w:t>
      </w:r>
      <w:proofErr w:type="spellEnd"/>
      <w:r>
        <w:rPr>
          <w:rFonts w:ascii="Times New Roman" w:eastAsia="Times New Roman" w:hAnsi="Times New Roman" w:cs="Times New Roman"/>
          <w:sz w:val="24"/>
          <w:szCs w:val="24"/>
        </w:rPr>
        <w:t xml:space="preserve"> CM, et al. Updating and validating the </w:t>
      </w:r>
      <w:proofErr w:type="spellStart"/>
      <w:r>
        <w:rPr>
          <w:rFonts w:ascii="Times New Roman" w:eastAsia="Times New Roman" w:hAnsi="Times New Roman" w:cs="Times New Roman"/>
          <w:sz w:val="24"/>
          <w:szCs w:val="24"/>
        </w:rPr>
        <w:t>Charlson</w:t>
      </w:r>
      <w:proofErr w:type="spellEnd"/>
      <w:r>
        <w:rPr>
          <w:rFonts w:ascii="Times New Roman" w:eastAsia="Times New Roman" w:hAnsi="Times New Roman" w:cs="Times New Roman"/>
          <w:sz w:val="24"/>
          <w:szCs w:val="24"/>
        </w:rPr>
        <w:t xml:space="preserve"> comorbidity index and score for risk adjustment in hospital discharge abstracts using data from 6 countries. Am J Epidemiol </w:t>
      </w:r>
      <w:proofErr w:type="gramStart"/>
      <w:r>
        <w:rPr>
          <w:rFonts w:ascii="Times New Roman" w:eastAsia="Times New Roman" w:hAnsi="Times New Roman" w:cs="Times New Roman"/>
          <w:sz w:val="24"/>
          <w:szCs w:val="24"/>
        </w:rPr>
        <w:t>2011;173:676</w:t>
      </w:r>
      <w:proofErr w:type="gramEnd"/>
      <w:r>
        <w:rPr>
          <w:rFonts w:ascii="Times New Roman" w:eastAsia="Times New Roman" w:hAnsi="Times New Roman" w:cs="Times New Roman"/>
          <w:sz w:val="24"/>
          <w:szCs w:val="24"/>
        </w:rPr>
        <w:t xml:space="preserve">– 82. </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proofErr w:type="gramStart"/>
      <w:r>
        <w:rPr>
          <w:rFonts w:ascii="Times New Roman" w:eastAsia="Times New Roman" w:hAnsi="Times New Roman" w:cs="Times New Roman"/>
          <w:sz w:val="24"/>
          <w:szCs w:val="24"/>
        </w:rPr>
        <w:t>StatisticsNCfH.InternationalClassificationofDiseases,NinthRevision</w:t>
      </w:r>
      <w:proofErr w:type="gramEnd"/>
      <w:r>
        <w:rPr>
          <w:rFonts w:ascii="Times New Roman" w:eastAsia="Times New Roman" w:hAnsi="Times New Roman" w:cs="Times New Roman"/>
          <w:sz w:val="24"/>
          <w:szCs w:val="24"/>
        </w:rPr>
        <w:t xml:space="preserve"> (ICD-9). 2009. Available at: http://www.cdc.gov/nchs/icd/icd9.htm. Accessed February 12, 2018. </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roofErr w:type="gramStart"/>
      <w:r>
        <w:rPr>
          <w:rFonts w:ascii="Times New Roman" w:eastAsia="Times New Roman" w:hAnsi="Times New Roman" w:cs="Times New Roman"/>
          <w:sz w:val="24"/>
          <w:szCs w:val="24"/>
        </w:rPr>
        <w:t>]  AAMA</w:t>
      </w:r>
      <w:proofErr w:type="gramEnd"/>
      <w:r>
        <w:rPr>
          <w:rFonts w:ascii="Times New Roman" w:eastAsia="Times New Roman" w:hAnsi="Times New Roman" w:cs="Times New Roman"/>
          <w:sz w:val="24"/>
          <w:szCs w:val="24"/>
        </w:rPr>
        <w:t xml:space="preserve"> (Internet). AMA—About CPT®. c1995-2013. Available at: http://www.ama-assn.org/ama/pub/physician-resources/solutions -managing-your-practice/coding-billing-insurance/</w:t>
      </w:r>
      <w:proofErr w:type="spellStart"/>
      <w:r>
        <w:rPr>
          <w:rFonts w:ascii="Times New Roman" w:eastAsia="Times New Roman" w:hAnsi="Times New Roman" w:cs="Times New Roman"/>
          <w:sz w:val="24"/>
          <w:szCs w:val="24"/>
        </w:rPr>
        <w:t>cpt</w:t>
      </w:r>
      <w:proofErr w:type="spellEnd"/>
      <w:r>
        <w:rPr>
          <w:rFonts w:ascii="Times New Roman" w:eastAsia="Times New Roman" w:hAnsi="Times New Roman" w:cs="Times New Roman"/>
          <w:sz w:val="24"/>
          <w:szCs w:val="24"/>
        </w:rPr>
        <w:t>/about-</w:t>
      </w:r>
      <w:proofErr w:type="spellStart"/>
      <w:proofErr w:type="gramStart"/>
      <w:r>
        <w:rPr>
          <w:rFonts w:ascii="Times New Roman" w:eastAsia="Times New Roman" w:hAnsi="Times New Roman" w:cs="Times New Roman"/>
          <w:sz w:val="24"/>
          <w:szCs w:val="24"/>
        </w:rPr>
        <w:t>cpt</w:t>
      </w:r>
      <w:proofErr w:type="spellEnd"/>
      <w:r>
        <w:rPr>
          <w:rFonts w:ascii="Times New Roman" w:eastAsia="Times New Roman" w:hAnsi="Times New Roman" w:cs="Times New Roman"/>
          <w:sz w:val="24"/>
          <w:szCs w:val="24"/>
        </w:rPr>
        <w:t xml:space="preserve"> .page</w:t>
      </w:r>
      <w:proofErr w:type="gramEnd"/>
      <w:r>
        <w:rPr>
          <w:rFonts w:ascii="Times New Roman" w:eastAsia="Times New Roman" w:hAnsi="Times New Roman" w:cs="Times New Roman"/>
          <w:sz w:val="24"/>
          <w:szCs w:val="24"/>
        </w:rPr>
        <w:t xml:space="preserve">. Accessed February 12, 2018.  </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 Brooks R. </w:t>
      </w:r>
      <w:proofErr w:type="spellStart"/>
      <w:r>
        <w:rPr>
          <w:rFonts w:ascii="Times New Roman" w:eastAsia="Times New Roman" w:hAnsi="Times New Roman" w:cs="Times New Roman"/>
          <w:sz w:val="24"/>
          <w:szCs w:val="24"/>
        </w:rPr>
        <w:t>EuroQOL</w:t>
      </w:r>
      <w:proofErr w:type="spellEnd"/>
      <w:r>
        <w:rPr>
          <w:rFonts w:ascii="Times New Roman" w:eastAsia="Times New Roman" w:hAnsi="Times New Roman" w:cs="Times New Roman"/>
          <w:sz w:val="24"/>
          <w:szCs w:val="24"/>
        </w:rPr>
        <w:t xml:space="preserve">: the current state of play. Health Policy (New York) </w:t>
      </w:r>
      <w:proofErr w:type="gramStart"/>
      <w:r>
        <w:rPr>
          <w:rFonts w:ascii="Times New Roman" w:eastAsia="Times New Roman" w:hAnsi="Times New Roman" w:cs="Times New Roman"/>
          <w:sz w:val="24"/>
          <w:szCs w:val="24"/>
        </w:rPr>
        <w:t>1996;37:53</w:t>
      </w:r>
      <w:proofErr w:type="gramEnd"/>
      <w:r>
        <w:rPr>
          <w:rFonts w:ascii="Times New Roman" w:eastAsia="Times New Roman" w:hAnsi="Times New Roman" w:cs="Times New Roman"/>
          <w:sz w:val="24"/>
          <w:szCs w:val="24"/>
        </w:rPr>
        <w:t xml:space="preserve">–72. </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 </w:t>
      </w:r>
      <w:proofErr w:type="spellStart"/>
      <w:r>
        <w:rPr>
          <w:rFonts w:ascii="Times New Roman" w:eastAsia="Times New Roman" w:hAnsi="Times New Roman" w:cs="Times New Roman"/>
          <w:sz w:val="24"/>
          <w:szCs w:val="24"/>
        </w:rPr>
        <w:t>Cleeland</w:t>
      </w:r>
      <w:proofErr w:type="spellEnd"/>
      <w:r>
        <w:rPr>
          <w:rFonts w:ascii="Times New Roman" w:eastAsia="Times New Roman" w:hAnsi="Times New Roman" w:cs="Times New Roman"/>
          <w:sz w:val="24"/>
          <w:szCs w:val="24"/>
        </w:rPr>
        <w:t xml:space="preserve"> CS, Ryan KM: Pain assessment: global use of the Brief Pain Inventory. Ann </w:t>
      </w:r>
      <w:proofErr w:type="spellStart"/>
      <w:r>
        <w:rPr>
          <w:rFonts w:ascii="Times New Roman" w:eastAsia="Times New Roman" w:hAnsi="Times New Roman" w:cs="Times New Roman"/>
          <w:sz w:val="24"/>
          <w:szCs w:val="24"/>
        </w:rPr>
        <w:t>Acad</w:t>
      </w:r>
      <w:proofErr w:type="spellEnd"/>
      <w:r>
        <w:rPr>
          <w:rFonts w:ascii="Times New Roman" w:eastAsia="Times New Roman" w:hAnsi="Times New Roman" w:cs="Times New Roman"/>
          <w:sz w:val="24"/>
          <w:szCs w:val="24"/>
        </w:rPr>
        <w:t xml:space="preserve"> Med Singapore 1994, 23(2):129–138.</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Centers for Disease Control and Prevention (CDC). Self-reported falls and fall-related injuries among persons aged &gt; or =65 years—United States, 2006. MMWR </w:t>
      </w:r>
      <w:proofErr w:type="spellStart"/>
      <w:r>
        <w:rPr>
          <w:rFonts w:ascii="Times New Roman" w:eastAsia="Times New Roman" w:hAnsi="Times New Roman" w:cs="Times New Roman"/>
          <w:sz w:val="24"/>
          <w:szCs w:val="24"/>
        </w:rPr>
        <w:t>Morb</w:t>
      </w:r>
      <w:proofErr w:type="spellEnd"/>
      <w:r>
        <w:rPr>
          <w:rFonts w:ascii="Times New Roman" w:eastAsia="Times New Roman" w:hAnsi="Times New Roman" w:cs="Times New Roman"/>
          <w:sz w:val="24"/>
          <w:szCs w:val="24"/>
        </w:rPr>
        <w:t xml:space="preserve"> Mortal </w:t>
      </w:r>
      <w:proofErr w:type="spellStart"/>
      <w:r>
        <w:rPr>
          <w:rFonts w:ascii="Times New Roman" w:eastAsia="Times New Roman" w:hAnsi="Times New Roman" w:cs="Times New Roman"/>
          <w:sz w:val="24"/>
          <w:szCs w:val="24"/>
        </w:rPr>
        <w:t>Wkly</w:t>
      </w:r>
      <w:proofErr w:type="spellEnd"/>
      <w:r>
        <w:rPr>
          <w:rFonts w:ascii="Times New Roman" w:eastAsia="Times New Roman" w:hAnsi="Times New Roman" w:cs="Times New Roman"/>
          <w:sz w:val="24"/>
          <w:szCs w:val="24"/>
        </w:rPr>
        <w:t xml:space="preserve"> Rep </w:t>
      </w:r>
      <w:proofErr w:type="gramStart"/>
      <w:r>
        <w:rPr>
          <w:rFonts w:ascii="Times New Roman" w:eastAsia="Times New Roman" w:hAnsi="Times New Roman" w:cs="Times New Roman"/>
          <w:sz w:val="24"/>
          <w:szCs w:val="24"/>
        </w:rPr>
        <w:t>2008;57:225</w:t>
      </w:r>
      <w:proofErr w:type="gramEnd"/>
      <w:r>
        <w:rPr>
          <w:rFonts w:ascii="Times New Roman" w:eastAsia="Times New Roman" w:hAnsi="Times New Roman" w:cs="Times New Roman"/>
          <w:sz w:val="24"/>
          <w:szCs w:val="24"/>
        </w:rPr>
        <w:t xml:space="preserve">–9. </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roofErr w:type="gramStart"/>
      <w:r>
        <w:rPr>
          <w:rFonts w:ascii="Times New Roman" w:eastAsia="Times New Roman" w:hAnsi="Times New Roman" w:cs="Times New Roman"/>
          <w:sz w:val="24"/>
          <w:szCs w:val="24"/>
        </w:rPr>
        <w:t>]  Kroenke</w:t>
      </w:r>
      <w:proofErr w:type="gramEnd"/>
      <w:r>
        <w:rPr>
          <w:rFonts w:ascii="Times New Roman" w:eastAsia="Times New Roman" w:hAnsi="Times New Roman" w:cs="Times New Roman"/>
          <w:sz w:val="24"/>
          <w:szCs w:val="24"/>
        </w:rPr>
        <w:t xml:space="preserve"> K, Spitzer RL, Williams JB, Lowe B. An ultra-brief screening scale for anxiety and depression: the PHQ-4. Psychosomatics </w:t>
      </w:r>
      <w:proofErr w:type="gramStart"/>
      <w:r>
        <w:rPr>
          <w:rFonts w:ascii="Times New Roman" w:eastAsia="Times New Roman" w:hAnsi="Times New Roman" w:cs="Times New Roman"/>
          <w:sz w:val="24"/>
          <w:szCs w:val="24"/>
        </w:rPr>
        <w:t>2009;50:613</w:t>
      </w:r>
      <w:proofErr w:type="gramEnd"/>
      <w:r>
        <w:rPr>
          <w:rFonts w:ascii="Times New Roman" w:eastAsia="Times New Roman" w:hAnsi="Times New Roman" w:cs="Times New Roman"/>
          <w:sz w:val="24"/>
          <w:szCs w:val="24"/>
        </w:rPr>
        <w:t xml:space="preserve">–21. </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Iles RA, Davidson M, Taylor NF, O’Halloran P: Systematic review of the ability of recovery expectations to predict outcomes in non-chronic non-specific low back pain. J </w:t>
      </w:r>
      <w:proofErr w:type="spellStart"/>
      <w:r>
        <w:rPr>
          <w:rFonts w:ascii="Times New Roman" w:eastAsia="Times New Roman" w:hAnsi="Times New Roman" w:cs="Times New Roman"/>
          <w:sz w:val="24"/>
          <w:szCs w:val="24"/>
        </w:rPr>
        <w:t>Occup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Rehabil</w:t>
      </w:r>
      <w:proofErr w:type="spellEnd"/>
      <w:r>
        <w:rPr>
          <w:rFonts w:ascii="Times New Roman" w:eastAsia="Times New Roman" w:hAnsi="Times New Roman" w:cs="Times New Roman"/>
          <w:sz w:val="24"/>
          <w:szCs w:val="24"/>
        </w:rPr>
        <w:t xml:space="preserve"> 2009, 19:25–40. </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w:t>
      </w:r>
      <w:proofErr w:type="spellStart"/>
      <w:r>
        <w:rPr>
          <w:rFonts w:ascii="Times New Roman" w:eastAsia="Times New Roman" w:hAnsi="Times New Roman" w:cs="Times New Roman"/>
          <w:sz w:val="24"/>
          <w:szCs w:val="24"/>
        </w:rPr>
        <w:t>Kongsted</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Vach</w:t>
      </w:r>
      <w:proofErr w:type="spellEnd"/>
      <w:r>
        <w:rPr>
          <w:rFonts w:ascii="Times New Roman" w:eastAsia="Times New Roman" w:hAnsi="Times New Roman" w:cs="Times New Roman"/>
          <w:sz w:val="24"/>
          <w:szCs w:val="24"/>
        </w:rPr>
        <w:t xml:space="preserve"> W, </w:t>
      </w:r>
      <w:proofErr w:type="spellStart"/>
      <w:r>
        <w:rPr>
          <w:rFonts w:ascii="Times New Roman" w:eastAsia="Times New Roman" w:hAnsi="Times New Roman" w:cs="Times New Roman"/>
          <w:sz w:val="24"/>
          <w:szCs w:val="24"/>
        </w:rPr>
        <w:t>Axo</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Bech</w:t>
      </w:r>
      <w:proofErr w:type="spellEnd"/>
      <w:r>
        <w:rPr>
          <w:rFonts w:ascii="Times New Roman" w:eastAsia="Times New Roman" w:hAnsi="Times New Roman" w:cs="Times New Roman"/>
          <w:sz w:val="24"/>
          <w:szCs w:val="24"/>
        </w:rPr>
        <w:t xml:space="preserve"> RN, </w:t>
      </w:r>
      <w:proofErr w:type="spellStart"/>
      <w:r>
        <w:rPr>
          <w:rFonts w:ascii="Times New Roman" w:eastAsia="Times New Roman" w:hAnsi="Times New Roman" w:cs="Times New Roman"/>
          <w:sz w:val="24"/>
          <w:szCs w:val="24"/>
        </w:rPr>
        <w:t>Hestbaek</w:t>
      </w:r>
      <w:proofErr w:type="spellEnd"/>
      <w:r>
        <w:rPr>
          <w:rFonts w:ascii="Times New Roman" w:eastAsia="Times New Roman" w:hAnsi="Times New Roman" w:cs="Times New Roman"/>
          <w:sz w:val="24"/>
          <w:szCs w:val="24"/>
        </w:rPr>
        <w:t xml:space="preserve"> L: Expectation of recovery from low back pain: a longitudinal cohort study investigating patient characteristics related to expectations and the association between expectations and 3-month outcome. Spine (Phila Pa 1976) 2014, 39:81–90. </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Deyo</w:t>
      </w:r>
      <w:proofErr w:type="spellEnd"/>
      <w:proofErr w:type="gramEnd"/>
      <w:r>
        <w:rPr>
          <w:rFonts w:ascii="Times New Roman" w:eastAsia="Times New Roman" w:hAnsi="Times New Roman" w:cs="Times New Roman"/>
          <w:sz w:val="24"/>
          <w:szCs w:val="24"/>
        </w:rPr>
        <w:t xml:space="preserve"> RA, Bryan M, Comstock BA, et al. Trajectories of symptoms and function in older adults with low back disorders. Spine </w:t>
      </w:r>
      <w:proofErr w:type="gramStart"/>
      <w:r>
        <w:rPr>
          <w:rFonts w:ascii="Times New Roman" w:eastAsia="Times New Roman" w:hAnsi="Times New Roman" w:cs="Times New Roman"/>
          <w:sz w:val="24"/>
          <w:szCs w:val="24"/>
        </w:rPr>
        <w:t>2015;40:1352</w:t>
      </w:r>
      <w:proofErr w:type="gramEnd"/>
      <w:r>
        <w:rPr>
          <w:rFonts w:ascii="Times New Roman" w:eastAsia="Times New Roman" w:hAnsi="Times New Roman" w:cs="Times New Roman"/>
          <w:sz w:val="24"/>
          <w:szCs w:val="24"/>
        </w:rPr>
        <w:t>–62.</w:t>
      </w:r>
    </w:p>
    <w:p w:rsidR="005C3EED" w:rsidRDefault="005C3EED">
      <w:pPr>
        <w:spacing w:line="360" w:lineRule="auto"/>
      </w:pPr>
    </w:p>
    <w:p w:rsidR="005C3EED" w:rsidRDefault="0014041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6. Appendix</w:t>
      </w:r>
    </w:p>
    <w:p w:rsidR="005C3EED" w:rsidRDefault="005C3EED">
      <w:pPr>
        <w:rPr>
          <w:rFonts w:ascii="Times New Roman" w:eastAsia="Times New Roman" w:hAnsi="Times New Roman" w:cs="Times New Roman"/>
          <w:b/>
          <w:sz w:val="24"/>
          <w:szCs w:val="24"/>
        </w:rPr>
      </w:pPr>
    </w:p>
    <w:p w:rsidR="005C3EED" w:rsidRDefault="0014041C">
      <w:r>
        <w:rPr>
          <w:rFonts w:ascii="Times New Roman" w:eastAsia="Times New Roman" w:hAnsi="Times New Roman" w:cs="Times New Roman"/>
          <w:b/>
          <w:sz w:val="24"/>
          <w:szCs w:val="24"/>
        </w:rPr>
        <w:t xml:space="preserve">  6.1 Sensitive analysis</w:t>
      </w:r>
    </w:p>
    <w:p w:rsidR="005C3EED" w:rsidRDefault="0014041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5C3EED" w:rsidRDefault="0014041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6.1.1 Generalized Additive Model (GAM) analysis for aim2</w:t>
      </w:r>
    </w:p>
    <w:p w:rsidR="005C3EED" w:rsidRDefault="005C3EED">
      <w:pPr>
        <w:rPr>
          <w:rFonts w:ascii="Times New Roman" w:eastAsia="Times New Roman" w:hAnsi="Times New Roman" w:cs="Times New Roman"/>
          <w:b/>
          <w:sz w:val="24"/>
          <w:szCs w:val="24"/>
        </w:rPr>
      </w:pPr>
    </w:p>
    <w:p w:rsidR="005C3EED" w:rsidRDefault="0014041C">
      <w:pPr>
        <w:rPr>
          <w:rFonts w:ascii="Times New Roman" w:eastAsia="Times New Roman" w:hAnsi="Times New Roman" w:cs="Times New Roman"/>
          <w:sz w:val="20"/>
          <w:szCs w:val="20"/>
        </w:rPr>
      </w:pPr>
      <w:r>
        <w:rPr>
          <w:rFonts w:ascii="Times New Roman" w:eastAsia="Times New Roman" w:hAnsi="Times New Roman" w:cs="Times New Roman"/>
          <w:sz w:val="24"/>
          <w:szCs w:val="24"/>
        </w:rPr>
        <w:t xml:space="preserve">The results of Aim 2 in 3.3, especially the plot of estimated absolute treatment effects, suggest that there may be a non-linear association between each risk strata and the treatment </w:t>
      </w:r>
      <w:proofErr w:type="spellStart"/>
      <w:proofErr w:type="gramStart"/>
      <w:r>
        <w:rPr>
          <w:rFonts w:ascii="Times New Roman" w:eastAsia="Times New Roman" w:hAnsi="Times New Roman" w:cs="Times New Roman"/>
          <w:sz w:val="24"/>
          <w:szCs w:val="24"/>
        </w:rPr>
        <w:t>effects,due</w:t>
      </w:r>
      <w:proofErr w:type="spellEnd"/>
      <w:proofErr w:type="gramEnd"/>
      <w:r>
        <w:rPr>
          <w:rFonts w:ascii="Times New Roman" w:eastAsia="Times New Roman" w:hAnsi="Times New Roman" w:cs="Times New Roman"/>
          <w:sz w:val="24"/>
          <w:szCs w:val="24"/>
        </w:rPr>
        <w:t xml:space="preserve"> to the non-monotonous trend. In order to explore whether there was a nonlinear relationship, we </w:t>
      </w:r>
      <w:r>
        <w:rPr>
          <w:rFonts w:ascii="Times New Roman" w:eastAsia="Times New Roman" w:hAnsi="Times New Roman" w:cs="Times New Roman"/>
          <w:sz w:val="24"/>
          <w:szCs w:val="24"/>
        </w:rPr>
        <w:lastRenderedPageBreak/>
        <w:t xml:space="preserve">conducted GAM analysis in which the linear response variable depends linearly on unknown </w:t>
      </w:r>
      <w:hyperlink r:id="rId21">
        <w:r>
          <w:rPr>
            <w:rFonts w:ascii="Times New Roman" w:eastAsia="Times New Roman" w:hAnsi="Times New Roman" w:cs="Times New Roman"/>
            <w:sz w:val="24"/>
            <w:szCs w:val="24"/>
          </w:rPr>
          <w:t>smooth functions</w:t>
        </w:r>
      </w:hyperlink>
      <w:r>
        <w:rPr>
          <w:rFonts w:ascii="Times New Roman" w:eastAsia="Times New Roman" w:hAnsi="Times New Roman" w:cs="Times New Roman"/>
          <w:sz w:val="24"/>
          <w:szCs w:val="24"/>
        </w:rPr>
        <w:t xml:space="preserve"> of some predictor variables, and interest focuses on inference about these smooth functions.</w:t>
      </w:r>
    </w:p>
    <w:p w:rsidR="005C3EED" w:rsidRDefault="005C3EED">
      <w:pPr>
        <w:rPr>
          <w:rFonts w:ascii="Times New Roman" w:eastAsia="Times New Roman" w:hAnsi="Times New Roman" w:cs="Times New Roman"/>
          <w:sz w:val="20"/>
          <w:szCs w:val="20"/>
        </w:rPr>
      </w:pP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fit a smooth function on risk scores grouped by </w:t>
      </w:r>
      <w:proofErr w:type="gramStart"/>
      <w:r>
        <w:rPr>
          <w:rFonts w:ascii="Times New Roman" w:eastAsia="Times New Roman" w:hAnsi="Times New Roman" w:cs="Times New Roman"/>
          <w:sz w:val="24"/>
          <w:szCs w:val="24"/>
        </w:rPr>
        <w:t>treatment, and</w:t>
      </w:r>
      <w:proofErr w:type="gramEnd"/>
      <w:r>
        <w:rPr>
          <w:rFonts w:ascii="Times New Roman" w:eastAsia="Times New Roman" w:hAnsi="Times New Roman" w:cs="Times New Roman"/>
          <w:sz w:val="24"/>
          <w:szCs w:val="24"/>
        </w:rPr>
        <w:t xml:space="preserve"> treated the rest categorical or binary variables as linear effects. We aimed to test the null hypothesis that whether there exists a linear trend between 6-week RMDQ scores and risk scores grouped by treatment. However, p-value (p = 0.86) of the smooth term showed no scientific significance.</w:t>
      </w:r>
    </w:p>
    <w:p w:rsidR="005C3EED" w:rsidRDefault="005C3EED">
      <w:pPr>
        <w:rPr>
          <w:rFonts w:ascii="Times New Roman" w:eastAsia="Times New Roman" w:hAnsi="Times New Roman" w:cs="Times New Roman"/>
          <w:sz w:val="24"/>
          <w:szCs w:val="24"/>
        </w:rPr>
      </w:pP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Also, plots of GAM analysis also supported the results. For the smooth term, which was the risk scores grouped by treatment (</w:t>
      </w:r>
      <w:r>
        <w:rPr>
          <w:rFonts w:ascii="Times New Roman" w:eastAsia="Times New Roman" w:hAnsi="Times New Roman" w:cs="Times New Roman"/>
          <w:b/>
          <w:sz w:val="24"/>
          <w:szCs w:val="24"/>
        </w:rPr>
        <w:t>Fig.8</w:t>
      </w:r>
      <w:r>
        <w:rPr>
          <w:rFonts w:ascii="Times New Roman" w:eastAsia="Times New Roman" w:hAnsi="Times New Roman" w:cs="Times New Roman"/>
          <w:sz w:val="24"/>
          <w:szCs w:val="24"/>
        </w:rPr>
        <w:t xml:space="preserve">), the line was approximately u-shape, however, with too wide 95% confidence interval. Therefore, we should not reject that there was a flat line easily. And the GAM fit in Figure 9 was consistent with the conclusion drawn from the above linear interaction model in the lower range of risk scores, which were </w:t>
      </w:r>
      <w:r>
        <w:rPr>
          <w:rFonts w:ascii="Times New Roman" w:eastAsia="Times New Roman" w:hAnsi="Times New Roman" w:cs="Times New Roman"/>
          <w:sz w:val="24"/>
          <w:szCs w:val="24"/>
          <w:highlight w:val="white"/>
        </w:rPr>
        <w:t xml:space="preserve">(4.26, 10.22) and (10.23, 12.79). But also shows the effect leveling off for higher risk scores. This is also consistent with the top left plot in Figure 10. </w:t>
      </w:r>
      <w:r>
        <w:rPr>
          <w:rFonts w:ascii="Times New Roman" w:eastAsia="Times New Roman" w:hAnsi="Times New Roman" w:cs="Times New Roman"/>
          <w:sz w:val="24"/>
          <w:szCs w:val="24"/>
        </w:rPr>
        <w:t xml:space="preserve">Therefore, the above analysis showed that there was no non-linear relationship between the 6-week RMDQ scores and treatment groups among each risk strata, and the linear model fit in Aim 2 was appropriate. </w:t>
      </w:r>
    </w:p>
    <w:p w:rsidR="005C3EED" w:rsidRDefault="005C3EED"/>
    <w:p w:rsidR="005C3EED" w:rsidRDefault="0014041C">
      <w:pPr>
        <w:jc w:val="center"/>
      </w:pPr>
      <w:r>
        <w:rPr>
          <w:noProof/>
        </w:rPr>
        <w:drawing>
          <wp:inline distT="114300" distB="114300" distL="114300" distR="114300">
            <wp:extent cx="2771665" cy="1806453"/>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2771665" cy="1806453"/>
                    </a:xfrm>
                    <a:prstGeom prst="rect">
                      <a:avLst/>
                    </a:prstGeom>
                    <a:ln/>
                  </pic:spPr>
                </pic:pic>
              </a:graphicData>
            </a:graphic>
          </wp:inline>
        </w:drawing>
      </w:r>
    </w:p>
    <w:p w:rsidR="005C3EED" w:rsidRDefault="0014041C">
      <w:pPr>
        <w:rPr>
          <w:rFonts w:ascii="Times New Roman" w:eastAsia="Times New Roman" w:hAnsi="Times New Roman" w:cs="Times New Roman"/>
          <w:sz w:val="20"/>
          <w:szCs w:val="20"/>
        </w:rPr>
      </w:pPr>
      <w:r>
        <w:rPr>
          <w:rFonts w:ascii="Times New Roman" w:eastAsia="Times New Roman" w:hAnsi="Times New Roman" w:cs="Times New Roman"/>
          <w:b/>
          <w:sz w:val="20"/>
          <w:szCs w:val="20"/>
        </w:rPr>
        <w:t>Fig. 8</w:t>
      </w:r>
      <w:r>
        <w:rPr>
          <w:rFonts w:ascii="Times New Roman" w:eastAsia="Times New Roman" w:hAnsi="Times New Roman" w:cs="Times New Roman"/>
          <w:sz w:val="20"/>
          <w:szCs w:val="20"/>
        </w:rPr>
        <w:t>. Association of risk scores (along the x axis) and the magnitude of the estimated coefficient of treatment effects by risk scores, with the distribution of risk scores at bottom. The caption at the right bottom corner shows the confidence intervals of the conditional effects corresponding to the grey area in the plot.</w:t>
      </w:r>
    </w:p>
    <w:p w:rsidR="005C3EED" w:rsidRDefault="005C3EED">
      <w:pPr>
        <w:rPr>
          <w:rFonts w:ascii="Times New Roman" w:eastAsia="Times New Roman" w:hAnsi="Times New Roman" w:cs="Times New Roman"/>
          <w:sz w:val="20"/>
          <w:szCs w:val="20"/>
        </w:rPr>
      </w:pPr>
    </w:p>
    <w:p w:rsidR="005C3EED" w:rsidRDefault="005C3EED">
      <w:pPr>
        <w:rPr>
          <w:rFonts w:ascii="Times New Roman" w:eastAsia="Times New Roman" w:hAnsi="Times New Roman" w:cs="Times New Roman"/>
          <w:sz w:val="20"/>
          <w:szCs w:val="20"/>
        </w:rPr>
      </w:pPr>
    </w:p>
    <w:p w:rsidR="005C3EED" w:rsidRDefault="0014041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6.1.2 Exploratory analysis of interaction terms in aim1 </w:t>
      </w:r>
    </w:p>
    <w:p w:rsidR="005C3EED" w:rsidRDefault="005C3EED">
      <w:pPr>
        <w:rPr>
          <w:rFonts w:ascii="Times New Roman" w:eastAsia="Times New Roman" w:hAnsi="Times New Roman" w:cs="Times New Roman"/>
          <w:b/>
          <w:sz w:val="24"/>
          <w:szCs w:val="24"/>
        </w:rPr>
      </w:pPr>
    </w:p>
    <w:p w:rsidR="005C3EED" w:rsidRDefault="0014041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InAim</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1</w:t>
      </w:r>
      <w:r>
        <w:rPr>
          <w:sz w:val="16"/>
          <w:szCs w:val="16"/>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we evaluated three sequential LASSO models and determined that model 1 that only used variables from PRO data was optimal. </w:t>
      </w:r>
      <w:proofErr w:type="gramStart"/>
      <w:r>
        <w:rPr>
          <w:rFonts w:ascii="Times New Roman" w:eastAsia="Times New Roman" w:hAnsi="Times New Roman" w:cs="Times New Roman"/>
          <w:sz w:val="24"/>
          <w:szCs w:val="24"/>
        </w:rPr>
        <w:t>However,  Model</w:t>
      </w:r>
      <w:proofErr w:type="gramEnd"/>
      <w:r>
        <w:rPr>
          <w:rFonts w:ascii="Times New Roman" w:eastAsia="Times New Roman" w:hAnsi="Times New Roman" w:cs="Times New Roman"/>
          <w:sz w:val="24"/>
          <w:szCs w:val="24"/>
        </w:rPr>
        <w:t xml:space="preserve"> 1 did not consider non-linear relationships between variables so in the sensitivity analysis we also explored introducing interaction terms. </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C3EED" w:rsidRDefault="0014041C">
      <w:pPr>
        <w:rPr>
          <w:sz w:val="20"/>
          <w:szCs w:val="20"/>
        </w:rPr>
      </w:pPr>
      <w:r>
        <w:rPr>
          <w:rFonts w:ascii="Times New Roman" w:eastAsia="Times New Roman" w:hAnsi="Times New Roman" w:cs="Times New Roman"/>
          <w:sz w:val="24"/>
          <w:szCs w:val="24"/>
        </w:rPr>
        <w:lastRenderedPageBreak/>
        <w:t>We believed that the baseline RMDQ score might interact with demographics variables such as age and sex, as well as patient reported outcomes such as NRS leg pain. We created interactions in our LASSO model by multiplying the baseline RMDQ with other covariates. Then we fit a linear regression model among selected variables and evaluated whether interaction terms were significant by evaluating 95% confidence intervals and P-values (</w:t>
      </w:r>
      <w:r>
        <w:rPr>
          <w:rFonts w:ascii="Times New Roman" w:eastAsia="Times New Roman" w:hAnsi="Times New Roman" w:cs="Times New Roman"/>
          <w:b/>
          <w:sz w:val="24"/>
          <w:szCs w:val="24"/>
        </w:rPr>
        <w:t>appendix</w:t>
      </w:r>
      <w:r>
        <w:rPr>
          <w:rFonts w:ascii="Times New Roman" w:eastAsia="Times New Roman" w:hAnsi="Times New Roman" w:cs="Times New Roman"/>
          <w:sz w:val="24"/>
          <w:szCs w:val="24"/>
        </w:rPr>
        <w:t>).  Interaction terms between EQ5D-index and baseline RMDQ (P-value 0.03) indicated that patients who had higher risk with higher baseline RMDQ will tend to have less improvement.  Thus, we decided to further explore whether this interaction term could improve the prediction performance in Aim 1 and had a statistical significance</w:t>
      </w:r>
      <w:r>
        <w:rPr>
          <w:sz w:val="16"/>
          <w:szCs w:val="16"/>
        </w:rPr>
        <w:t xml:space="preserve"> </w:t>
      </w:r>
      <w:r>
        <w:rPr>
          <w:rFonts w:ascii="Times New Roman" w:eastAsia="Times New Roman" w:hAnsi="Times New Roman" w:cs="Times New Roman"/>
          <w:sz w:val="24"/>
          <w:szCs w:val="24"/>
        </w:rPr>
        <w:t>in HTE analysis in Aim 2. The MSE and R</w:t>
      </w:r>
      <w:r>
        <w:rPr>
          <w:vertAlign w:val="superscript"/>
        </w:rPr>
        <w:t xml:space="preserve">2 </w:t>
      </w:r>
      <w:r>
        <w:rPr>
          <w:rFonts w:ascii="Times New Roman" w:eastAsia="Times New Roman" w:hAnsi="Times New Roman" w:cs="Times New Roman"/>
          <w:sz w:val="24"/>
          <w:szCs w:val="24"/>
        </w:rPr>
        <w:t xml:space="preserve">in Fig.13 shows that the modeling performance was almost the same between this interaction model and the model we selected in Aim </w:t>
      </w:r>
      <w:proofErr w:type="gramStart"/>
      <w:r>
        <w:rPr>
          <w:rFonts w:ascii="Times New Roman" w:eastAsia="Times New Roman" w:hAnsi="Times New Roman" w:cs="Times New Roman"/>
          <w:sz w:val="24"/>
          <w:szCs w:val="24"/>
        </w:rPr>
        <w:t>1</w:t>
      </w:r>
      <w:r>
        <w:rPr>
          <w:sz w:val="16"/>
          <w:szCs w:val="16"/>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C3EED" w:rsidRDefault="0014041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819400" cy="1954374"/>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2819400" cy="1954374"/>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3038475" cy="1941351"/>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3038475" cy="1941351"/>
                    </a:xfrm>
                    <a:prstGeom prst="rect">
                      <a:avLst/>
                    </a:prstGeom>
                    <a:ln/>
                  </pic:spPr>
                </pic:pic>
              </a:graphicData>
            </a:graphic>
          </wp:inline>
        </w:drawing>
      </w:r>
    </w:p>
    <w:p w:rsidR="005C3EED" w:rsidRDefault="0014041C">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 9. </w:t>
      </w:r>
      <w:r>
        <w:rPr>
          <w:rFonts w:ascii="Times New Roman" w:eastAsia="Times New Roman" w:hAnsi="Times New Roman" w:cs="Times New Roman"/>
          <w:sz w:val="20"/>
          <w:szCs w:val="20"/>
        </w:rPr>
        <w:t xml:space="preserve"> Prediction performance of 3-month 30% back pain NRS scores improvement as the outcome for each model. MSE and R^2 were calculated for the BOLD training set, BOLD testing set and LESS testing set. </w:t>
      </w:r>
    </w:p>
    <w:p w:rsidR="005C3EED" w:rsidRDefault="005C3EED">
      <w:pPr>
        <w:rPr>
          <w:rFonts w:ascii="Times New Roman" w:eastAsia="Times New Roman" w:hAnsi="Times New Roman" w:cs="Times New Roman"/>
          <w:sz w:val="24"/>
          <w:szCs w:val="24"/>
          <w:highlight w:val="white"/>
        </w:rPr>
      </w:pPr>
    </w:p>
    <w:p w:rsidR="005C3EED" w:rsidRDefault="0014041C">
      <w:pPr>
        <w:jc w:val="both"/>
        <w:rPr>
          <w:sz w:val="20"/>
          <w:szCs w:val="20"/>
        </w:rPr>
      </w:pPr>
      <w:r>
        <w:rPr>
          <w:rFonts w:ascii="Times New Roman" w:eastAsia="Times New Roman" w:hAnsi="Times New Roman" w:cs="Times New Roman"/>
          <w:sz w:val="24"/>
          <w:szCs w:val="24"/>
          <w:highlight w:val="white"/>
        </w:rPr>
        <w:t>Fig.</w:t>
      </w:r>
      <w:proofErr w:type="gramStart"/>
      <w:r>
        <w:rPr>
          <w:rFonts w:ascii="Times New Roman" w:eastAsia="Times New Roman" w:hAnsi="Times New Roman" w:cs="Times New Roman"/>
          <w:sz w:val="24"/>
          <w:szCs w:val="24"/>
          <w:highlight w:val="white"/>
        </w:rPr>
        <w:t>10  describes</w:t>
      </w:r>
      <w:proofErr w:type="gramEnd"/>
      <w:r>
        <w:rPr>
          <w:rFonts w:ascii="Times New Roman" w:eastAsia="Times New Roman" w:hAnsi="Times New Roman" w:cs="Times New Roman"/>
          <w:sz w:val="24"/>
          <w:szCs w:val="24"/>
          <w:highlight w:val="white"/>
        </w:rPr>
        <w:t xml:space="preserve"> the heterogeneity of epidural glucocorticoid injections effectiveness among 4 risk strata for 6-week RMDQ.  The monotonic decreasing trend from Strata 1 to 3 with a slight reverse in Stratum</w:t>
      </w:r>
      <w:r>
        <w:rPr>
          <w:sz w:val="16"/>
          <w:szCs w:val="16"/>
        </w:rPr>
        <w:t xml:space="preserve"> </w:t>
      </w:r>
      <w:r>
        <w:rPr>
          <w:rFonts w:ascii="Times New Roman" w:eastAsia="Times New Roman" w:hAnsi="Times New Roman" w:cs="Times New Roman"/>
          <w:sz w:val="24"/>
          <w:szCs w:val="24"/>
          <w:highlight w:val="white"/>
        </w:rPr>
        <w:t xml:space="preserve">4 was quite similar compared with </w:t>
      </w:r>
      <w:r>
        <w:rPr>
          <w:rFonts w:ascii="Times New Roman" w:eastAsia="Times New Roman" w:hAnsi="Times New Roman" w:cs="Times New Roman"/>
          <w:sz w:val="24"/>
          <w:szCs w:val="24"/>
        </w:rPr>
        <w:t>the model we selected in Aim 1.</w:t>
      </w:r>
      <w:r>
        <w:rPr>
          <w:rFonts w:ascii="Times New Roman" w:eastAsia="Times New Roman" w:hAnsi="Times New Roman" w:cs="Times New Roman"/>
          <w:sz w:val="24"/>
          <w:szCs w:val="24"/>
          <w:highlight w:val="white"/>
        </w:rPr>
        <w:t xml:space="preserve">The 95% confidence interval indicated that patients who received epidural glucocorticoid injections in Stratum 3 had significantly greater benefit compared with those in the control group.  The Wald test of 3 degrees of freedom with robust standard error still showed there was no statistically significant difference (p-value=0.12 &gt; 0.05) of treatment effect across each </w:t>
      </w:r>
      <w:proofErr w:type="gramStart"/>
      <w:r>
        <w:rPr>
          <w:rFonts w:ascii="Times New Roman" w:eastAsia="Times New Roman" w:hAnsi="Times New Roman" w:cs="Times New Roman"/>
          <w:sz w:val="24"/>
          <w:szCs w:val="24"/>
          <w:highlight w:val="white"/>
        </w:rPr>
        <w:t>strata</w:t>
      </w:r>
      <w:proofErr w:type="gramEnd"/>
      <w:r>
        <w:rPr>
          <w:rFonts w:ascii="Times New Roman" w:eastAsia="Times New Roman" w:hAnsi="Times New Roman" w:cs="Times New Roman"/>
          <w:sz w:val="24"/>
          <w:szCs w:val="24"/>
          <w:highlight w:val="white"/>
        </w:rPr>
        <w:t>.</w:t>
      </w:r>
    </w:p>
    <w:p w:rsidR="005C3EED" w:rsidRDefault="005C3EED">
      <w:pPr>
        <w:jc w:val="both"/>
        <w:rPr>
          <w:rFonts w:ascii="Times New Roman" w:eastAsia="Times New Roman" w:hAnsi="Times New Roman" w:cs="Times New Roman"/>
          <w:sz w:val="24"/>
          <w:szCs w:val="24"/>
          <w:highlight w:val="white"/>
        </w:rPr>
      </w:pPr>
    </w:p>
    <w:p w:rsidR="005C3EED" w:rsidRDefault="005C3EED">
      <w:pPr>
        <w:rPr>
          <w:rFonts w:ascii="Times New Roman" w:eastAsia="Times New Roman" w:hAnsi="Times New Roman" w:cs="Times New Roman"/>
          <w:sz w:val="24"/>
          <w:szCs w:val="24"/>
          <w:highlight w:val="white"/>
        </w:rPr>
      </w:pPr>
    </w:p>
    <w:p w:rsidR="005C3EED" w:rsidRDefault="0014041C">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extent cx="4657725" cy="3085709"/>
            <wp:effectExtent l="0" t="0" r="0" b="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5"/>
                    <a:srcRect/>
                    <a:stretch>
                      <a:fillRect/>
                    </a:stretch>
                  </pic:blipFill>
                  <pic:spPr>
                    <a:xfrm>
                      <a:off x="0" y="0"/>
                      <a:ext cx="4657725" cy="3085709"/>
                    </a:xfrm>
                    <a:prstGeom prst="rect">
                      <a:avLst/>
                    </a:prstGeom>
                    <a:ln/>
                  </pic:spPr>
                </pic:pic>
              </a:graphicData>
            </a:graphic>
          </wp:inline>
        </w:drawing>
      </w:r>
    </w:p>
    <w:p w:rsidR="005C3EED" w:rsidRDefault="0014041C">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 10. </w:t>
      </w:r>
      <w:r>
        <w:rPr>
          <w:rFonts w:ascii="Times New Roman" w:eastAsia="Times New Roman" w:hAnsi="Times New Roman" w:cs="Times New Roman"/>
          <w:sz w:val="20"/>
          <w:szCs w:val="20"/>
        </w:rPr>
        <w:t xml:space="preserve"> Heterogeneity of epidural glucocorticoid injections effect among 4 risk strata using a model with interaction terms between baseline RMDQ and EQ5D </w:t>
      </w:r>
      <w:proofErr w:type="gramStart"/>
      <w:r>
        <w:rPr>
          <w:rFonts w:ascii="Times New Roman" w:eastAsia="Times New Roman" w:hAnsi="Times New Roman" w:cs="Times New Roman"/>
          <w:sz w:val="20"/>
          <w:szCs w:val="20"/>
        </w:rPr>
        <w:t>scores(</w:t>
      </w:r>
      <w:proofErr w:type="gramEnd"/>
      <w:r>
        <w:rPr>
          <w:rFonts w:ascii="Times New Roman" w:eastAsia="Times New Roman" w:hAnsi="Times New Roman" w:cs="Times New Roman"/>
          <w:sz w:val="20"/>
          <w:szCs w:val="20"/>
        </w:rPr>
        <w:t xml:space="preserve">range from 0 to 1). Point estimate and 95% confidence interval were shown in the plot. The P-value 0.18 was calculated using Wald test </w:t>
      </w:r>
      <w:proofErr w:type="gramStart"/>
      <w:r>
        <w:rPr>
          <w:rFonts w:ascii="Times New Roman" w:eastAsia="Times New Roman" w:hAnsi="Times New Roman" w:cs="Times New Roman"/>
          <w:sz w:val="20"/>
          <w:szCs w:val="20"/>
        </w:rPr>
        <w:t>with  robust</w:t>
      </w:r>
      <w:proofErr w:type="gramEnd"/>
      <w:r>
        <w:rPr>
          <w:rFonts w:ascii="Times New Roman" w:eastAsia="Times New Roman" w:hAnsi="Times New Roman" w:cs="Times New Roman"/>
          <w:sz w:val="20"/>
          <w:szCs w:val="20"/>
        </w:rPr>
        <w:t xml:space="preserve"> Huber Sandwich Estimator</w:t>
      </w:r>
    </w:p>
    <w:p w:rsidR="005C3EED" w:rsidRDefault="005C3EED">
      <w:pPr>
        <w:rPr>
          <w:rFonts w:ascii="Times New Roman" w:eastAsia="Times New Roman" w:hAnsi="Times New Roman" w:cs="Times New Roman"/>
          <w:sz w:val="20"/>
          <w:szCs w:val="20"/>
        </w:rPr>
      </w:pPr>
    </w:p>
    <w:p w:rsidR="005C3EED" w:rsidRDefault="005C3EED">
      <w:pPr>
        <w:rPr>
          <w:rFonts w:ascii="Times New Roman" w:eastAsia="Times New Roman" w:hAnsi="Times New Roman" w:cs="Times New Roman"/>
          <w:sz w:val="20"/>
          <w:szCs w:val="20"/>
        </w:rPr>
      </w:pPr>
    </w:p>
    <w:p w:rsidR="005C3EED" w:rsidRDefault="0014041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6.3 Supplementary figures</w:t>
      </w:r>
    </w:p>
    <w:p w:rsidR="005C3EED" w:rsidRDefault="005C3EED">
      <w:pPr>
        <w:rPr>
          <w:rFonts w:ascii="Times New Roman" w:eastAsia="Times New Roman" w:hAnsi="Times New Roman" w:cs="Times New Roman"/>
          <w:b/>
          <w:sz w:val="24"/>
          <w:szCs w:val="24"/>
        </w:rPr>
      </w:pPr>
    </w:p>
    <w:p w:rsidR="005C3EED" w:rsidRDefault="0014041C">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2714625" cy="2141376"/>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2714625" cy="2141376"/>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extent cx="3152775" cy="2189001"/>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3152775" cy="2189001"/>
                    </a:xfrm>
                    <a:prstGeom prst="rect">
                      <a:avLst/>
                    </a:prstGeom>
                    <a:ln/>
                  </pic:spPr>
                </pic:pic>
              </a:graphicData>
            </a:graphic>
          </wp:inline>
        </w:drawing>
      </w:r>
    </w:p>
    <w:p w:rsidR="005C3EED" w:rsidRDefault="005C3EED">
      <w:pPr>
        <w:pBdr>
          <w:top w:val="nil"/>
          <w:left w:val="nil"/>
          <w:bottom w:val="nil"/>
          <w:right w:val="nil"/>
          <w:between w:val="nil"/>
        </w:pBdr>
        <w:rPr>
          <w:rFonts w:ascii="Times New Roman" w:eastAsia="Times New Roman" w:hAnsi="Times New Roman" w:cs="Times New Roman"/>
          <w:b/>
          <w:sz w:val="20"/>
          <w:szCs w:val="20"/>
        </w:rPr>
      </w:pPr>
    </w:p>
    <w:p w:rsidR="005C3EED" w:rsidRDefault="0014041C">
      <w:pPr>
        <w:pBdr>
          <w:top w:val="nil"/>
          <w:left w:val="nil"/>
          <w:bottom w:val="nil"/>
          <w:right w:val="nil"/>
          <w:between w:val="nil"/>
        </w:pBd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 11. Frequency density plot </w:t>
      </w:r>
      <w:proofErr w:type="gramStart"/>
      <w:r>
        <w:rPr>
          <w:rFonts w:ascii="Times New Roman" w:eastAsia="Times New Roman" w:hAnsi="Times New Roman" w:cs="Times New Roman"/>
          <w:b/>
          <w:sz w:val="20"/>
          <w:szCs w:val="20"/>
        </w:rPr>
        <w:t>of  baseline</w:t>
      </w:r>
      <w:proofErr w:type="gramEnd"/>
      <w:r>
        <w:rPr>
          <w:rFonts w:ascii="Times New Roman" w:eastAsia="Times New Roman" w:hAnsi="Times New Roman" w:cs="Times New Roman"/>
          <w:b/>
          <w:sz w:val="20"/>
          <w:szCs w:val="20"/>
        </w:rPr>
        <w:t xml:space="preserve"> RMDQ and back pain NRS scores for the BOLD and LESS samples. Green bars represented patients within the BOLD cohort while purple bars represented patients within the LESS trial. Compared with the BOLD cohort, the LESS trial had fewer patients with low back pain and no patients with low functional limitation and disability.</w:t>
      </w:r>
    </w:p>
    <w:p w:rsidR="005C3EED" w:rsidRDefault="005C3EED">
      <w:pPr>
        <w:spacing w:line="240" w:lineRule="auto"/>
        <w:rPr>
          <w:rFonts w:ascii="Times New Roman" w:eastAsia="Times New Roman" w:hAnsi="Times New Roman" w:cs="Times New Roman"/>
          <w:sz w:val="24"/>
          <w:szCs w:val="24"/>
        </w:rPr>
      </w:pPr>
    </w:p>
    <w:p w:rsidR="005C3EED" w:rsidRDefault="005C3EED">
      <w:pPr>
        <w:spacing w:line="240" w:lineRule="auto"/>
        <w:rPr>
          <w:rFonts w:ascii="Times New Roman" w:eastAsia="Times New Roman" w:hAnsi="Times New Roman" w:cs="Times New Roman"/>
          <w:sz w:val="24"/>
          <w:szCs w:val="24"/>
        </w:rPr>
      </w:pPr>
    </w:p>
    <w:p w:rsidR="005C3EED" w:rsidRDefault="005C3EED">
      <w:pPr>
        <w:spacing w:line="240" w:lineRule="auto"/>
        <w:rPr>
          <w:rFonts w:ascii="Times New Roman" w:eastAsia="Times New Roman" w:hAnsi="Times New Roman" w:cs="Times New Roman"/>
          <w:sz w:val="24"/>
          <w:szCs w:val="24"/>
        </w:rPr>
      </w:pPr>
    </w:p>
    <w:p w:rsidR="005C3EED" w:rsidRDefault="005C3EED">
      <w:pPr>
        <w:spacing w:line="240" w:lineRule="auto"/>
        <w:rPr>
          <w:rFonts w:ascii="Times New Roman" w:eastAsia="Times New Roman" w:hAnsi="Times New Roman" w:cs="Times New Roman"/>
          <w:sz w:val="24"/>
          <w:szCs w:val="24"/>
        </w:rPr>
      </w:pPr>
    </w:p>
    <w:p w:rsidR="005C3EED" w:rsidRDefault="0014041C">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Role descriptions of team members</w:t>
      </w:r>
    </w:p>
    <w:p w:rsidR="005C3EED" w:rsidRDefault="0014041C">
      <w:pPr>
        <w:widowControl w:val="0"/>
        <w:spacing w:before="96"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Group work: analysis of continuous RMDQ; introduction; methods; discussion</w:t>
      </w:r>
    </w:p>
    <w:p w:rsidR="005C3EED" w:rsidRDefault="0014041C">
      <w:pPr>
        <w:widowControl w:val="0"/>
        <w:spacing w:before="96" w:line="240" w:lineRule="auto"/>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Yitao</w:t>
      </w:r>
      <w:proofErr w:type="spellEnd"/>
      <w:r>
        <w:rPr>
          <w:rFonts w:ascii="Times New Roman" w:eastAsia="Times New Roman" w:hAnsi="Times New Roman" w:cs="Times New Roman"/>
          <w:sz w:val="24"/>
          <w:szCs w:val="24"/>
          <w:highlight w:val="white"/>
        </w:rPr>
        <w:t xml:space="preserve"> Wu: analysis of continuous back pain NRS continuous; scatter plots; plots of HTE analysis; interaction &amp; spline analysis</w:t>
      </w:r>
    </w:p>
    <w:p w:rsidR="005C3EED" w:rsidRDefault="0014041C">
      <w:pPr>
        <w:widowControl w:val="0"/>
        <w:spacing w:before="96"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Joanna Xiao: analysis of binary RMDQ; data cleaning and merging; variables transformation and categorization; histogram; Table 5</w:t>
      </w:r>
    </w:p>
    <w:p w:rsidR="005C3EED" w:rsidRDefault="0014041C">
      <w:pPr>
        <w:widowControl w:val="0"/>
        <w:spacing w:before="96" w:line="240" w:lineRule="auto"/>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Pinyan</w:t>
      </w:r>
      <w:proofErr w:type="spellEnd"/>
      <w:r>
        <w:rPr>
          <w:rFonts w:ascii="Times New Roman" w:eastAsia="Times New Roman" w:hAnsi="Times New Roman" w:cs="Times New Roman"/>
          <w:sz w:val="24"/>
          <w:szCs w:val="24"/>
          <w:highlight w:val="white"/>
        </w:rPr>
        <w:t xml:space="preserve"> Liu: analysis of binary back pain NRS; GAM analysis; Table 1 &amp; Table 2; continuous interaction analysis; forest plot</w:t>
      </w:r>
    </w:p>
    <w:p w:rsidR="005C3EED" w:rsidRDefault="005C3EED">
      <w:pPr>
        <w:rPr>
          <w:rFonts w:ascii="Times New Roman" w:eastAsia="Times New Roman" w:hAnsi="Times New Roman" w:cs="Times New Roman"/>
          <w:sz w:val="24"/>
          <w:szCs w:val="24"/>
          <w:highlight w:val="white"/>
        </w:rPr>
      </w:pPr>
    </w:p>
    <w:p w:rsidR="005C3EED" w:rsidRDefault="005C3EED">
      <w:pPr>
        <w:rPr>
          <w:rFonts w:ascii="Times New Roman" w:eastAsia="Times New Roman" w:hAnsi="Times New Roman" w:cs="Times New Roman"/>
          <w:sz w:val="24"/>
          <w:szCs w:val="24"/>
          <w:highlight w:val="white"/>
        </w:rPr>
      </w:pPr>
    </w:p>
    <w:p w:rsidR="005C3EED" w:rsidRDefault="005C3EED">
      <w:pPr>
        <w:rPr>
          <w:rFonts w:ascii="Times New Roman" w:eastAsia="Times New Roman" w:hAnsi="Times New Roman" w:cs="Times New Roman"/>
          <w:sz w:val="24"/>
          <w:szCs w:val="24"/>
          <w:highlight w:val="white"/>
        </w:rPr>
      </w:pPr>
    </w:p>
    <w:p w:rsidR="005C3EED" w:rsidRDefault="005C3EED">
      <w:pPr>
        <w:rPr>
          <w:rFonts w:ascii="Times New Roman" w:eastAsia="Times New Roman" w:hAnsi="Times New Roman" w:cs="Times New Roman"/>
          <w:sz w:val="24"/>
          <w:szCs w:val="24"/>
          <w:highlight w:val="white"/>
        </w:rPr>
      </w:pPr>
    </w:p>
    <w:p w:rsidR="005C3EED" w:rsidRDefault="005C3EED">
      <w:pPr>
        <w:rPr>
          <w:rFonts w:ascii="Times New Roman" w:eastAsia="Times New Roman" w:hAnsi="Times New Roman" w:cs="Times New Roman"/>
          <w:sz w:val="28"/>
          <w:szCs w:val="28"/>
        </w:rPr>
      </w:pPr>
    </w:p>
    <w:sectPr w:rsidR="005C3EED">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7665D" w:rsidRDefault="00D7665D">
      <w:pPr>
        <w:spacing w:line="240" w:lineRule="auto"/>
      </w:pPr>
      <w:r>
        <w:separator/>
      </w:r>
    </w:p>
  </w:endnote>
  <w:endnote w:type="continuationSeparator" w:id="0">
    <w:p w:rsidR="00D7665D" w:rsidRDefault="00D766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3EED" w:rsidRDefault="005C3EE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7665D" w:rsidRDefault="00D7665D">
      <w:pPr>
        <w:spacing w:line="240" w:lineRule="auto"/>
      </w:pPr>
      <w:r>
        <w:separator/>
      </w:r>
    </w:p>
  </w:footnote>
  <w:footnote w:type="continuationSeparator" w:id="0">
    <w:p w:rsidR="00D7665D" w:rsidRDefault="00D7665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D827C5"/>
    <w:multiLevelType w:val="multilevel"/>
    <w:tmpl w:val="E58CF2D6"/>
    <w:lvl w:ilvl="0">
      <w:start w:val="1"/>
      <w:numFmt w:val="decimal"/>
      <w:lvlText w:val="%1."/>
      <w:lvlJc w:val="left"/>
      <w:pPr>
        <w:ind w:left="720" w:hanging="360"/>
      </w:pPr>
      <w:rPr>
        <w:rFonts w:ascii="Times New Roman" w:eastAsia="Times New Roman" w:hAnsi="Times New Roman" w:cs="Times New Roman"/>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EED"/>
    <w:rsid w:val="000F1266"/>
    <w:rsid w:val="0014041C"/>
    <w:rsid w:val="005C3EED"/>
    <w:rsid w:val="00A550BF"/>
    <w:rsid w:val="00D766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8DA1157"/>
  <w15:docId w15:val="{2D42178F-B084-F543-B4FA-048D58E67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7">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mailto:pliu5@uw.ed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en.wikipedia.org/wiki/Smooth_function" TargetMode="External"/><Relationship Id="rId7" Type="http://schemas.openxmlformats.org/officeDocument/2006/relationships/footer" Target="footer1.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4.jp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doi.org/10.1016/j.jclinepi.2013.02.009"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pubmed.ncbi.nlm.nih.gov/23651763"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24</Pages>
  <Words>6309</Words>
  <Characters>35962</Characters>
  <Application>Microsoft Office Word</Application>
  <DocSecurity>0</DocSecurity>
  <Lines>299</Lines>
  <Paragraphs>84</Paragraphs>
  <ScaleCrop>false</ScaleCrop>
  <Company/>
  <LinksUpToDate>false</LinksUpToDate>
  <CharactersWithSpaces>42187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Yitao Wu</cp:lastModifiedBy>
  <cp:revision>3</cp:revision>
  <dcterms:created xsi:type="dcterms:W3CDTF">2021-03-16T04:41:00Z</dcterms:created>
  <dcterms:modified xsi:type="dcterms:W3CDTF">2021-03-16T04:44:00Z</dcterms:modified>
</cp:coreProperties>
</file>