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Stat601</w:t>
      </w:r>
      <w:r>
        <w:t xml:space="preserve"> </w:t>
      </w:r>
      <w:r>
        <w:t xml:space="preserve">Final</w:t>
      </w:r>
      <w:r>
        <w:t xml:space="preserve"> </w:t>
      </w:r>
      <w:r>
        <w:t xml:space="preserve">Problem</w:t>
      </w:r>
      <w:r>
        <w:t xml:space="preserve"> </w:t>
      </w:r>
      <w:r>
        <w:t xml:space="preserve">2:</w:t>
      </w:r>
      <w:r>
        <w:t xml:space="preserve"> </w:t>
      </w:r>
      <w:r>
        <w:t xml:space="preserve">Microtus</w:t>
      </w:r>
    </w:p>
    <w:p>
      <w:pPr>
        <w:pStyle w:val="Author"/>
      </w:pPr>
      <w:r>
        <w:t xml:space="preserve">James</w:t>
      </w:r>
      <w:r>
        <w:t xml:space="preserve"> </w:t>
      </w:r>
      <w:r>
        <w:t xml:space="preserve">Young</w:t>
      </w:r>
    </w:p>
    <w:p>
      <w:pPr>
        <w:pStyle w:val="Date"/>
      </w:pPr>
      <w:r>
        <w:t xml:space="preserve">December</w:t>
      </w:r>
      <w:r>
        <w:t xml:space="preserve"> </w:t>
      </w:r>
      <w:r>
        <w:t xml:space="preserve">16,</w:t>
      </w:r>
      <w:r>
        <w:t xml:space="preserve"> </w:t>
      </w:r>
      <w:r>
        <w:t xml:space="preserve">2019</w:t>
      </w:r>
    </w:p>
    <w:p>
      <w:pPr>
        <w:pStyle w:val="Heading2"/>
      </w:pPr>
      <w:bookmarkStart w:id="21" w:name="the-problem"/>
      <w:bookmarkEnd w:id="21"/>
      <w:r>
        <w:t xml:space="preserve">The Problem</w:t>
      </w:r>
    </w:p>
    <w:p>
      <w:pPr>
        <w:pStyle w:val="FirstParagraph"/>
      </w:pPr>
      <w:r>
        <w:t xml:space="preserve">Given a dataset, which will be further characterized and analyzed below, I have been asked to create a model that can distinguish between two species of microtus. The two species are multiplex and subterraneus. I will create a general linear model for a binary response, a logistic regression, selecting for variables that create a model with the best predictive power at a tradeoff for AIC.</w:t>
      </w:r>
    </w:p>
    <w:p>
      <w:pPr>
        <w:pStyle w:val="Heading2"/>
      </w:pPr>
      <w:bookmarkStart w:id="22" w:name="the-data"/>
      <w:bookmarkEnd w:id="22"/>
      <w:r>
        <w:t xml:space="preserve">The Data</w:t>
      </w:r>
    </w:p>
    <w:p>
      <w:pPr>
        <w:pStyle w:val="FirstParagraph"/>
      </w:pPr>
      <w:r>
        <w:t xml:space="preserve">The data contains the response factor</w:t>
      </w:r>
      <w:r>
        <w:t xml:space="preserve"> </w:t>
      </w:r>
      <w:r>
        <w:rPr>
          <w:i/>
        </w:rPr>
        <w:t xml:space="preserve">Group</w:t>
      </w:r>
      <w:r>
        <w:t xml:space="preserve"> </w:t>
      </w:r>
      <w:r>
        <w:t xml:space="preserve">and 8 predictor variables which are integers on a continuom including</w:t>
      </w:r>
      <w:r>
        <w:t xml:space="preserve"> </w:t>
      </w:r>
      <w:r>
        <w:rPr>
          <w:i/>
        </w:rPr>
        <w:t xml:space="preserve">M1Left</w:t>
      </w:r>
      <w:r>
        <w:t xml:space="preserve">,</w:t>
      </w:r>
      <w:r>
        <w:t xml:space="preserve"> </w:t>
      </w:r>
      <w:r>
        <w:rPr>
          <w:i/>
        </w:rPr>
        <w:t xml:space="preserve">M2Left</w:t>
      </w:r>
      <w:r>
        <w:t xml:space="preserve">,</w:t>
      </w:r>
      <w:r>
        <w:t xml:space="preserve"> </w:t>
      </w:r>
      <w:r>
        <w:rPr>
          <w:i/>
        </w:rPr>
        <w:t xml:space="preserve">M3Left</w:t>
      </w:r>
      <w:r>
        <w:t xml:space="preserve">,</w:t>
      </w:r>
      <w:r>
        <w:t xml:space="preserve"> </w:t>
      </w:r>
      <w:r>
        <w:rPr>
          <w:i/>
        </w:rPr>
        <w:t xml:space="preserve">Foramen</w:t>
      </w:r>
      <w:r>
        <w:t xml:space="preserve">,</w:t>
      </w:r>
      <w:r>
        <w:t xml:space="preserve"> </w:t>
      </w:r>
      <w:r>
        <w:rPr>
          <w:i/>
        </w:rPr>
        <w:t xml:space="preserve">Pbone</w:t>
      </w:r>
      <w:r>
        <w:t xml:space="preserve">,</w:t>
      </w:r>
      <w:r>
        <w:t xml:space="preserve"> </w:t>
      </w:r>
      <w:r>
        <w:rPr>
          <w:i/>
        </w:rPr>
        <w:t xml:space="preserve">Length</w:t>
      </w:r>
      <w:r>
        <w:t xml:space="preserve">,</w:t>
      </w:r>
      <w:r>
        <w:t xml:space="preserve"> </w:t>
      </w:r>
      <w:r>
        <w:rPr>
          <w:i/>
        </w:rPr>
        <w:t xml:space="preserve">Height</w:t>
      </w:r>
      <w:r>
        <w:t xml:space="preserve">, and</w:t>
      </w:r>
      <w:r>
        <w:t xml:space="preserve"> </w:t>
      </w:r>
      <w:r>
        <w:rPr>
          <w:i/>
        </w:rPr>
        <w:t xml:space="preserve">Rostrum</w:t>
      </w:r>
      <w:r>
        <w:t xml:space="preserve">. We can see the</w:t>
      </w:r>
      <w:r>
        <w:t xml:space="preserve"> </w:t>
      </w:r>
      <w:r>
        <w:rPr>
          <w:i/>
        </w:rPr>
        <w:t xml:space="preserve">Group</w:t>
      </w:r>
      <w:r>
        <w:t xml:space="preserve"> </w:t>
      </w:r>
      <w:r>
        <w:t xml:space="preserve">variable has 43 known multiplex species, 46 known subterraneus, and 199 unknown species. The input variables pertain to measurements of the skull, which may help discern the species the skull belonged to. Looking further below, we can see that some variables, such as</w:t>
      </w:r>
      <w:r>
        <w:t xml:space="preserve"> </w:t>
      </w:r>
      <w:r>
        <w:rPr>
          <w:i/>
        </w:rPr>
        <w:t xml:space="preserve">M1Left</w:t>
      </w:r>
      <w:r>
        <w:t xml:space="preserve"> </w:t>
      </w:r>
      <w:r>
        <w:t xml:space="preserve">and</w:t>
      </w:r>
      <w:r>
        <w:t xml:space="preserve"> </w:t>
      </w:r>
      <w:r>
        <w:rPr>
          <w:i/>
        </w:rPr>
        <w:t xml:space="preserve">Rostrum</w:t>
      </w:r>
      <w:r>
        <w:t xml:space="preserve"> </w:t>
      </w:r>
      <w:r>
        <w:t xml:space="preserve">have some visible separation between multiplex and subterraneus species and other variables such as</w:t>
      </w:r>
      <w:r>
        <w:t xml:space="preserve"> </w:t>
      </w:r>
      <w:r>
        <w:rPr>
          <w:i/>
        </w:rPr>
        <w:t xml:space="preserve">Foramen</w:t>
      </w:r>
      <w:r>
        <w:t xml:space="preserve"> </w:t>
      </w:r>
      <w:r>
        <w:t xml:space="preserve">that seem visually identical between the species. The distribution of the unknown species measurements hit that it is probably a fairly balanced mix between subterraneus and multiplex.</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Group</w:t>
            </w:r>
          </w:p>
        </w:tc>
        <w:tc>
          <w:tcPr>
            <w:tcBorders>
              <w:bottom w:val="single"/>
            </w:tcBorders>
            <w:vAlign w:val="bottom"/>
          </w:tcPr>
          <w:p>
            <w:pPr>
              <w:pStyle w:val="Compact"/>
              <w:jc w:val="center"/>
            </w:pPr>
            <w:r>
              <w:t xml:space="preserve">M1Left</w:t>
            </w:r>
          </w:p>
        </w:tc>
        <w:tc>
          <w:tcPr>
            <w:tcBorders>
              <w:bottom w:val="single"/>
            </w:tcBorders>
            <w:vAlign w:val="bottom"/>
          </w:tcPr>
          <w:p>
            <w:pPr>
              <w:pStyle w:val="Compact"/>
              <w:jc w:val="center"/>
            </w:pPr>
            <w:r>
              <w:t xml:space="preserve">M2Left</w:t>
            </w:r>
          </w:p>
        </w:tc>
        <w:tc>
          <w:tcPr>
            <w:tcBorders>
              <w:bottom w:val="single"/>
            </w:tcBorders>
            <w:vAlign w:val="bottom"/>
          </w:tcPr>
          <w:p>
            <w:pPr>
              <w:pStyle w:val="Compact"/>
              <w:jc w:val="center"/>
            </w:pPr>
            <w:r>
              <w:t xml:space="preserve">M3Left</w:t>
            </w:r>
          </w:p>
        </w:tc>
        <w:tc>
          <w:tcPr>
            <w:tcBorders>
              <w:bottom w:val="single"/>
            </w:tcBorders>
            <w:vAlign w:val="bottom"/>
          </w:tcPr>
          <w:p>
            <w:pPr>
              <w:pStyle w:val="Compact"/>
              <w:jc w:val="center"/>
            </w:pPr>
            <w:r>
              <w:t xml:space="preserve">Foramen</w:t>
            </w:r>
          </w:p>
        </w:tc>
        <w:tc>
          <w:tcPr>
            <w:tcBorders>
              <w:bottom w:val="single"/>
            </w:tcBorders>
            <w:vAlign w:val="bottom"/>
          </w:tcPr>
          <w:p>
            <w:pPr>
              <w:pStyle w:val="Compact"/>
              <w:jc w:val="center"/>
            </w:pPr>
            <w:r>
              <w:t xml:space="preserve">Pbone</w:t>
            </w:r>
          </w:p>
        </w:tc>
        <w:tc>
          <w:tcPr>
            <w:tcBorders>
              <w:bottom w:val="single"/>
            </w:tcBorders>
            <w:vAlign w:val="bottom"/>
          </w:tcPr>
          <w:p>
            <w:pPr>
              <w:pStyle w:val="Compact"/>
              <w:jc w:val="center"/>
            </w:pPr>
            <w:r>
              <w:t xml:space="preserve">Length</w:t>
            </w:r>
          </w:p>
        </w:tc>
        <w:tc>
          <w:tcPr>
            <w:tcBorders>
              <w:bottom w:val="single"/>
            </w:tcBorders>
            <w:vAlign w:val="bottom"/>
          </w:tcPr>
          <w:p>
            <w:pPr>
              <w:pStyle w:val="Compact"/>
              <w:jc w:val="center"/>
            </w:pPr>
            <w:r>
              <w:t xml:space="preserve">Height</w:t>
            </w:r>
          </w:p>
        </w:tc>
        <w:tc>
          <w:tcPr>
            <w:tcBorders>
              <w:bottom w:val="single"/>
            </w:tcBorders>
            <w:vAlign w:val="bottom"/>
          </w:tcPr>
          <w:p>
            <w:pPr>
              <w:pStyle w:val="Compact"/>
              <w:jc w:val="center"/>
            </w:pPr>
            <w:r>
              <w:t xml:space="preserve">Rostrum</w:t>
            </w:r>
          </w:p>
        </w:tc>
      </w:tr>
      <w:tr>
        <w:tc>
          <w:p>
            <w:pPr>
              <w:pStyle w:val="Compact"/>
            </w:pPr>
          </w:p>
        </w:tc>
        <w:tc>
          <w:p>
            <w:pPr>
              <w:pStyle w:val="Compact"/>
              <w:jc w:val="center"/>
            </w:pPr>
            <w:r>
              <w:t xml:space="preserve">multiplex : 43</w:t>
            </w:r>
          </w:p>
        </w:tc>
        <w:tc>
          <w:p>
            <w:pPr>
              <w:pStyle w:val="Compact"/>
              <w:jc w:val="center"/>
            </w:pPr>
            <w:r>
              <w:t xml:space="preserve">Min. :1534</w:t>
            </w:r>
          </w:p>
        </w:tc>
        <w:tc>
          <w:p>
            <w:pPr>
              <w:pStyle w:val="Compact"/>
              <w:jc w:val="center"/>
            </w:pPr>
            <w:r>
              <w:t xml:space="preserve">Min. :1355</w:t>
            </w:r>
          </w:p>
        </w:tc>
        <w:tc>
          <w:p>
            <w:pPr>
              <w:pStyle w:val="Compact"/>
              <w:jc w:val="center"/>
            </w:pPr>
            <w:r>
              <w:t xml:space="preserve">Min. :1361</w:t>
            </w:r>
          </w:p>
        </w:tc>
        <w:tc>
          <w:p>
            <w:pPr>
              <w:pStyle w:val="Compact"/>
              <w:jc w:val="center"/>
            </w:pPr>
            <w:r>
              <w:t xml:space="preserve">Min. :3155</w:t>
            </w:r>
          </w:p>
        </w:tc>
        <w:tc>
          <w:p>
            <w:pPr>
              <w:pStyle w:val="Compact"/>
              <w:jc w:val="center"/>
            </w:pPr>
            <w:r>
              <w:t xml:space="preserve">Min. :3928</w:t>
            </w:r>
          </w:p>
        </w:tc>
        <w:tc>
          <w:p>
            <w:pPr>
              <w:pStyle w:val="Compact"/>
              <w:jc w:val="center"/>
            </w:pPr>
            <w:r>
              <w:t xml:space="preserve">Min. :1908</w:t>
            </w:r>
          </w:p>
        </w:tc>
        <w:tc>
          <w:p>
            <w:pPr>
              <w:pStyle w:val="Compact"/>
              <w:jc w:val="center"/>
            </w:pPr>
            <w:r>
              <w:t xml:space="preserve">Min. :700.0</w:t>
            </w:r>
          </w:p>
        </w:tc>
        <w:tc>
          <w:p>
            <w:pPr>
              <w:pStyle w:val="Compact"/>
              <w:jc w:val="center"/>
            </w:pPr>
            <w:r>
              <w:t xml:space="preserve">Min. :375.0</w:t>
            </w:r>
          </w:p>
        </w:tc>
      </w:tr>
      <w:tr>
        <w:tc>
          <w:p>
            <w:pPr>
              <w:pStyle w:val="Compact"/>
            </w:pPr>
          </w:p>
        </w:tc>
        <w:tc>
          <w:p>
            <w:pPr>
              <w:pStyle w:val="Compact"/>
              <w:jc w:val="center"/>
            </w:pPr>
            <w:r>
              <w:t xml:space="preserve">subterraneus: 46</w:t>
            </w:r>
          </w:p>
        </w:tc>
        <w:tc>
          <w:p>
            <w:pPr>
              <w:pStyle w:val="Compact"/>
              <w:jc w:val="center"/>
            </w:pPr>
            <w:r>
              <w:t xml:space="preserve">1st Qu.:1783</w:t>
            </w:r>
          </w:p>
        </w:tc>
        <w:tc>
          <w:p>
            <w:pPr>
              <w:pStyle w:val="Compact"/>
              <w:jc w:val="center"/>
            </w:pPr>
            <w:r>
              <w:t xml:space="preserve">1st Qu.:1503</w:t>
            </w:r>
          </w:p>
        </w:tc>
        <w:tc>
          <w:p>
            <w:pPr>
              <w:pStyle w:val="Compact"/>
              <w:jc w:val="center"/>
            </w:pPr>
            <w:r>
              <w:t xml:space="preserve">1st Qu.:1595</w:t>
            </w:r>
          </w:p>
        </w:tc>
        <w:tc>
          <w:p>
            <w:pPr>
              <w:pStyle w:val="Compact"/>
              <w:jc w:val="center"/>
            </w:pPr>
            <w:r>
              <w:t xml:space="preserve">1st Qu.:3751</w:t>
            </w:r>
          </w:p>
        </w:tc>
        <w:tc>
          <w:p>
            <w:pPr>
              <w:pStyle w:val="Compact"/>
              <w:jc w:val="center"/>
            </w:pPr>
            <w:r>
              <w:t xml:space="preserve">1st Qu.:4815</w:t>
            </w:r>
          </w:p>
        </w:tc>
        <w:tc>
          <w:p>
            <w:pPr>
              <w:pStyle w:val="Compact"/>
              <w:jc w:val="center"/>
            </w:pPr>
            <w:r>
              <w:t xml:space="preserve">1st Qu.:2227</w:t>
            </w:r>
          </w:p>
        </w:tc>
        <w:tc>
          <w:p>
            <w:pPr>
              <w:pStyle w:val="Compact"/>
              <w:jc w:val="center"/>
            </w:pPr>
            <w:r>
              <w:t xml:space="preserve">1st Qu.:759.2</w:t>
            </w:r>
          </w:p>
        </w:tc>
        <w:tc>
          <w:p>
            <w:pPr>
              <w:pStyle w:val="Compact"/>
              <w:jc w:val="center"/>
            </w:pPr>
            <w:r>
              <w:t xml:space="preserve">1st Qu.:425.0</w:t>
            </w:r>
          </w:p>
        </w:tc>
      </w:tr>
      <w:tr>
        <w:tc>
          <w:p>
            <w:pPr>
              <w:pStyle w:val="Compact"/>
            </w:pPr>
          </w:p>
        </w:tc>
        <w:tc>
          <w:p>
            <w:pPr>
              <w:pStyle w:val="Compact"/>
              <w:jc w:val="center"/>
            </w:pPr>
            <w:r>
              <w:t xml:space="preserve">unknown :199</w:t>
            </w:r>
          </w:p>
        </w:tc>
        <w:tc>
          <w:p>
            <w:pPr>
              <w:pStyle w:val="Compact"/>
              <w:jc w:val="center"/>
            </w:pPr>
            <w:r>
              <w:t xml:space="preserve">Median :1923</w:t>
            </w:r>
          </w:p>
        </w:tc>
        <w:tc>
          <w:p>
            <w:pPr>
              <w:pStyle w:val="Compact"/>
              <w:jc w:val="center"/>
            </w:pPr>
            <w:r>
              <w:t xml:space="preserve">Median :1570</w:t>
            </w:r>
          </w:p>
        </w:tc>
        <w:tc>
          <w:p>
            <w:pPr>
              <w:pStyle w:val="Compact"/>
              <w:jc w:val="center"/>
            </w:pPr>
            <w:r>
              <w:t xml:space="preserve">Median :1724</w:t>
            </w:r>
          </w:p>
        </w:tc>
        <w:tc>
          <w:p>
            <w:pPr>
              <w:pStyle w:val="Compact"/>
              <w:jc w:val="center"/>
            </w:pPr>
            <w:r>
              <w:t xml:space="preserve">Median :3932</w:t>
            </w:r>
          </w:p>
        </w:tc>
        <w:tc>
          <w:p>
            <w:pPr>
              <w:pStyle w:val="Compact"/>
              <w:jc w:val="center"/>
            </w:pPr>
            <w:r>
              <w:t xml:space="preserve">Median :5079</w:t>
            </w:r>
          </w:p>
        </w:tc>
        <w:tc>
          <w:p>
            <w:pPr>
              <w:pStyle w:val="Compact"/>
              <w:jc w:val="center"/>
            </w:pPr>
            <w:r>
              <w:t xml:space="preserve">Median :2312</w:t>
            </w:r>
          </w:p>
        </w:tc>
        <w:tc>
          <w:p>
            <w:pPr>
              <w:pStyle w:val="Compact"/>
              <w:jc w:val="center"/>
            </w:pPr>
            <w:r>
              <w:t xml:space="preserve">Median :789.0</w:t>
            </w:r>
          </w:p>
        </w:tc>
        <w:tc>
          <w:p>
            <w:pPr>
              <w:pStyle w:val="Compact"/>
              <w:jc w:val="center"/>
            </w:pPr>
            <w:r>
              <w:t xml:space="preserve">Median :450.0</w:t>
            </w:r>
          </w:p>
        </w:tc>
      </w:tr>
      <w:tr>
        <w:tc>
          <w:p>
            <w:pPr>
              <w:pStyle w:val="Compact"/>
            </w:pPr>
          </w:p>
        </w:tc>
        <w:tc>
          <w:p>
            <w:pPr>
              <w:pStyle w:val="Compact"/>
              <w:jc w:val="center"/>
            </w:pPr>
            <w:r>
              <w:t xml:space="preserve">NA</w:t>
            </w:r>
          </w:p>
        </w:tc>
        <w:tc>
          <w:p>
            <w:pPr>
              <w:pStyle w:val="Compact"/>
              <w:jc w:val="center"/>
            </w:pPr>
            <w:r>
              <w:t xml:space="preserve">Mean :1935</w:t>
            </w:r>
          </w:p>
        </w:tc>
        <w:tc>
          <w:p>
            <w:pPr>
              <w:pStyle w:val="Compact"/>
              <w:jc w:val="center"/>
            </w:pPr>
            <w:r>
              <w:t xml:space="preserve">Mean :1589</w:t>
            </w:r>
          </w:p>
        </w:tc>
        <w:tc>
          <w:p>
            <w:pPr>
              <w:pStyle w:val="Compact"/>
              <w:jc w:val="center"/>
            </w:pPr>
            <w:r>
              <w:t xml:space="preserve">Mean :1727</w:t>
            </w:r>
          </w:p>
        </w:tc>
        <w:tc>
          <w:p>
            <w:pPr>
              <w:pStyle w:val="Compact"/>
              <w:jc w:val="center"/>
            </w:pPr>
            <w:r>
              <w:t xml:space="preserve">Mean :3913</w:t>
            </w:r>
          </w:p>
        </w:tc>
        <w:tc>
          <w:p>
            <w:pPr>
              <w:pStyle w:val="Compact"/>
              <w:jc w:val="center"/>
            </w:pPr>
            <w:r>
              <w:t xml:space="preserve">Mean :5082</w:t>
            </w:r>
          </w:p>
        </w:tc>
        <w:tc>
          <w:p>
            <w:pPr>
              <w:pStyle w:val="Compact"/>
              <w:jc w:val="center"/>
            </w:pPr>
            <w:r>
              <w:t xml:space="preserve">Mean :2309</w:t>
            </w:r>
          </w:p>
        </w:tc>
        <w:tc>
          <w:p>
            <w:pPr>
              <w:pStyle w:val="Compact"/>
              <w:jc w:val="center"/>
            </w:pPr>
            <w:r>
              <w:t xml:space="preserve">Mean :790.8</w:t>
            </w:r>
          </w:p>
        </w:tc>
        <w:tc>
          <w:p>
            <w:pPr>
              <w:pStyle w:val="Compact"/>
              <w:jc w:val="center"/>
            </w:pPr>
            <w:r>
              <w:t xml:space="preserve">Mean :451.2</w:t>
            </w:r>
          </w:p>
        </w:tc>
      </w:tr>
      <w:tr>
        <w:tc>
          <w:p>
            <w:pPr>
              <w:pStyle w:val="Compact"/>
            </w:pPr>
          </w:p>
        </w:tc>
        <w:tc>
          <w:p>
            <w:pPr>
              <w:pStyle w:val="Compact"/>
              <w:jc w:val="center"/>
            </w:pPr>
            <w:r>
              <w:t xml:space="preserve">NA</w:t>
            </w:r>
          </w:p>
        </w:tc>
        <w:tc>
          <w:p>
            <w:pPr>
              <w:pStyle w:val="Compact"/>
              <w:jc w:val="center"/>
            </w:pPr>
            <w:r>
              <w:t xml:space="preserve">3rd Qu.:2074</w:t>
            </w:r>
          </w:p>
        </w:tc>
        <w:tc>
          <w:p>
            <w:pPr>
              <w:pStyle w:val="Compact"/>
              <w:jc w:val="center"/>
            </w:pPr>
            <w:r>
              <w:t xml:space="preserve">3rd Qu.:1660</w:t>
            </w:r>
          </w:p>
        </w:tc>
        <w:tc>
          <w:p>
            <w:pPr>
              <w:pStyle w:val="Compact"/>
              <w:jc w:val="center"/>
            </w:pPr>
            <w:r>
              <w:t xml:space="preserve">3rd Qu.:1856</w:t>
            </w:r>
          </w:p>
        </w:tc>
        <w:tc>
          <w:p>
            <w:pPr>
              <w:pStyle w:val="Compact"/>
              <w:jc w:val="center"/>
            </w:pPr>
            <w:r>
              <w:t xml:space="preserve">3rd Qu.:4080</w:t>
            </w:r>
          </w:p>
        </w:tc>
        <w:tc>
          <w:p>
            <w:pPr>
              <w:pStyle w:val="Compact"/>
              <w:jc w:val="center"/>
            </w:pPr>
            <w:r>
              <w:t xml:space="preserve">3rd Qu.:5328</w:t>
            </w:r>
          </w:p>
        </w:tc>
        <w:tc>
          <w:p>
            <w:pPr>
              <w:pStyle w:val="Compact"/>
              <w:jc w:val="center"/>
            </w:pPr>
            <w:r>
              <w:t xml:space="preserve">3rd Qu.:2388</w:t>
            </w:r>
          </w:p>
        </w:tc>
        <w:tc>
          <w:p>
            <w:pPr>
              <w:pStyle w:val="Compact"/>
              <w:jc w:val="center"/>
            </w:pPr>
            <w:r>
              <w:t xml:space="preserve">3rd Qu.:817.8</w:t>
            </w:r>
          </w:p>
        </w:tc>
        <w:tc>
          <w:p>
            <w:pPr>
              <w:pStyle w:val="Compact"/>
              <w:jc w:val="center"/>
            </w:pPr>
            <w:r>
              <w:t xml:space="preserve">3rd Qu.:475.0</w:t>
            </w:r>
          </w:p>
        </w:tc>
      </w:tr>
      <w:tr>
        <w:tc>
          <w:p>
            <w:pPr>
              <w:pStyle w:val="Compact"/>
            </w:pPr>
          </w:p>
        </w:tc>
        <w:tc>
          <w:p>
            <w:pPr>
              <w:pStyle w:val="Compact"/>
              <w:jc w:val="center"/>
            </w:pPr>
            <w:r>
              <w:t xml:space="preserve">NA</w:t>
            </w:r>
          </w:p>
        </w:tc>
        <w:tc>
          <w:p>
            <w:pPr>
              <w:pStyle w:val="Compact"/>
              <w:jc w:val="center"/>
            </w:pPr>
            <w:r>
              <w:t xml:space="preserve">Max. :2479</w:t>
            </w:r>
          </w:p>
        </w:tc>
        <w:tc>
          <w:p>
            <w:pPr>
              <w:pStyle w:val="Compact"/>
              <w:jc w:val="center"/>
            </w:pPr>
            <w:r>
              <w:t xml:space="preserve">Max. :1880</w:t>
            </w:r>
          </w:p>
        </w:tc>
        <w:tc>
          <w:p>
            <w:pPr>
              <w:pStyle w:val="Compact"/>
              <w:jc w:val="center"/>
            </w:pPr>
            <w:r>
              <w:t xml:space="preserve">Max. :2187</w:t>
            </w:r>
          </w:p>
        </w:tc>
        <w:tc>
          <w:p>
            <w:pPr>
              <w:pStyle w:val="Compact"/>
              <w:jc w:val="center"/>
            </w:pPr>
            <w:r>
              <w:t xml:space="preserve">Max. :4662</w:t>
            </w:r>
          </w:p>
        </w:tc>
        <w:tc>
          <w:p>
            <w:pPr>
              <w:pStyle w:val="Compact"/>
              <w:jc w:val="center"/>
            </w:pPr>
            <w:r>
              <w:t xml:space="preserve">Max. :6104</w:t>
            </w:r>
          </w:p>
        </w:tc>
        <w:tc>
          <w:p>
            <w:pPr>
              <w:pStyle w:val="Compact"/>
              <w:jc w:val="center"/>
            </w:pPr>
            <w:r>
              <w:t xml:space="preserve">Max. :2605</w:t>
            </w:r>
          </w:p>
        </w:tc>
        <w:tc>
          <w:p>
            <w:pPr>
              <w:pStyle w:val="Compact"/>
              <w:jc w:val="center"/>
            </w:pPr>
            <w:r>
              <w:t xml:space="preserve">Max. :912.0</w:t>
            </w:r>
          </w:p>
        </w:tc>
        <w:tc>
          <w:p>
            <w:pPr>
              <w:pStyle w:val="Compact"/>
              <w:jc w:val="center"/>
            </w:pPr>
            <w:r>
              <w:t xml:space="preserve">Max. :545.0</w:t>
            </w:r>
          </w:p>
        </w:tc>
      </w:tr>
    </w:tbl>
    <w:p>
      <w:pPr>
        <w:pStyle w:val="BodyText"/>
      </w:pPr>
      <w:r>
        <w:drawing>
          <wp:inline>
            <wp:extent cx="4620126" cy="3696101"/>
            <wp:effectExtent b="0" l="0" r="0" t="0"/>
            <wp:docPr descr="" title="" id="1" name="Picture"/>
            <a:graphic>
              <a:graphicData uri="http://schemas.openxmlformats.org/drawingml/2006/picture">
                <pic:pic>
                  <pic:nvPicPr>
                    <pic:cNvPr descr="Stat_601_Final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the-model"/>
      <w:bookmarkEnd w:id="24"/>
      <w:r>
        <w:t xml:space="preserve">The Model</w:t>
      </w:r>
    </w:p>
    <w:p>
      <w:pPr>
        <w:pStyle w:val="FirstParagraph"/>
      </w:pPr>
      <w:r>
        <w:t xml:space="preserve">To build the model, first I must remove all of the unknown samples. We are left with samples previously determined to be subterraneus or multiplex by genomic testing. Then I ran a logistic regression with all 8 variables as input variables and removed variables to get to the lowest AIC using the step function. This formula was</w:t>
      </w:r>
      <w:r>
        <w:t xml:space="preserve"> </w:t>
      </w:r>
      <w:r>
        <w:t xml:space="preserve">“</w:t>
      </w:r>
      <w:r>
        <w:t xml:space="preserve">glm(Group~M1Left+M3Left+Foramen+Length+Height, binomial)</w:t>
      </w:r>
      <w:r>
        <w:t xml:space="preserve">”</w:t>
      </w:r>
      <w:r>
        <w:t xml:space="preserve">.</w:t>
      </w:r>
      <w:r>
        <w:t xml:space="preserve"> </w:t>
      </w:r>
      <w:r>
        <w:t xml:space="preserve">I ran this through 5-fold cross-validation to determine the error rate.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Group ~ M1Left + M3Left + Foramen + Length + Height, </w:t>
      </w:r>
      <w:r>
        <w:br w:type="textWrapping"/>
      </w:r>
      <w:r>
        <w:rPr>
          <w:rStyle w:val="VerbatimChar"/>
        </w:rPr>
        <w:t xml:space="preserve">##     family = binomial, data = microtus2)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-2.26335  -0.00138   0.00013   0.05223   1.14144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187.830585 101.914533   1.843   0.0653 .</w:t>
      </w:r>
      <w:r>
        <w:br w:type="textWrapping"/>
      </w:r>
      <w:r>
        <w:rPr>
          <w:rStyle w:val="VerbatimChar"/>
        </w:rPr>
        <w:t xml:space="preserve">## M1Left       -0.058382   0.026760  -2.182   0.0291 *</w:t>
      </w:r>
      <w:r>
        <w:br w:type="textWrapping"/>
      </w:r>
      <w:r>
        <w:rPr>
          <w:rStyle w:val="VerbatimChar"/>
        </w:rPr>
        <w:t xml:space="preserve">## M3Left        0.024869   0.016656   1.493   0.1354  </w:t>
      </w:r>
      <w:r>
        <w:br w:type="textWrapping"/>
      </w:r>
      <w:r>
        <w:rPr>
          <w:rStyle w:val="VerbatimChar"/>
        </w:rPr>
        <w:t xml:space="preserve">## Foramen       0.011898   0.007164   1.661   0.0968 .</w:t>
      </w:r>
      <w:r>
        <w:br w:type="textWrapping"/>
      </w:r>
      <w:r>
        <w:rPr>
          <w:rStyle w:val="VerbatimChar"/>
        </w:rPr>
        <w:t xml:space="preserve">## Length       -0.041467   0.029516  -1.405   0.1600  </w:t>
      </w:r>
      <w:r>
        <w:br w:type="textWrapping"/>
      </w:r>
      <w:r>
        <w:rPr>
          <w:rStyle w:val="VerbatimChar"/>
        </w:rPr>
        <w:t xml:space="preserve">## Height       -0.092972   0.071107  -1.307   0.1910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123.279  on 88  degrees of freedom</w:t>
      </w:r>
      <w:r>
        <w:br w:type="textWrapping"/>
      </w:r>
      <w:r>
        <w:rPr>
          <w:rStyle w:val="VerbatimChar"/>
        </w:rPr>
        <w:t xml:space="preserve">## Residual deviance:  15.703  on 83  degrees of freedom</w:t>
      </w:r>
      <w:r>
        <w:br w:type="textWrapping"/>
      </w:r>
      <w:r>
        <w:rPr>
          <w:rStyle w:val="VerbatimChar"/>
        </w:rPr>
        <w:t xml:space="preserve">## AIC: 27.703</w:t>
      </w:r>
      <w:r>
        <w:br w:type="textWrapping"/>
      </w:r>
      <w:r>
        <w:rPr>
          <w:rStyle w:val="VerbatimChar"/>
        </w:rPr>
        <w:t xml:space="preserve">## </w:t>
      </w:r>
      <w:r>
        <w:br w:type="textWrapping"/>
      </w:r>
      <w:r>
        <w:rPr>
          <w:rStyle w:val="VerbatimChar"/>
        </w:rPr>
        <w:t xml:space="preserve">## Number of Fisher Scoring iterations: 10</w:t>
      </w:r>
    </w:p>
    <w:p>
      <w:pPr>
        <w:pStyle w:val="Heading2"/>
      </w:pPr>
      <w:bookmarkStart w:id="25" w:name="taking-significant-variables"/>
      <w:bookmarkEnd w:id="25"/>
      <w:r>
        <w:t xml:space="preserve">Taking Significant Variables</w:t>
      </w:r>
    </w:p>
    <w:p>
      <w:pPr>
        <w:pStyle w:val="FirstParagraph"/>
      </w:pPr>
      <w:r>
        <w:t xml:space="preserve">I will take M1Left as it is the only statistically significant variable at alpha = 0.05 and I will also take Foramen as it is close 0.05. I will use these two variables to make another logistic regression model, run it through 5-fold cross-validation, and compare the results for model selection. This new model will be called Step Significant and be of the form</w:t>
      </w:r>
      <w:r>
        <w:t xml:space="preserve"> </w:t>
      </w:r>
      <w:r>
        <w:t xml:space="preserve">“</w:t>
      </w:r>
      <w:r>
        <w:t xml:space="preserve">glm(Group ~M1Left+Foramen, binomial)</w:t>
      </w:r>
      <w:r>
        <w:t xml:space="preserve">”</w:t>
      </w:r>
    </w:p>
    <w:p>
      <w:pPr>
        <w:pStyle w:val="SourceCode"/>
      </w:pPr>
      <w:r>
        <w:rPr>
          <w:rStyle w:val="VerbatimChar"/>
        </w:rPr>
        <w:t xml:space="preserve">## [1] 0.05617978 0.04936245</w:t>
      </w:r>
    </w:p>
    <w:p>
      <w:pPr>
        <w:pStyle w:val="Heading2"/>
      </w:pPr>
      <w:bookmarkStart w:id="26" w:name="model-selection"/>
      <w:bookmarkEnd w:id="26"/>
      <w:r>
        <w:t xml:space="preserve">Model Selection</w:t>
      </w:r>
    </w:p>
    <w:p>
      <w:pPr>
        <w:pStyle w:val="FirstParagraph"/>
      </w:pPr>
      <w:r>
        <w:t xml:space="preserve">The Step model and the Step Significant model both had similar AIC, with the Step model being slightly lower. However, the step significant model had a lower error rate so I am choosing that for my predictive model. The seeds are set in the Rmd file so it is reproducible.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AIC</w:t>
            </w:r>
          </w:p>
        </w:tc>
        <w:tc>
          <w:tcPr>
            <w:tcBorders>
              <w:bottom w:val="single"/>
            </w:tcBorders>
            <w:vAlign w:val="bottom"/>
          </w:tcPr>
          <w:p>
            <w:pPr>
              <w:pStyle w:val="Compact"/>
              <w:jc w:val="left"/>
            </w:pPr>
            <w:r>
              <w:t xml:space="preserve">Error1</w:t>
            </w:r>
          </w:p>
        </w:tc>
        <w:tc>
          <w:tcPr>
            <w:tcBorders>
              <w:bottom w:val="single"/>
            </w:tcBorders>
            <w:vAlign w:val="bottom"/>
          </w:tcPr>
          <w:p>
            <w:pPr>
              <w:pStyle w:val="Compact"/>
              <w:jc w:val="left"/>
            </w:pPr>
            <w:r>
              <w:t xml:space="preserve">Error2</w:t>
            </w:r>
          </w:p>
        </w:tc>
      </w:tr>
      <w:tr>
        <w:tc>
          <w:p>
            <w:pPr>
              <w:pStyle w:val="Compact"/>
              <w:jc w:val="left"/>
            </w:pPr>
            <w:r>
              <w:t xml:space="preserve">Step Model</w:t>
            </w:r>
          </w:p>
        </w:tc>
        <w:tc>
          <w:p>
            <w:pPr>
              <w:pStyle w:val="Compact"/>
              <w:jc w:val="left"/>
            </w:pPr>
            <w:r>
              <w:t xml:space="preserve">27.7026442847978</w:t>
            </w:r>
          </w:p>
        </w:tc>
        <w:tc>
          <w:p>
            <w:pPr>
              <w:pStyle w:val="Compact"/>
              <w:jc w:val="left"/>
            </w:pPr>
            <w:r>
              <w:t xml:space="preserve">0.101123595505618</w:t>
            </w:r>
          </w:p>
        </w:tc>
        <w:tc>
          <w:p>
            <w:pPr>
              <w:pStyle w:val="Compact"/>
              <w:jc w:val="left"/>
            </w:pPr>
            <w:r>
              <w:t xml:space="preserve">0.0964524681227118</w:t>
            </w:r>
          </w:p>
        </w:tc>
      </w:tr>
      <w:tr>
        <w:tc>
          <w:p>
            <w:pPr>
              <w:pStyle w:val="Compact"/>
              <w:jc w:val="left"/>
            </w:pPr>
            <w:r>
              <w:t xml:space="preserve">Step Model Significant</w:t>
            </w:r>
          </w:p>
        </w:tc>
        <w:tc>
          <w:p>
            <w:pPr>
              <w:pStyle w:val="Compact"/>
              <w:jc w:val="left"/>
            </w:pPr>
            <w:r>
              <w:t xml:space="preserve">28.0490448973609</w:t>
            </w:r>
          </w:p>
        </w:tc>
        <w:tc>
          <w:p>
            <w:pPr>
              <w:pStyle w:val="Compact"/>
              <w:jc w:val="left"/>
            </w:pPr>
            <w:r>
              <w:t xml:space="preserve">0.0561797752808989</w:t>
            </w:r>
          </w:p>
        </w:tc>
        <w:tc>
          <w:p>
            <w:pPr>
              <w:pStyle w:val="Compact"/>
              <w:jc w:val="left"/>
            </w:pPr>
            <w:r>
              <w:t xml:space="preserve">0.0493624542355763</w:t>
            </w:r>
          </w:p>
        </w:tc>
      </w:tr>
    </w:tbl>
    <w:p>
      <w:pPr>
        <w:pStyle w:val="Heading2"/>
      </w:pPr>
      <w:bookmarkStart w:id="27" w:name="predictions"/>
      <w:bookmarkEnd w:id="27"/>
      <w:r>
        <w:t xml:space="preserve">Predictions</w:t>
      </w:r>
    </w:p>
    <w:p>
      <w:pPr>
        <w:pStyle w:val="FirstParagraph"/>
      </w:pPr>
      <w:r>
        <w:t xml:space="preserve">When binarized, multiplex becomes</w:t>
      </w:r>
      <w:r>
        <w:t xml:space="preserve"> </w:t>
      </w:r>
      <w:r>
        <w:t xml:space="preserve">“</w:t>
      </w:r>
      <w:r>
        <w:t xml:space="preserve">0</w:t>
      </w:r>
      <w:r>
        <w:t xml:space="preserve">”</w:t>
      </w:r>
      <w:r>
        <w:t xml:space="preserve"> </w:t>
      </w:r>
      <w:r>
        <w:t xml:space="preserve">and subterraneus becomes</w:t>
      </w:r>
      <w:r>
        <w:t xml:space="preserve"> </w:t>
      </w:r>
      <w:r>
        <w:t xml:space="preserve">“</w:t>
      </w:r>
      <w:r>
        <w:t xml:space="preserve">1</w:t>
      </w:r>
      <w:r>
        <w:t xml:space="preserve">”</w:t>
      </w:r>
      <w:r>
        <w:t xml:space="preserve">. My predictive model, when split at a probability threshold of 0.5, predicts there are 121 multiplex and 78 subterraneus samples. Based on the error rate, this should be a balanced prediction and we can expect to be wrong about 7% of the time. The predictions have also been submitted as a CSV file. The unknown samples follow the same descending order they do from the original dataset.</w:t>
      </w:r>
    </w:p>
    <w:p>
      <w:pPr>
        <w:pStyle w:val="SourceCode"/>
      </w:pPr>
      <w:r>
        <w:rPr>
          <w:rStyle w:val="VerbatimChar"/>
        </w:rPr>
        <w:t xml:space="preserve">##   0   1 </w:t>
      </w:r>
      <w:r>
        <w:br w:type="textWrapping"/>
      </w:r>
      <w:r>
        <w:rPr>
          <w:rStyle w:val="VerbatimChar"/>
        </w:rPr>
        <w:t xml:space="preserve">## 121  78</w:t>
      </w:r>
    </w:p>
    <w:p>
      <w:pPr>
        <w:pStyle w:val="Heading2"/>
      </w:pPr>
      <w:bookmarkStart w:id="28" w:name="conclusion"/>
      <w:bookmarkEnd w:id="28"/>
      <w:r>
        <w:t xml:space="preserve">Conclusion</w:t>
      </w:r>
    </w:p>
    <w:p>
      <w:pPr>
        <w:pStyle w:val="FirstParagraph"/>
      </w:pPr>
      <w:r>
        <w:t xml:space="preserve">The model made here, using</w:t>
      </w:r>
      <w:r>
        <w:t xml:space="preserve"> </w:t>
      </w:r>
      <w:r>
        <w:rPr>
          <w:i/>
        </w:rPr>
        <w:t xml:space="preserve">M1Left</w:t>
      </w:r>
      <w:r>
        <w:t xml:space="preserve"> </w:t>
      </w:r>
      <w:r>
        <w:t xml:space="preserve">and</w:t>
      </w:r>
      <w:r>
        <w:t xml:space="preserve"> </w:t>
      </w:r>
      <w:r>
        <w:rPr>
          <w:i/>
        </w:rPr>
        <w:t xml:space="preserve">Foramen</w:t>
      </w:r>
      <w:r>
        <w:t xml:space="preserve"> </w:t>
      </w:r>
      <w:r>
        <w:t xml:space="preserve">as input variables to predict wheter a microtus was multiplex or subterraneus resulted in predictive ability with an error rate of approximately 0.07 or 7% using 5-fold cross validation. This suggests the model will generalize fairly well as k-fold cross validation is generally considered a robust predictor of the generalized ability of a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b110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Stat601 Final Problem 2: Microtus</dc:title>
  <dc:creator>James Young</dc:creator>
  <dcterms:created xsi:type="dcterms:W3CDTF">2019-12-18T22:45:31Z</dcterms:created>
  <dcterms:modified xsi:type="dcterms:W3CDTF">2019-12-18T22:45:31Z</dcterms:modified>
</cp:coreProperties>
</file>