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8" w:space="12"/>
        </w:pBdr>
        <w:spacing w:after="0" w:before="1500"/>
      </w:pPr>
      <w:r>
        <w:rPr>
          <w:b/>
          <w:bCs/>
          <w:color w:val="595959"/>
          <w:sz w:val="28"/>
          <w:szCs w:val="28"/>
        </w:rPr>
        <w:t xml:space="preserve">产品需求说明书</w:t>
      </w:r>
    </w:p>
    <w:p>
      <w:pPr>
        <w:spacing w:after="60" w:before="360"/>
      </w:pPr>
      <w:r>
        <w:rPr>
          <w:b/>
          <w:bCs/>
          <w:color w:val="1F4E79"/>
          <w:sz w:val="110"/>
          <w:szCs w:val="110"/>
        </w:rPr>
        <w:t xml:space="preserve">稳盈</w:t>
      </w:r>
    </w:p>
    <w:p>
      <w:pPr>
        <w:spacing w:after="280"/>
      </w:pPr>
      <w:r>
        <w:rPr>
          <w:i/>
          <w:iCs/>
          <w:color w:val="2E75B6"/>
          <w:sz w:val="60"/>
          <w:szCs w:val="60"/>
        </w:rPr>
        <w:t xml:space="preserve">Poise</w:t>
      </w:r>
    </w:p>
    <w:p>
      <w:pPr>
        <w:spacing w:after="60" w:before="0"/>
      </w:pPr>
      <w:r>
        <w:rPr>
          <w:b/>
          <w:bCs/>
          <w:color w:val="1A1A1A"/>
          <w:sz w:val="28"/>
          <w:szCs w:val="28"/>
        </w:rPr>
        <w:t xml:space="preserve">资金预测与流动性管理策略智能体</w:t>
      </w:r>
    </w:p>
    <w:p>
      <w:pPr>
        <w:spacing w:after="360"/>
      </w:pPr>
      <w:r>
        <w:rPr>
          <w:i/>
          <w:iCs/>
          <w:color w:val="595959"/>
          <w:sz w:val="20"/>
          <w:szCs w:val="20"/>
        </w:rPr>
        <w:t xml:space="preserve">Cash Forecasting &amp; Liquidity Strategy Agent</w:t>
      </w:r>
    </w:p>
    <w:p>
      <w:pPr>
        <w:spacing w:after="60" w:before="120"/>
      </w:pPr>
      <w:r>
        <w:rPr>
          <w:b/>
          <w:bCs/>
          <w:color w:val="1F4E79"/>
          <w:sz w:val="22"/>
          <w:szCs w:val="22"/>
        </w:rPr>
        <w:t xml:space="preserve">财资人员的智能参谋</w:t>
      </w:r>
      <w:r>
        <w:rPr>
          <w:color w:val="595959"/>
          <w:sz w:val="22"/>
          <w:szCs w:val="22"/>
        </w:rPr>
        <w:t xml:space="preserve">    ·    </w:t>
      </w:r>
      <w:r>
        <w:rPr>
          <w:color w:val="595959"/>
          <w:sz w:val="22"/>
          <w:szCs w:val="22"/>
        </w:rPr>
        <w:t xml:space="preserve">出预测与策略建议，不自动执行交易</w:t>
      </w:r>
    </w:p>
    <w:p>
      <w:pPr>
        <w:spacing w:before="60"/>
      </w:pPr>
      <w:r>
        <w:rPr>
          <w:color w:val="595959"/>
          <w:sz w:val="22"/>
          <w:szCs w:val="22"/>
        </w:rPr>
        <w:t xml:space="preserve">版本范围：单体企业 MVP（集团司库为后续演进方向）</w:t>
      </w:r>
    </w:p>
    <w:p>
      <w:pPr>
        <w:tabs>
          <w:tab w:val="right" w:pos="9026"/>
        </w:tabs>
        <w:spacing w:before="900"/>
      </w:pPr>
      <w:r>
        <w:rPr>
          <w:b/>
          <w:bCs/>
          <w:sz w:val="22"/>
          <w:szCs w:val="22"/>
        </w:rPr>
        <w:t xml:space="preserve">文档版本：</w:t>
      </w:r>
      <w:r>
        <w:rPr>
          <w:sz w:val="22"/>
          <w:szCs w:val="22"/>
        </w:rPr>
        <w:t xml:space="preserve">V0.2（产品命名落定）	</w:t>
      </w:r>
    </w:p>
    <w:p>
      <w:pPr>
        <w:spacing w:before="60"/>
      </w:pPr>
      <w:r>
        <w:rPr>
          <w:b/>
          <w:bCs/>
          <w:sz w:val="22"/>
          <w:szCs w:val="22"/>
        </w:rPr>
        <w:t xml:space="preserve">状态：</w:t>
      </w:r>
      <w:r>
        <w:rPr>
          <w:sz w:val="22"/>
          <w:szCs w:val="22"/>
        </w:rPr>
        <w:t xml:space="preserve">供系统设计参考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文档信息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7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产品名称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稳盈 / Poise（资金预测与流动性管理策略智能体）</w:t>
            </w:r>
          </w:p>
        </w:tc>
      </w:tr>
      <w:tr>
        <w:tc>
          <w:tcPr>
            <w:tcW w:type="dxa" w:w="26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产品形态</w:t>
            </w:r>
          </w:p>
        </w:tc>
        <w:tc>
          <w:tcPr>
            <w:tcW w:type="dxa" w:w="67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可对话的资金分析与策略参谋（人在环中，不自动执行交易）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MVP 服务对象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单体企业财务 / 资金管理人员</w:t>
            </w:r>
          </w:p>
        </w:tc>
      </w:tr>
      <w:tr>
        <w:tc>
          <w:tcPr>
            <w:tcW w:type="dxa" w:w="26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演进方向</w:t>
            </w:r>
          </w:p>
        </w:tc>
        <w:tc>
          <w:tcPr>
            <w:tcW w:type="dxa" w:w="67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集团司库（多法人、资金归集、内部调剂、跨境）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核心卖点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在多重约束下给出更优的资金运用与缺口弥补策略</w:t>
            </w:r>
          </w:p>
        </w:tc>
      </w:tr>
      <w:tr>
        <w:tc>
          <w:tcPr>
            <w:tcW w:type="dxa" w:w="26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文档视角</w:t>
            </w:r>
          </w:p>
        </w:tc>
        <w:tc>
          <w:tcPr>
            <w:tcW w:type="dxa" w:w="67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产品需求（做什么、为什么、给谁、如何衡量成功）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配套文档</w:t>
            </w:r>
          </w:p>
        </w:tc>
        <w:tc>
          <w:tcPr>
            <w:tcW w:type="dxa" w:w="6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《系统设计指导说明书》（Markdown，面向工程实现）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修订记录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00"/>
        <w:gridCol w:w="1900"/>
        <w:gridCol w:w="1800"/>
        <w:gridCol w:w="4260"/>
      </w:tblGrid>
      <w:tr>
        <w:trPr>
          <w:tblHeader/>
        </w:trPr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19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1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修订人</w:t>
            </w:r>
          </w:p>
        </w:tc>
        <w:tc>
          <w:tcPr>
            <w:tcW w:type="dxa" w:w="42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V0.1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</w:t>
            </w:r>
          </w:p>
        </w:tc>
        <w:tc>
          <w:tcPr>
            <w:tcW w:type="dxa" w:w="4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需求研讨初稿，确立定位、范围与核心引擎设计</w:t>
            </w:r>
          </w:p>
        </w:tc>
      </w:tr>
      <w:tr>
        <w:tc>
          <w:tcPr>
            <w:tcW w:type="dxa" w:w="14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V0.2</w:t>
            </w:r>
          </w:p>
        </w:tc>
        <w:tc>
          <w:tcPr>
            <w:tcW w:type="dxa" w:w="1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8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</w:t>
            </w:r>
          </w:p>
        </w:tc>
        <w:tc>
          <w:tcPr>
            <w:tcW w:type="dxa" w:w="42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产品命名落定：稳盈 / Poise；统一署名与版本</w:t>
            </w:r>
          </w:p>
        </w:tc>
      </w:tr>
    </w:tbl>
    <w:p>
      <w:pPr>
        <w:pStyle w:val="Heading1"/>
      </w:pPr>
      <w:r>
        <w:t xml:space="preserve">1  概述</w:t>
      </w:r>
    </w:p>
    <w:p>
      <w:pPr>
        <w:pStyle w:val="Heading2"/>
      </w:pPr>
      <w:r>
        <w:t xml:space="preserve">1.1  背景与问题</w:t>
      </w:r>
    </w:p>
    <w:p>
      <w:pPr>
        <w:spacing w:after="120" w:line="312"/>
      </w:pPr>
      <w:r>
        <w:t xml:space="preserve">企业财务人员日常面对一个看似简单、实则棘手的问题：未来一段时间内，账上的钱够不够用？多出来的闲钱如何在保证安全的前提下创造更高收益？资金缺口出现时又该用什么方式、以什么成本去弥补？传统的资金管理工具大多停留在“余额看板 + 固定规则”的层面，能呈现现状，却无法在复杂约束下主动给出经过权衡的最优策略，更无法像一位资深财资专家那样与使用者对话、解释推理、响应假设变化。</w:t>
      </w:r>
    </w:p>
    <w:p>
      <w:pPr>
        <w:spacing w:after="120" w:line="312"/>
      </w:pPr>
      <w:r>
        <w:t xml:space="preserve">本产品旨在填补这一空白：以一个具备自主推理能力的智能体，覆盖“感知资金数据 → 预测未来头寸 → 在约束下推理 → 给出策略建议 → 反馈学习纠偏”的完整闭环，让资金的预测更准、策略更优、决策更有据可循。</w:t>
      </w:r>
    </w:p>
    <w:p>
      <w:pPr>
        <w:pStyle w:val="Heading2"/>
      </w:pPr>
      <w:r>
        <w:t xml:space="preserve">1.2  产品目标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预测准：</w:t>
      </w:r>
      <w:r>
        <w:t xml:space="preserve">提供 13 周滚动现金流预测，分层处理近端确定性与远端不确定性，并随实际数据滚动纠偏。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策略优：</w:t>
      </w:r>
      <w:r>
        <w:t xml:space="preserve">在流动性安全、授信额度、投资白名单等硬约束下，求解使全周期净财务收益最大化的资金运用与缺口弥补方案。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可解释：</w:t>
      </w:r>
      <w:r>
        <w:t xml:space="preserve">每一条建议都可追溯到数据、约束与目标，像专家一样讲清“为什么是它、不选别的会怎样”。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越用越准：</w:t>
      </w:r>
      <w:r>
        <w:t xml:space="preserve">通过预测与实际的偏差回流，持续改进预测模型与策略质量。</w:t>
      </w:r>
    </w:p>
    <w:p>
      <w:pPr>
        <w:pStyle w:val="Heading2"/>
      </w:pPr>
      <w:r>
        <w:t xml:space="preserve">1.3  范围与边界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4030"/>
        <w:gridCol w:w="363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403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MVP 范围（纳入）</w:t>
            </w:r>
          </w:p>
        </w:tc>
        <w:tc>
          <w:tcPr>
            <w:tcW w:type="dxa" w:w="363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暂不纳入 / 后续演进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服务对象</w:t>
            </w:r>
          </w:p>
        </w:tc>
        <w:tc>
          <w:tcPr>
            <w:tcW w:type="dxa" w:w="40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单一法人主体</w:t>
            </w:r>
          </w:p>
        </w:tc>
        <w:tc>
          <w:tcPr>
            <w:tcW w:type="dxa" w:w="36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集团多法人、合并视图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决策权限</w:t>
            </w:r>
          </w:p>
        </w:tc>
        <w:tc>
          <w:tcPr>
            <w:tcW w:type="dxa" w:w="40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出建议（参谋），人工决策与执行</w:t>
            </w:r>
          </w:p>
        </w:tc>
        <w:tc>
          <w:tcPr>
            <w:tcW w:type="dxa" w:w="36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自动执行交易、自动归集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资金运用</w:t>
            </w:r>
          </w:p>
        </w:tc>
        <w:tc>
          <w:tcPr>
            <w:tcW w:type="dxa" w:w="40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存款、货基、逆回购、结构性存款、大额存单等</w:t>
            </w:r>
          </w:p>
        </w:tc>
        <w:tc>
          <w:tcPr>
            <w:tcW w:type="dxa" w:w="36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债券、股票型理财等市价波动品种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集团能力</w:t>
            </w:r>
          </w:p>
        </w:tc>
        <w:tc>
          <w:tcPr>
            <w:tcW w:type="dxa" w:w="40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6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资金池归集、上存下借、委托贷款、内部计价(FTP)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跨境与监管</w:t>
            </w:r>
          </w:p>
        </w:tc>
        <w:tc>
          <w:tcPr>
            <w:tcW w:type="dxa" w:w="40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本币为主，简化处理</w:t>
            </w:r>
          </w:p>
        </w:tc>
        <w:tc>
          <w:tcPr>
            <w:tcW w:type="dxa" w:w="36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跨境资金、外管额度、跨境人民币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时间尺度</w:t>
            </w:r>
          </w:p>
        </w:tc>
        <w:tc>
          <w:tcPr>
            <w:tcW w:type="dxa" w:w="40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 周滚动，按周</w:t>
            </w:r>
          </w:p>
        </w:tc>
        <w:tc>
          <w:tcPr>
            <w:tcW w:type="dxa" w:w="363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按日精细调度、年度预算长周期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范围原则  </w:t>
            </w:r>
            <w:r>
              <w:t xml:space="preserve">MVP 聚焦“单体企业 + 参谋 + 策略最优”三件事做深做透。集团能力虽不实现，但在数据模型与决策框架上预留扩展点，确保未来从单体平滑升级为集团，是“加维度”而非“推倒重来”。</w:t>
            </w:r>
          </w:p>
        </w:tc>
      </w:tr>
    </w:tbl>
    <w:p>
      <w:pPr>
        <w:pStyle w:val="Heading1"/>
      </w:pPr>
      <w:r>
        <w:t xml:space="preserve">2  产品定位与核心理念</w:t>
      </w:r>
    </w:p>
    <w:p>
      <w:pPr>
        <w:pStyle w:val="Heading2"/>
      </w:pPr>
      <w:r>
        <w:t xml:space="preserve">2.1  一句话定位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定位  </w:t>
            </w:r>
            <w:r>
              <w:rPr>
                <w:b/>
                <w:bCs/>
              </w:rPr>
              <w:t xml:space="preserve">财资人员的智能参谋</w:t>
            </w:r>
            <w:r>
              <w:t xml:space="preserve">——一个能预测未来资金头寸、并在多重约束下给出更优资金策略、且全程可对话、可解释的分析台。它出主意、算方案、报风险，但不替人动钱。</w:t>
            </w:r>
          </w:p>
        </w:tc>
      </w:tr>
    </w:tbl>
    <w:p>
      <w:pPr>
        <w:pStyle w:val="Heading2"/>
      </w:pPr>
      <w:r>
        <w:t xml:space="preserve">2.2  核心能力闭环</w:t>
      </w:r>
    </w:p>
    <w:p>
      <w:pPr>
        <w:spacing w:after="120" w:line="312"/>
      </w:pPr>
      <w:r>
        <w:t xml:space="preserve">产品的内核是一条自洽的闭环，区别于传统资金模块的关键正在于“推理”与“反馈学习”两个环节：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79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做什么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① 感知</w:t>
            </w:r>
          </w:p>
        </w:tc>
        <w:tc>
          <w:tcPr>
            <w:tcW w:type="dxa" w:w="7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汇聚多源资金数据：账户余额与流水、应收应付、订单与合同、收付日历、市场报价</w:t>
            </w:r>
          </w:p>
        </w:tc>
      </w:tr>
      <w:tr>
        <w:tc>
          <w:tcPr>
            <w:tcW w:type="dxa" w:w="14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② 预测</w:t>
            </w:r>
          </w:p>
        </w:tc>
        <w:tc>
          <w:tcPr>
            <w:tcW w:type="dxa" w:w="79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生成 13 周滚动现金流预测（分层 + 中性/悲观双情景）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③ 推理</w:t>
            </w:r>
          </w:p>
        </w:tc>
        <w:tc>
          <w:tcPr>
            <w:tcW w:type="dxa" w:w="7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以运筹优化在硬约束下求解，结合 LLM 翻译诉求、编排求解、组织叙述</w:t>
            </w:r>
          </w:p>
        </w:tc>
      </w:tr>
      <w:tr>
        <w:tc>
          <w:tcPr>
            <w:tcW w:type="dxa" w:w="14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④ 建议</w:t>
            </w:r>
          </w:p>
        </w:tc>
        <w:tc>
          <w:tcPr>
            <w:tcW w:type="dxa" w:w="79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输出 2–3 套可对比策略方案，含收益、风险、合规校验与推理链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⑤ 反馈</w:t>
            </w:r>
          </w:p>
        </w:tc>
        <w:tc>
          <w:tcPr>
            <w:tcW w:type="dxa" w:w="7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回收预测偏差与司库的采纳/否决，持续纠偏与优化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2.3  设计立场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参谋而非操盘手：</w:t>
      </w:r>
      <w:r>
        <w:t xml:space="preserve">不自动执行交易，因此把弦绷在“建议是否足够好、足够可信”上——这决定了可解释性是硬要求而非加分项。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最优而非合规即止：</w:t>
      </w:r>
      <w:r>
        <w:t xml:space="preserve">不止于“满足约束的可行解”，而要在所有约束下逼近“收益最优解”，这是产品的差异化命脉。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收益优先、安全兜底：</w:t>
      </w:r>
      <w:r>
        <w:t xml:space="preserve">以净财务收益最大化为主目标，同时把流动性安全设为不可突破的硬底线，并对趋紧情形主动预警。</w:t>
      </w:r>
    </w:p>
    <w:p>
      <w:pPr>
        <w:pStyle w:val="Heading1"/>
      </w:pPr>
      <w:r>
        <w:t xml:space="preserve">3  目标用户与典型场景</w:t>
      </w:r>
    </w:p>
    <w:p>
      <w:pPr>
        <w:pStyle w:val="Heading2"/>
      </w:pPr>
      <w:r>
        <w:t xml:space="preserve">3.1  目标用户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核心用户：</w:t>
      </w:r>
      <w:r>
        <w:t xml:space="preserve">企业出纳、资金主管、财务经理——负责头寸管理、资金调度与短期投融资安排的人。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关注诉求：</w:t>
      </w:r>
      <w:r>
        <w:t xml:space="preserve">别让资金链出问题（安全），同时把闲钱用出更高收益（效率），并且决策要能向上解释、经得起审计。</w:t>
      </w:r>
    </w:p>
    <w:p>
      <w:pPr>
        <w:pStyle w:val="Heading2"/>
      </w:pPr>
      <w:r>
        <w:t xml:space="preserve">3.2  典型场景（用户故事）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00"/>
        <w:gridCol w:w="4900"/>
        <w:gridCol w:w="3560"/>
      </w:tblGrid>
      <w:tr>
        <w:trPr>
          <w:tblHeader/>
        </w:trPr>
        <w:tc>
          <w:tcPr>
            <w:tcW w:type="dxa" w:w="9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49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作为财资人员，我希望……</w:t>
            </w:r>
          </w:p>
        </w:tc>
        <w:tc>
          <w:tcPr>
            <w:tcW w:type="dxa" w:w="3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以便……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US-1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看到未来 13 周每周的预计现金头寸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提前发现哪一周会紧、哪一周有富余</w:t>
            </w:r>
          </w:p>
        </w:tc>
      </w:tr>
      <w:tr>
        <w:tc>
          <w:tcPr>
            <w:tcW w:type="dxa" w:w="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US-2</w:t>
            </w:r>
          </w:p>
        </w:tc>
        <w:tc>
          <w:tcPr>
            <w:tcW w:type="dxa" w:w="4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对账上的闲钱拿到“配多少、配什么、配多久”的建议</w:t>
            </w:r>
          </w:p>
        </w:tc>
        <w:tc>
          <w:tcPr>
            <w:tcW w:type="dxa" w:w="35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在不影响周转的前提下多赚利息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US-3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在出现缺口时拿到“用授信还是赎回投资、成本各多少”的方案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以最低成本补上缺口</w:t>
            </w:r>
          </w:p>
        </w:tc>
      </w:tr>
      <w:tr>
        <w:tc>
          <w:tcPr>
            <w:tcW w:type="dxa" w:w="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US-4</w:t>
            </w:r>
          </w:p>
        </w:tc>
        <w:tc>
          <w:tcPr>
            <w:tcW w:type="dxa" w:w="4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用自然语言追问“为什么这么建议”并下钻细节</w:t>
            </w:r>
          </w:p>
        </w:tc>
        <w:tc>
          <w:tcPr>
            <w:tcW w:type="dxa" w:w="35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理解并信任建议，向上汇报有依据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US-5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修改假设（如某客户回款延后两周）后立即看到方案变化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做情景演练与压力测试</w:t>
            </w:r>
          </w:p>
        </w:tc>
      </w:tr>
      <w:tr>
        <w:tc>
          <w:tcPr>
            <w:tcW w:type="dxa" w:w="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US-6</w:t>
            </w:r>
          </w:p>
        </w:tc>
        <w:tc>
          <w:tcPr>
            <w:tcW w:type="dxa" w:w="49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在资金安全趋紧或无解时被主动预警并告知原因</w:t>
            </w:r>
          </w:p>
        </w:tc>
        <w:tc>
          <w:tcPr>
            <w:tcW w:type="dxa" w:w="35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及早安排融资或与对手方协商</w:t>
            </w:r>
          </w:p>
        </w:tc>
      </w:tr>
    </w:tbl>
    <w:p>
      <w:pPr>
        <w:pStyle w:val="Heading1"/>
      </w:pPr>
      <w:r>
        <w:t xml:space="preserve">4  核心价值与成败指标</w:t>
      </w:r>
    </w:p>
    <w:p>
      <w:pPr>
        <w:pStyle w:val="Heading2"/>
      </w:pPr>
      <w:r>
        <w:t xml:space="preserve">4.1  价值主张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更高的资金收益：</w:t>
      </w:r>
      <w:r>
        <w:t xml:space="preserve">让闲置资金不再低效沉睡，按期限匹配配置到更优品种。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更稳的流动性：</w:t>
      </w:r>
      <w:r>
        <w:t xml:space="preserve">提前预见缺口，给出可执行的弥补路径，降低资金链风险。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更省心的决策：</w:t>
      </w:r>
      <w:r>
        <w:t xml:space="preserve">把“算账”的重活交给智能体，人专注判断与拍板。</w:t>
      </w:r>
    </w:p>
    <w:p>
      <w:pPr>
        <w:pStyle w:val="Heading2"/>
      </w:pPr>
      <w:r>
        <w:t xml:space="preserve">4.2  成败指标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北极星指标  </w:t>
            </w:r>
            <w:r>
              <w:rPr>
                <w:b/>
                <w:bCs/>
              </w:rPr>
              <w:t xml:space="preserve">建议采纳率</w:t>
            </w:r>
            <w:r>
              <w:t xml:space="preserve"> 与 </w:t>
            </w:r>
            <w:r>
              <w:rPr>
                <w:b/>
                <w:bCs/>
              </w:rPr>
              <w:t xml:space="preserve">采纳后的实际效果</w:t>
            </w:r>
            <w:r>
              <w:t xml:space="preserve">。因为产品是参谋而不执行，建议被采纳、且采纳后确实带来收益提升或风险下降，才是价值真正兑现的证据。</w:t>
            </w:r>
          </w:p>
        </w:tc>
      </w:tr>
    </w:tbl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300"/>
        <w:gridCol w:w="3060"/>
        <w:gridCol w:w="5000"/>
      </w:tblGrid>
      <w:tr>
        <w:trPr>
          <w:tblHeader/>
        </w:trPr>
        <w:tc>
          <w:tcPr>
            <w:tcW w:type="dxa" w:w="13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30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5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说明 / 目标方向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价值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策略建议采纳率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司库实际采纳的建议占比，越高越好</w:t>
            </w:r>
          </w:p>
        </w:tc>
      </w:tr>
      <w:tr>
        <w:tc>
          <w:tcPr>
            <w:tcW w:type="dxa" w:w="13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价值</w:t>
            </w:r>
          </w:p>
        </w:tc>
        <w:tc>
          <w:tcPr>
            <w:tcW w:type="dxa" w:w="30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资金收益提升</w:t>
            </w:r>
          </w:p>
        </w:tc>
        <w:tc>
          <w:tcPr>
            <w:tcW w:type="dxa" w:w="50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采纳建议后净财务收益相比基线的提升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价值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缺口预警命中率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提前预警的缺口中真实发生的比例</w:t>
            </w:r>
          </w:p>
        </w:tc>
      </w:tr>
      <w:tr>
        <w:tc>
          <w:tcPr>
            <w:tcW w:type="dxa" w:w="13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质量</w:t>
            </w:r>
          </w:p>
        </w:tc>
        <w:tc>
          <w:tcPr>
            <w:tcW w:type="dxa" w:w="30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分层预测准确度</w:t>
            </w:r>
          </w:p>
        </w:tc>
        <w:tc>
          <w:tcPr>
            <w:tcW w:type="dxa" w:w="50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近端 MAPE 严、远端考核区间命中率</w:t>
            </w:r>
          </w:p>
        </w:tc>
      </w:tr>
      <w:tr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体验</w:t>
            </w:r>
          </w:p>
        </w:tc>
        <w:tc>
          <w:tcPr>
            <w:tcW w:type="dxa" w:w="30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方案可解释性满意度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用户对推理链清晰度的评分</w:t>
            </w:r>
          </w:p>
        </w:tc>
      </w:tr>
    </w:tbl>
    <w:p>
      <w:pPr>
        <w:pStyle w:val="Heading1"/>
      </w:pPr>
      <w:r>
        <w:t xml:space="preserve">5  功能需求</w:t>
      </w:r>
    </w:p>
    <w:p>
      <w:pPr>
        <w:spacing w:after="120" w:line="312"/>
      </w:pPr>
      <w:r>
        <w:t xml:space="preserve">功能划分为四大域：资金预测、流动性管理、策略与决策（核心）、人机交互。</w:t>
      </w:r>
    </w:p>
    <w:p>
      <w:pPr>
        <w:pStyle w:val="Heading2"/>
      </w:pPr>
      <w:r>
        <w:t xml:space="preserve">5.1  资金预测</w:t>
      </w:r>
    </w:p>
    <w:p>
      <w:pPr>
        <w:pStyle w:val="Heading3"/>
      </w:pPr>
      <w:r>
        <w:t xml:space="preserve">5.1.1  预测方法：直接法 + 分层</w:t>
      </w:r>
    </w:p>
    <w:p>
      <w:pPr>
        <w:spacing w:after="120" w:line="312"/>
      </w:pPr>
      <w:r>
        <w:t xml:space="preserve">13 周是经典的短期流动性视角，采用自下而上的直接法为主干（而非由利润表倒推的间接法）。由于近端与远端可预测性差异巨大，按时间分三层处理：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200"/>
        <w:gridCol w:w="1300"/>
        <w:gridCol w:w="2860"/>
        <w:gridCol w:w="4000"/>
      </w:tblGrid>
      <w:tr>
        <w:trPr>
          <w:tblHeader/>
        </w:trPr>
        <w:tc>
          <w:tcPr>
            <w:tcW w:type="dxa" w:w="1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层次</w:t>
            </w:r>
          </w:p>
        </w:tc>
        <w:tc>
          <w:tcPr>
            <w:tcW w:type="dxa" w:w="13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周次</w:t>
            </w:r>
          </w:p>
        </w:tc>
        <w:tc>
          <w:tcPr>
            <w:tcW w:type="dxa" w:w="28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4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特征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确定层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第 1–4 周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规则 / 日程驱动，逐笔汇总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应收应付到期、薪酬/税费/利息/还本等已知项，准确度高</w:t>
            </w:r>
          </w:p>
        </w:tc>
      </w:tr>
      <w:tr>
        <w:tc>
          <w:tcPr>
            <w:tcW w:type="dxa" w:w="12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规律层</w:t>
            </w:r>
          </w:p>
        </w:tc>
        <w:tc>
          <w:tcPr>
            <w:tcW w:type="dxa" w:w="13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第 5–8 周</w:t>
            </w:r>
          </w:p>
        </w:tc>
        <w:tc>
          <w:tcPr>
            <w:tcW w:type="dxa" w:w="28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账龄回款模型 + 时序统计</w:t>
            </w:r>
          </w:p>
        </w:tc>
        <w:tc>
          <w:tcPr>
            <w:tcW w:type="dxa" w:w="40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经营性日常收付，靠历史规律与季节性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不确定层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第 9–13 周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业务驱动 + 统计模型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给区间而非点值，避免精确数误导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5.1.2  双情景输出</w:t>
      </w:r>
    </w:p>
    <w:p>
      <w:pPr>
        <w:spacing w:after="120" w:line="312"/>
      </w:pPr>
      <w:r>
        <w:t xml:space="preserve">预测引擎同时输出“中性”与“悲观”两套情景：策略引擎用中性预测求收益最优解，用悲观预测压测流动性安全底线。这一设计让“缺口预警”真正有意义——当悲观情景下某周安全垫转负时即触发预警。</w:t>
      </w:r>
    </w:p>
    <w:p>
      <w:pPr>
        <w:pStyle w:val="Heading3"/>
      </w:pPr>
      <w:r>
        <w:t xml:space="preserve">5.1.3  反馈纠偏</w:t>
      </w:r>
    </w:p>
    <w:p>
      <w:pPr>
        <w:spacing w:after="120" w:line="312"/>
      </w:pPr>
      <w:r>
        <w:t xml:space="preserve">每周滚动重跑时，回收上一周“预测 vs 实际”的偏差，一方面驱动准确度看板，另一方面让模型学习系统性偏差（如长期高估某客户回款速度），实现越用越准。</w:t>
      </w:r>
    </w:p>
    <w:p>
      <w:pPr>
        <w:pStyle w:val="Heading2"/>
      </w:pPr>
      <w:r>
        <w:t xml:space="preserve">5.2  流动性管理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头寸视图：</w:t>
      </w:r>
      <w:r>
        <w:t xml:space="preserve">呈现各账户余额、可用资金与受限资金，汇总为主体可用头寸。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13 周头寸曲线：</w:t>
      </w:r>
      <w:r>
        <w:t xml:space="preserve">基于预测推演每周末的现金余额与“安全垫”（余额减最低备付）。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最低备付金：</w:t>
      </w:r>
      <w:r>
        <w:t xml:space="preserve">建议按“未来 N 周刚性支出滚动覆盖”动态设定，而非固定数，以贴合滚动节奏。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缺口/富余识别：</w:t>
      </w:r>
      <w:r>
        <w:t xml:space="preserve">自动标记每周是盈余（可投）还是缺口（需补），作为策略引擎的输入。</w:t>
      </w:r>
    </w:p>
    <w:p>
      <w:pPr>
        <w:pStyle w:val="Heading2"/>
      </w:pPr>
      <w:r>
        <w:t xml:space="preserve">5.3  策略与决策（核心）</w:t>
      </w:r>
    </w:p>
    <w:p>
      <w:pPr>
        <w:spacing w:after="120" w:line="312"/>
      </w:pPr>
      <w:r>
        <w:t xml:space="preserve">这是产品的差异化核心。其本质是一个“多期现金调度”问题：在 13 周时间轴上排布每一笔钱的投、融、留，使全周期净收益最大且每周都安全。对单一主体而言，“闲置资金运用”与“缺口弥补”是同一问题的一体两面，由一个模型统一求解。</w:t>
      </w:r>
    </w:p>
    <w:p>
      <w:pPr>
        <w:pStyle w:val="Heading3"/>
      </w:pPr>
      <w:r>
        <w:t xml:space="preserve">5.3.1  决策动作空间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闲置资金运用：</w:t>
      </w:r>
      <w:r>
        <w:t xml:space="preserve">在投资白名单内选择品种与期限。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缺口弥补：</w:t>
      </w:r>
      <w:r>
        <w:t xml:space="preserve">动用授信、赎回投资、票据贴现等，按成本择优。</w:t>
      </w:r>
    </w:p>
    <w:p>
      <w:pPr>
        <w:pStyle w:val="Heading3"/>
      </w:pPr>
      <w:r>
        <w:t xml:space="preserve">5.3.2  目标与权衡</w:t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目标函数  </w:t>
            </w:r>
            <w:r>
              <w:rPr>
                <w:b/>
                <w:bCs/>
              </w:rPr>
              <w:t xml:space="preserve">主目标：</w:t>
            </w:r>
            <w:r>
              <w:t xml:space="preserve">最大化全周期净财务收益（投资利息 − 融资成本）。</w:t>
            </w:r>
            <w:r>
              <w:rPr>
                <w:b/>
                <w:bCs/>
              </w:rPr>
              <w:t xml:space="preserve"> 兜底：</w:t>
            </w:r>
            <w:r>
              <w:t xml:space="preserve">流动性安全为不可突破的硬约束。</w:t>
            </w:r>
            <w:r>
              <w:rPr>
                <w:b/>
                <w:bCs/>
              </w:rPr>
              <w:t xml:space="preserve"> 旋钮：</w:t>
            </w:r>
            <w:r>
              <w:t xml:space="preserve">提供可调的风险偏好——进取档贴近安全线榨收益、久期可拉长；稳健档加厚备付、压短久期保灵活。</w:t>
            </w:r>
          </w:p>
        </w:tc>
      </w:tr>
    </w:tbl>
    <w:p>
      <w:pPr>
        <w:pStyle w:val="Heading3"/>
      </w:pPr>
      <w:r>
        <w:t xml:space="preserve">5.3.3  约束清单</w:t>
      </w:r>
    </w:p>
    <w:p>
      <w:pPr>
        <w:spacing w:after="120" w:line="312"/>
      </w:pPr>
      <w:r>
        <w:t xml:space="preserve">必做（硬约束）：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现金守恒：每周现金余额由上期结余、净现金流、投资回流、新增/到期融资共同决定。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流动性安全底线：每周末可用现金 ≥ 最低备付金。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投资白名单：仅可投白名单内品种。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授信额度：累计动用不超已批额度。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资金锁定：可手动将某笔资金钉在指定周次，模型不得动用。</w:t>
      </w:r>
    </w:p>
    <w:p>
      <w:pPr>
        <w:spacing w:after="120" w:line="312"/>
      </w:pPr>
      <w:r>
        <w:t xml:space="preserve">可后置（精修约束）：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集中度限制（单对手方占比上限）、流动性分层（T+0 品种最低比例）、期限错配惩罚。</w:t>
      </w:r>
    </w:p>
    <w:p>
      <w:pPr>
        <w:pStyle w:val="Heading3"/>
      </w:pPr>
      <w:r>
        <w:t xml:space="preserve">5.3.4  投融资品种白名单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方向</w:t>
            </w:r>
          </w:p>
        </w:tc>
        <w:tc>
          <w:tcPr>
            <w:tcW w:type="dxa" w:w="2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分层 / 优先级</w:t>
            </w:r>
          </w:p>
        </w:tc>
        <w:tc>
          <w:tcPr>
            <w:tcW w:type="dxa" w:w="4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品种举例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投资 · 活钱层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T+0/T+1 可赎回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货币基金、协定存款、短期国债逆回购</w:t>
            </w:r>
          </w:p>
        </w:tc>
      </w:tr>
      <w:tr>
        <w:tc>
          <w:tcPr>
            <w:tcW w:type="dxa" w:w="20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投资 · 稳健层</w:t>
            </w:r>
          </w:p>
        </w:tc>
        <w:tc>
          <w:tcPr>
            <w:tcW w:type="dxa" w:w="28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确定期限、中等收益</w:t>
            </w:r>
          </w:p>
        </w:tc>
        <w:tc>
          <w:tcPr>
            <w:tcW w:type="dxa" w:w="45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通知存款、短期定存、现金管理类理财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投资 · 增益层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锁定期限、较高收益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结构性存款、大额存单、较长定存</w:t>
            </w:r>
          </w:p>
        </w:tc>
      </w:tr>
      <w:tr>
        <w:tc>
          <w:tcPr>
            <w:tcW w:type="dxa" w:w="20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融资（按成本升序）</w:t>
            </w:r>
          </w:p>
        </w:tc>
        <w:tc>
          <w:tcPr>
            <w:tcW w:type="dxa" w:w="28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优先级 1 → N</w:t>
            </w:r>
          </w:p>
        </w:tc>
        <w:tc>
          <w:tcPr>
            <w:tcW w:type="dxa" w:w="45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赎回活钱投资 → 流贷 → 票据贴现 → 短融/超短融（可选）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品种选型把关  </w:t>
            </w:r>
            <w:r>
              <w:t xml:space="preserve">MVP 不纳入债券基金、股票型理财等市价波动品种，避免引入估值与市场风险，使产品聚焦“流动性管理参谋”主线，而非滑向“投资组合管理”。</w:t>
            </w:r>
          </w:p>
        </w:tc>
      </w:tr>
    </w:tbl>
    <w:p>
      <w:pPr>
        <w:pStyle w:val="Heading3"/>
      </w:pPr>
      <w:r>
        <w:t xml:space="preserve">5.3.5  方案呈现</w:t>
      </w:r>
    </w:p>
    <w:p>
      <w:pPr>
        <w:spacing w:after="120" w:line="312"/>
      </w:pPr>
      <w:r>
        <w:t xml:space="preserve">交付的不是一个答案，而是 2–3 套可对比方案（如稳健 / 折中 / 进取）。每套方案包含：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预期净收益与相比现状的收益率提升；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未来头寸曲线与安全垫曲线；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对授信的依赖度与缺口预警标签；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合规校验结果与可追溯的推理链；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what-if 沙盘：修改假设即可重算对比。</w:t>
      </w:r>
    </w:p>
    <w:p>
      <w:pPr>
        <w:pStyle w:val="Heading2"/>
      </w:pPr>
      <w:r>
        <w:t xml:space="preserve">5.4  人机交互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对话主入口：</w:t>
      </w:r>
      <w:r>
        <w:t xml:space="preserve">自然语言问答、改假设、要方案（如“这周有什么闲钱能投”“假设 A 客户延期回款会怎样”）。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主动推送：</w:t>
      </w:r>
      <w:r>
        <w:t xml:space="preserve">每次滚动重跑后主动汇报新预测、新缺口预警与新配置机会。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看板辅助：</w:t>
      </w:r>
      <w:r>
        <w:t xml:space="preserve">13 周预测表、头寸与安全垫曲线、方案对比卡片、预警中心。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协作闭环：</w:t>
      </w:r>
      <w:r>
        <w:t xml:space="preserve">每条建议可追问、可下钻、可调参、可采纳/否决；采纳与否决均被记录，回流为反馈。</w:t>
      </w:r>
    </w:p>
    <w:p>
      <w:pPr>
        <w:pStyle w:val="Heading1"/>
      </w:pPr>
      <w:r>
        <w:t xml:space="preserve">6  关键设计原则与边界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人在环中：</w:t>
      </w:r>
      <w:r>
        <w:t xml:space="preserve">智能体只产出预测与建议，资金动作由人决策执行。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安全不可破：</w:t>
      </w:r>
      <w:r>
        <w:t xml:space="preserve">无论收益目标多高，绝不输出会突破流动性安全底线的方案。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报忧亦是本分：</w:t>
      </w:r>
      <w:r>
        <w:t xml:space="preserve">当无可行解时（如即使用满授信仍存在硬缺口），必须讲清缺口规模、位置与建议应对，而非仅回“无解”。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可解释、可审计：</w:t>
      </w:r>
      <w:r>
        <w:t xml:space="preserve">建议可追溯至数据、约束与目标；问答、建议、采纳/否决全程留痕。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数据质量优先：</w:t>
      </w:r>
      <w:r>
        <w:t xml:space="preserve">预测与策略质量被数据质量锁死，脏数据须在入模前被拦截。</w:t>
      </w:r>
    </w:p>
    <w:p>
      <w:pPr>
        <w:pStyle w:val="Heading1"/>
      </w:pPr>
      <w:r>
        <w:t xml:space="preserve">7  非功能性需求（业务视角）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dxa" w:w="76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准确性</w:t>
            </w:r>
          </w:p>
        </w:tc>
        <w:tc>
          <w:tcPr>
            <w:tcW w:type="dxa" w:w="7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分层预测设 MAPE 阈值（近端严、远端考核区间命中率）；策略求解给出精确最优解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可解释性</w:t>
            </w:r>
          </w:p>
        </w:tc>
        <w:tc>
          <w:tcPr>
            <w:tcW w:type="dxa" w:w="76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每条建议可追溯到输入数据、约束与目标，并以业务语言叙述推理链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可审计性</w:t>
            </w:r>
          </w:p>
        </w:tc>
        <w:tc>
          <w:tcPr>
            <w:tcW w:type="dxa" w:w="7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完整留痕：何人何时提出何问题、系统给出何建议、是否被采纳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安全与权限</w:t>
            </w:r>
          </w:p>
        </w:tc>
        <w:tc>
          <w:tcPr>
            <w:tcW w:type="dxa" w:w="76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财务数据高敏感，按角色控制查看/改假设/调风险偏好权限，访问与变更留痕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性能</w:t>
            </w:r>
          </w:p>
        </w:tc>
        <w:tc>
          <w:tcPr>
            <w:tcW w:type="dxa" w:w="7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 周单体模型规模小，策略求解应达秒级；滚动重跑可定时或按需触发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可靠性</w:t>
            </w:r>
          </w:p>
        </w:tc>
        <w:tc>
          <w:tcPr>
            <w:tcW w:type="dxa" w:w="76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数据源中断时降级运行并标注数据陈旧；无解时给出可读的诊断说明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可扩展性</w:t>
            </w:r>
          </w:p>
        </w:tc>
        <w:tc>
          <w:tcPr>
            <w:tcW w:type="dxa" w:w="76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数据模型预留法人维度、动作空间可插拔，为升级集团版留路</w:t>
            </w:r>
          </w:p>
        </w:tc>
      </w:tr>
    </w:tbl>
    <w:p>
      <w:pPr>
        <w:pStyle w:val="Heading1"/>
      </w:pPr>
      <w:r>
        <w:t xml:space="preserve">8  产品演进路线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700"/>
        <w:gridCol w:w="2860"/>
        <w:gridCol w:w="4800"/>
      </w:tblGrid>
      <w:tr>
        <w:trPr>
          <w:tblHeader/>
        </w:trPr>
        <w:tc>
          <w:tcPr>
            <w:tcW w:type="dxa" w:w="17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8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重点</w:t>
            </w:r>
          </w:p>
        </w:tc>
        <w:tc>
          <w:tcPr>
            <w:tcW w:type="dxa" w:w="48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关键能力增量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MVP（本期）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单体企业 · 参谋 · 策略最优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 周预测、多期现金调度优化、对话式分析台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增强</w:t>
            </w:r>
          </w:p>
        </w:tc>
        <w:tc>
          <w:tcPr>
            <w:tcW w:type="dxa" w:w="28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精修与体验</w:t>
            </w:r>
          </w:p>
        </w:tc>
        <w:tc>
          <w:tcPr>
            <w:tcW w:type="dxa" w:w="48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集中度/流动性分层约束、更丰富的 what-if、预警策略库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集团版</w:t>
            </w:r>
          </w:p>
        </w:tc>
        <w:tc>
          <w:tcPr>
            <w:tcW w:type="dxa" w:w="2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多法人司库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合并视图、资金池归集、上存下借、委托贷款、内部计价</w:t>
            </w:r>
          </w:p>
        </w:tc>
      </w:tr>
      <w:tr>
        <w:tc>
          <w:tcPr>
            <w:tcW w:type="dxa" w:w="17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跨境/进阶</w:t>
            </w:r>
          </w:p>
        </w:tc>
        <w:tc>
          <w:tcPr>
            <w:tcW w:type="dxa" w:w="28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复杂场景</w:t>
            </w:r>
          </w:p>
        </w:tc>
        <w:tc>
          <w:tcPr>
            <w:tcW w:type="dxa" w:w="48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多币种与跨境额度、（可选）市价品种与风险计量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2E75B6" w:sz="4"/>
          <w:left w:val="single" w:color="2E75B6" w:sz="12"/>
          <w:bottom w:val="single" w:color="2E75B6" w:sz="4"/>
          <w:right w:val="single" w:color="BFBFB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b/>
                <w:bCs/>
                <w:color w:val="1F4E79"/>
              </w:rPr>
              <w:t xml:space="preserve">升级承诺  </w:t>
            </w:r>
            <w:r>
              <w:t xml:space="preserve">得益于 MVP 阶段预留的“法人维度”与“可插拔动作类别”，从单体升级到集团，核心是把决策变量与视图扩展到多主体，而非重写引擎。</w:t>
            </w:r>
          </w:p>
        </w:tc>
      </w:tr>
    </w:tbl>
    <w:p>
      <w:pPr>
        <w:pStyle w:val="Heading1"/>
      </w:pPr>
      <w:r>
        <w:t xml:space="preserve">附录 A  术语表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71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13 周滚动预测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对未来 13 周现金流的逐周预测，每周用最新数据滚动更新</w:t>
            </w:r>
          </w:p>
        </w:tc>
      </w:tr>
      <w:tr>
        <w:tc>
          <w:tcPr>
            <w:tcW w:type="dxa" w:w="22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直接法</w:t>
            </w:r>
          </w:p>
        </w:tc>
        <w:tc>
          <w:tcPr>
            <w:tcW w:type="dxa" w:w="71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自下而上、基于具体预期收付逐笔搭建现金流预测的方法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安全垫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某周末可用现金减去最低备付金，反映流动性宽裕程度</w:t>
            </w:r>
          </w:p>
        </w:tc>
      </w:tr>
      <w:tr>
        <w:tc>
          <w:tcPr>
            <w:tcW w:type="dxa" w:w="22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参谋定位</w:t>
            </w:r>
          </w:p>
        </w:tc>
        <w:tc>
          <w:tcPr>
            <w:tcW w:type="dxa" w:w="71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智能体只出预测与建议、不自动执行交易的产品立场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MILP</w:t>
            </w:r>
          </w:p>
        </w:tc>
        <w:tc>
          <w:tcPr>
            <w:tcW w:type="dxa" w:w="7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混合整数线性规划，用于在约束下求解最优资金调度（见系统设计文档）</w:t>
            </w:r>
          </w:p>
        </w:tc>
      </w:tr>
      <w:tr>
        <w:tc>
          <w:tcPr>
            <w:tcW w:type="dxa" w:w="220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what-if</w:t>
            </w:r>
          </w:p>
        </w:tc>
        <w:tc>
          <w:tcPr>
            <w:tcW w:type="dxa" w:w="7160"/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color w:val="000000"/>
              </w:rPr>
              <w:t xml:space="preserve">修改假设后即时重算并对比方案的情景演练能力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12"/>
      </w:pPr>
      <w:r>
        <w:rPr>
          <w:i/>
          <w:iCs/>
          <w:color w:val="595959"/>
          <w:sz w:val="18"/>
          <w:szCs w:val="18"/>
        </w:rPr>
        <w:t xml:space="preserve">— 本文档为需求研讨稿，后续随设计深入持续迭代。配套《系统设计指导说明书》提供面向工程实现的细化设计。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 / 共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稳盈 · 资金预测与流动性管理策略智能体 · 产品需求说明书</w:t>
    </w:r>
    <w:r>
      <w:rPr>
        <w:color w:val="595959"/>
        <w:sz w:val="16"/>
        <w:szCs w:val="16"/>
      </w:rPr>
      <w:t xml:space="preserve">	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稳盈 / Poise · 资金预测与流动性管理策略智能体 · 产品需求说明书</dc:title>
  <dc:creator>资深财资产品团队</dc:creator>
  <cp:lastModifiedBy>Un-named</cp:lastModifiedBy>
  <cp:revision>1</cp:revision>
  <dcterms:created xsi:type="dcterms:W3CDTF">2026-05-29T02:46:13.539Z</dcterms:created>
  <dcterms:modified xsi:type="dcterms:W3CDTF">2026-05-29T02:46:13.552Z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