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水泥烧成系统电除尘器的协同优化控制"/>
    <w:p>
      <w:pPr>
        <w:pStyle w:val="Heading1"/>
        <w:spacing w:before="360" w:after="240"/>
        <w:ind w:firstLine="0"/>
        <w:jc w:val="center"/>
      </w:pPr>
      <w:r>
        <w:rPr>
          <w:rFonts w:hint="eastAsia" w:ascii="Arial" w:hAnsi="Arial" w:eastAsia="Noto Sans CJK SC" w:cs="Arial"/>
          <w:b/>
          <w:color w:val="000000"/>
          <w:sz w:val="44"/>
        </w:rPr>
        <w:t xml:space="preserve">水泥烧成系统电除尘器的协同优化控制</w:t>
      </w:r>
    </w:p>
    <w:bookmarkStart w:id="9" w:name="摘要"/>
    <w:p>
      <w:pPr>
        <w:pStyle w:val="Heading2"/>
        <w:ind w:firstLine="0"/>
        <w:jc w:val="center"/>
      </w:pPr>
      <w:r>
        <w:rPr>
          <w:rFonts w:hint="eastAsia" w:ascii="Arial" w:hAnsi="Arial" w:eastAsia="Noto Sans CJK SC" w:cs="Arial"/>
          <w:b/>
          <w:color w:val="000000"/>
          <w:sz w:val="30"/>
        </w:rPr>
        <w:t xml:space="preserve">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针对水泥烧成系统四电场电除尘器的节能与超低排放协同控制问题，本文审计7天、10080条分钟级记录。出口浓度有效值全部位于48.74～50.00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mg/Nm³，且未覆盖10或5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mg/Nm³目标区间，故附件只能支持工况和总功率辨识，不能直接识别目标附近的控制—排放响应。本文构建</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“工况聚类—数据驱动功率—工程灰箱排放—历史支持域优化”</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框架，以滚动验证选择二次岭功率模型，以Deutsch–Anderson关系、积灰损失和振打再飞扬代理构造排放情景，并采用5个随机种子和局部细化搜索可行解。功率模型验证集</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R²为0.9837、RMSE为7.12</w:t>
      </w:r>
      <w:r>
        <w:rPr>
          <w:rFonts w:ascii="Times New Roman" w:hAnsi="Times New Roman" w:eastAsia="Noto Serif CJK SC" w:cs="Times New Roman"/>
          <w:b/>
          <w:bCs/>
          <w:color w:val="000000"/>
          <w:sz w:val="24"/>
        </w:rPr>
        <w:t xml:space="preserve"> kW</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，回顾性测试R²为0.9571。在出口记录按0.1缩放、采用中心灰箱参数且控制量位于历史支持域的条件下，10和5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mg/Nm³对应的工况加权功率分别为1609.4和1829.8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条件式功率增幅约13.7%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。405组灰箱参数组合情景均可行，功率增幅为</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11.37%～14.31%</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；场权重消融后，前两电场承担</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70.8%～73.7%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的正向电压增量。所有排放数值均为条件式推演，不作为附件直接识别的实证结论。</w:t>
      </w:r>
    </w:p>
    <w:p>
      <w:pPr>
        <w:pStyle w:val="BodyText"/>
        <w:spacing w:line="360" w:lineRule="auto" w:before="160"/>
        <w:ind w:firstLine="0"/>
        <w:jc w:val="both"/>
      </w:pPr>
      <w:r>
        <w:rPr>
          <w:rFonts w:hint="eastAsia" w:ascii="Times New Roman" w:hAnsi="Times New Roman" w:eastAsia="Noto Serif CJK SC" w:cs="Times New Roman"/>
          <w:b/>
          <w:bCs/>
          <w:color w:val="000000"/>
          <w:sz w:val="24"/>
        </w:rPr>
        <w:t xml:space="preserve">关键词：</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电除尘器；工况聚类；岭回归；灰箱模型；振打再飞扬；约束优化</w:t>
      </w:r>
    </w:p>
    <w:bookmarkEnd w:id="9"/>
    <w:bookmarkStart w:id="12" w:name="X6b2eab3cf74b5c51c4817dcc76ac300b4411e40"/>
    <w:p>
      <w:pPr>
        <w:pStyle w:val="Heading2"/>
        <w:pageBreakBefore/>
        <w:ind w:firstLine="0"/>
        <w:jc w:val="center"/>
      </w:pPr>
      <w:r>
        <w:rPr>
          <w:rFonts w:ascii="Arial" w:hAnsi="Arial" w:eastAsia="Noto Sans CJK SC" w:cs="Arial"/>
          <w:b/>
          <w:color w:val="000000"/>
          <w:sz w:val="30"/>
        </w:rPr>
        <w:t xml:space="preserve">1 </w:t>
      </w:r>
      <w:r>
        <w:rPr>
          <w:rFonts w:hint="eastAsia" w:ascii="Arial" w:hAnsi="Arial" w:eastAsia="Noto Sans CJK SC" w:cs="Arial"/>
          <w:b/>
          <w:color w:val="000000"/>
          <w:sz w:val="30"/>
        </w:rPr>
        <w:t xml:space="preserve">问题重述与分析</w:t>
      </w:r>
    </w:p>
    <w:bookmarkStart w:id="10" w:name="X1cde05ecbbaff612d6ea84ac2241d7c992eb1f7"/>
    <w:p>
      <w:pPr>
        <w:pStyle w:val="Heading3"/>
        <w:ind w:firstLine="0"/>
        <w:jc w:val="left"/>
      </w:pPr>
      <w:r>
        <w:rPr>
          <w:rFonts w:ascii="Arial" w:hAnsi="Arial" w:eastAsia="Noto Sans CJK SC" w:cs="Arial"/>
          <w:b/>
          <w:color w:val="000000"/>
          <w:sz w:val="28"/>
        </w:rPr>
        <w:t xml:space="preserve">1.1 </w:t>
      </w:r>
      <w:r>
        <w:rPr>
          <w:rFonts w:hint="eastAsia" w:ascii="Arial" w:hAnsi="Arial" w:eastAsia="Noto Sans CJK SC" w:cs="Arial"/>
          <w:b/>
          <w:color w:val="000000"/>
          <w:sz w:val="28"/>
        </w:rPr>
        <w:t xml:space="preserve">问题背景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除尘器通过高压电场使粉尘荷电并向收尘极迁移。提高电场电压通常能够增强荷电与迁移，但会提高运行功率并受到火花、绝缘和联锁条件限制；振打过于频繁会增加再飞扬次数，周期过长又可能导致积灰加重和单次脱落量增大。水泥工业颗粒物排放受到国家标准约束[1]，题目进一步给出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mg/Nm³两个控制目标，要求同时考虑排放、总功率和振打峰值。</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题目包含四项相互依赖的任务：第一，解释入口温度、入口浓度、烟气流量、四电场电压和振打周期与出口浓度之间的关系，并分析振打峰值；第二，划分典型工况，在10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mg/Nm³约束下寻找最低功率控制参数；第三，选取差异显著的工况解释控制优先级；第四，将约束收紧至5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mg/Nm³并估计功率代价。后面三问都以第一问的排放响应为基础，因此必须先判断附件能否识别该响应。</w:t>
      </w:r>
    </w:p>
    <w:bookmarkEnd w:id="10"/>
    <w:bookmarkStart w:id="11" w:name="Xaf1d85ba97c34e11a7073c331c2b92339040573"/>
    <w:p>
      <w:pPr>
        <w:pStyle w:val="Heading3"/>
        <w:ind w:firstLine="0"/>
        <w:jc w:val="left"/>
      </w:pPr>
      <w:r>
        <w:rPr>
          <w:rFonts w:ascii="Arial" w:hAnsi="Arial" w:eastAsia="Noto Sans CJK SC" w:cs="Arial"/>
          <w:b/>
          <w:color w:val="000000"/>
          <w:sz w:val="28"/>
        </w:rPr>
        <w:t xml:space="preserve">1.2 </w:t>
      </w:r>
      <w:r>
        <w:rPr>
          <w:rFonts w:hint="eastAsia" w:ascii="Arial" w:hAnsi="Arial" w:eastAsia="Noto Sans CJK SC" w:cs="Arial"/>
          <w:b/>
          <w:color w:val="000000"/>
          <w:sz w:val="28"/>
        </w:rPr>
        <w:t xml:space="preserve">总体思路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若直接把出口浓度作为监督学习目标，模型可能只是在复现传感器封顶值，而不是学习除尘过程。本文采用</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“先识别、后优化”</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的路线：</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审计时间连续性、缺失、量纲和出口浓度支持域；</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仅利用入口温度、入口浓度和流量划分工况，避免用结果变量定义工况；</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对可由数据验证的总功率建立岭回归模型；</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对不可由附件辨识的排放层引入明确标注的工程情景先验；</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在历史支持域内搜索控制量，并通过收敛性与先验敏感性评价结果。</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该路线的核心不是把假设包装成数据结论，而是把</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b/>
          <w:bCs/>
          <w:color w:val="000000"/>
          <w:sz w:val="24"/>
        </w:rPr>
        <w:t xml:space="preserve">“实测证据”与“条件式推演”分层</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，使数值答案能够被复算、被质疑，也能够在获得新数据后替换。</w:t>
      </w:r>
    </w:p>
    <w:bookmarkEnd w:id="11"/>
    <w:bookmarkEnd w:id="12"/>
    <w:bookmarkStart w:id="22" w:name="X85ec9f36f07bc7d8edf1d617c91c6c25d889271"/>
    <w:p>
      <w:pPr>
        <w:pStyle w:val="Heading2"/>
        <w:ind w:firstLine="0"/>
        <w:jc w:val="center"/>
      </w:pPr>
      <w:r>
        <w:rPr>
          <w:rFonts w:ascii="Arial" w:hAnsi="Arial" w:eastAsia="Noto Sans CJK SC" w:cs="Arial"/>
          <w:b/>
          <w:color w:val="000000"/>
          <w:sz w:val="30"/>
        </w:rPr>
        <w:t xml:space="preserve">2 </w:t>
      </w:r>
      <w:r>
        <w:rPr>
          <w:rFonts w:hint="eastAsia" w:ascii="Arial" w:hAnsi="Arial" w:eastAsia="Noto Sans CJK SC" w:cs="Arial"/>
          <w:b/>
          <w:color w:val="000000"/>
          <w:sz w:val="30"/>
        </w:rPr>
        <w:t xml:space="preserve">数据预处理与可识别性门禁</w:t>
      </w:r>
    </w:p>
    <w:bookmarkStart w:id="16" w:name="Xed42ee3cf3893d54256033666e5c0d32297f87b"/>
    <w:p>
      <w:pPr>
        <w:pStyle w:val="Heading3"/>
        <w:ind w:firstLine="0"/>
        <w:jc w:val="left"/>
      </w:pPr>
      <w:r>
        <w:rPr>
          <w:rFonts w:ascii="Arial" w:hAnsi="Arial" w:eastAsia="Noto Sans CJK SC" w:cs="Arial"/>
          <w:b/>
          <w:color w:val="000000"/>
          <w:sz w:val="28"/>
        </w:rPr>
        <w:t xml:space="preserve">2.1 </w:t>
      </w:r>
      <w:r>
        <w:rPr>
          <w:rFonts w:hint="eastAsia" w:ascii="Arial" w:hAnsi="Arial" w:eastAsia="Noto Sans CJK SC" w:cs="Arial"/>
          <w:b/>
          <w:color w:val="000000"/>
          <w:sz w:val="28"/>
        </w:rPr>
        <w:t xml:space="preserve">数据完整性与派生变量</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附件覆盖2024年5月1日0时至5月7日23时59分，共10080条记录，采样间隔为1</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min；时间戳无重复、无缺口。原始字段包括入口温度</w:t>
      </w:r>
      <m:oMath>
        <m:sSub>
          <m:e>
            <m:r>
              <m:t>H</m:t>
            </m:r>
          </m:e>
          <m:sub>
            <m:r>
              <m:t>t</m:t>
            </m:r>
          </m:sub>
        </m:sSub>
      </m:oMath>
      <w:r>
        <w:rPr>
          <w:rFonts w:hint="eastAsia" w:ascii="Times New Roman" w:hAnsi="Times New Roman" w:eastAsia="Noto Serif CJK SC" w:cs="Times New Roman"/>
          <w:color w:val="000000"/>
          <w:sz w:val="24"/>
        </w:rPr>
        <w:t xml:space="preserve">、入口浓度</w:t>
      </w:r>
      <m:oMath>
        <m:sSub>
          <m:e>
            <m:r>
              <m:t>C</m:t>
            </m:r>
          </m:e>
          <m:sub>
            <m:r>
              <m:t>i</m:t>
            </m:r>
            <m:r>
              <m:t>n</m:t>
            </m:r>
            <m:r>
              <m:rPr>
                <m:sty m:val="p"/>
              </m:rPr>
              <m:t>,</m:t>
            </m:r>
            <m:r>
              <m:t>t</m:t>
            </m:r>
          </m:sub>
        </m:sSub>
      </m:oMath>
      <w:r>
        <w:rPr>
          <w:rFonts w:hint="eastAsia" w:ascii="Times New Roman" w:hAnsi="Times New Roman" w:eastAsia="Noto Serif CJK SC" w:cs="Times New Roman"/>
          <w:color w:val="000000"/>
          <w:sz w:val="24"/>
        </w:rPr>
        <w:t xml:space="preserve">、烟气流量</w:t>
      </w:r>
      <m:oMath>
        <m:sSub>
          <m:e>
            <m:r>
              <m:t>Q</m:t>
            </m:r>
          </m:e>
          <m:sub>
            <m:r>
              <m:t>t</m:t>
            </m:r>
          </m:sub>
        </m:sSub>
      </m:oMath>
      <w:r>
        <w:rPr>
          <w:rFonts w:hint="eastAsia" w:ascii="Times New Roman" w:hAnsi="Times New Roman" w:eastAsia="Noto Serif CJK SC" w:cs="Times New Roman"/>
          <w:color w:val="000000"/>
          <w:sz w:val="24"/>
        </w:rPr>
        <w:t xml:space="preserve">、四电场电压</w:t>
      </w:r>
      <m:oMath>
        <m:sSub>
          <m:e>
            <m:r>
              <m:t>U</m:t>
            </m:r>
          </m:e>
          <m:sub>
            <m:r>
              <m:t>i</m:t>
            </m:r>
            <m:r>
              <m:rPr>
                <m:sty m:val="p"/>
              </m:rPr>
              <m:t>,</m:t>
            </m:r>
            <m:r>
              <m:t>t</m:t>
            </m:r>
          </m:sub>
        </m:sSub>
      </m:oMath>
      <w:r>
        <w:rPr>
          <w:rFonts w:hint="eastAsia" w:ascii="Times New Roman" w:hAnsi="Times New Roman" w:eastAsia="Noto Serif CJK SC" w:cs="Times New Roman"/>
          <w:color w:val="000000"/>
          <w:sz w:val="24"/>
        </w:rPr>
        <w:t xml:space="preserve">、四电场振打周期</w:t>
      </w:r>
      <m:oMath>
        <m:sSub>
          <m:e>
            <m:r>
              <m:t>T</m:t>
            </m:r>
          </m:e>
          <m:sub>
            <m:r>
              <m:t>i</m:t>
            </m:r>
            <m:r>
              <m:rPr>
                <m:sty m:val="p"/>
              </m:rPr>
              <m:t>,</m:t>
            </m:r>
            <m:r>
              <m:t>t</m:t>
            </m:r>
          </m:sub>
        </m:sSub>
      </m:oMath>
      <w:r>
        <w:rPr>
          <w:rFonts w:hint="eastAsia" w:ascii="Times New Roman" w:hAnsi="Times New Roman" w:eastAsia="Noto Serif CJK SC" w:cs="Times New Roman"/>
          <w:color w:val="000000"/>
          <w:sz w:val="24"/>
        </w:rPr>
        <w:t xml:space="preserve">、出口浓度</w:t>
      </w:r>
      <m:oMath>
        <m:sSub>
          <m:e>
            <m:r>
              <m:t>C</m:t>
            </m:r>
          </m:e>
          <m:sub>
            <m:r>
              <m:t>o</m:t>
            </m:r>
            <m:r>
              <m:t>u</m:t>
            </m:r>
            <m:r>
              <m:t>t</m:t>
            </m:r>
            <m:r>
              <m:rPr>
                <m:sty m:val="p"/>
              </m:rPr>
              <m:t>,</m:t>
            </m:r>
            <m:r>
              <m:t>t</m:t>
            </m:r>
          </m:sub>
        </m:sSub>
      </m:oMath>
      <w:r>
        <w:rPr>
          <w:rFonts w:hint="eastAsia" w:ascii="Times New Roman" w:hAnsi="Times New Roman" w:eastAsia="Noto Serif CJK SC" w:cs="Times New Roman"/>
          <w:color w:val="000000"/>
          <w:sz w:val="24"/>
        </w:rPr>
        <w:t xml:space="preserve">和总功率</w:t>
      </w:r>
      <m:oMath>
        <m:sSub>
          <m:e>
            <m:r>
              <m:t>P</m:t>
            </m:r>
          </m:e>
          <m:sub>
            <m:r>
              <m:t>t</m:t>
            </m:r>
          </m:sub>
        </m:sSub>
      </m:oMath>
      <w:r>
        <w:rPr>
          <w:rFonts w:hint="eastAsia" w:ascii="Times New Roman" w:hAnsi="Times New Roman" w:eastAsia="Noto Serif CJK SC" w:cs="Times New Roman"/>
          <w:color w:val="000000"/>
          <w:sz w:val="24"/>
        </w:rPr>
        <w:t xml:space="preserve">。出口浓度缺失50条，缺失比例0.50%。</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其中</w:t>
      </w:r>
      <m:oMath>
        <m:sSub>
          <m:e>
            <m:r>
              <m:t>C</m:t>
            </m:r>
          </m:e>
          <m:sub>
            <m:r>
              <m:t>i</m:t>
            </m:r>
            <m:r>
              <m:t>n</m:t>
            </m:r>
          </m:sub>
        </m:sSub>
      </m:oMath>
      <w:r>
        <w:rPr>
          <w:rFonts w:hint="eastAsia" w:ascii="Times New Roman" w:hAnsi="Times New Roman" w:eastAsia="Noto Serif CJK SC" w:cs="Times New Roman"/>
          <w:color w:val="000000"/>
          <w:sz w:val="24"/>
        </w:rPr>
        <w:t xml:space="preserve">单位为g/Nm³，</w:t>
      </w:r>
      <m:oMath>
        <m:r>
          <m:t>Q</m:t>
        </m:r>
      </m:oMath>
      <w:r>
        <w:rPr>
          <w:rFonts w:hint="eastAsia" w:ascii="Times New Roman" w:hAnsi="Times New Roman" w:eastAsia="Noto Serif CJK SC" w:cs="Times New Roman"/>
          <w:color w:val="000000"/>
          <w:sz w:val="24"/>
        </w:rPr>
        <w:t xml:space="preserve">单位为Nm³/h，故</w:t>
      </w:r>
      <m:oMath>
        <m:r>
          <m:t>L</m:t>
        </m:r>
      </m:oMath>
      <w:r>
        <w:rPr>
          <w:rFonts w:hint="eastAsia" w:ascii="Times New Roman" w:hAnsi="Times New Roman" w:eastAsia="Noto Serif CJK SC" w:cs="Times New Roman"/>
          <w:color w:val="000000"/>
          <w:sz w:val="24"/>
        </w:rPr>
        <w:t xml:space="preserve">单位为kg/h。另构造电压平方和、前后级电压梯度、振打频率</w:t>
      </w:r>
      <m:oMath>
        <m:r>
          <m:t>60</m:t>
        </m:r>
        <m:r>
          <m:rPr>
            <m:sty m:val="p"/>
          </m:rPr>
          <m:t>/</m:t>
        </m:r>
        <m:sSub>
          <m:e>
            <m:r>
              <m:t>T</m:t>
            </m:r>
          </m:e>
          <m:sub>
            <m:r>
              <m:t>i</m:t>
            </m:r>
          </m:sub>
        </m:sSub>
      </m:oMath>
      <w:r>
        <w:rPr>
          <w:rFonts w:hint="eastAsia" w:ascii="Times New Roman" w:hAnsi="Times New Roman" w:eastAsia="Noto Serif CJK SC" w:cs="Times New Roman"/>
          <w:color w:val="000000"/>
          <w:sz w:val="24"/>
        </w:rPr>
        <w:t xml:space="preserve">以及每周期积尘代理</w:t>
      </w:r>
      <m:oMath>
        <m:sSub>
          <m:e>
            <m:r>
              <m:t>L</m:t>
            </m:r>
          </m:e>
          <m:sub>
            <m:r>
              <m:t>t</m:t>
            </m:r>
          </m:sub>
        </m:sSub>
        <m:sSub>
          <m:e>
            <m:r>
              <m:t>T</m:t>
            </m:r>
          </m:e>
          <m:sub>
            <m:r>
              <m:t>i</m:t>
            </m:r>
          </m:sub>
        </m:sSub>
        <m:r>
          <m:rPr>
            <m:sty m:val="p"/>
          </m:rPr>
          <m:t>/</m:t>
        </m:r>
        <m:r>
          <m:t>3600</m:t>
        </m:r>
      </m:oMath>
      <w:r>
        <w:rPr>
          <w:rFonts w:hint="eastAsia" w:ascii="Times New Roman" w:hAnsi="Times New Roman" w:eastAsia="Noto Serif CJK SC" w:cs="Times New Roman"/>
          <w:color w:val="000000"/>
          <w:sz w:val="24"/>
        </w:rPr>
        <w:t xml:space="preserve">。所有聚类与回归参数仅在训练期估计，验证期和测试期不参与拟合。</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出口浓度分布及截顶情况如图1所示。有效记录全部位于48.74～50.00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mg/Nm³，5491条记录恰好等于50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mg/Nm³，数据没有覆盖题设控制目标区间。</w:t>
      </w:r>
    </w:p>
    <w:p>
      <w:pPr>
        <w:pStyle w:val="BodyText"/>
      </w:pPr>
      <w:r>
        <w:drawing>
          <wp:inline>
            <wp:extent cx="5334000" cy="203428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3428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出口浓度数据诊断</w:t>
      </w:r>
    </w:p>
    <w:bookmarkEnd w:id="16"/>
    <w:bookmarkStart w:id="20" w:name="X0b22850f48dab6d6e25d8b7966900dac2bcbfbf"/>
    <w:p>
      <w:pPr>
        <w:pStyle w:val="Heading3"/>
        <w:ind w:firstLine="0"/>
        <w:jc w:val="left"/>
      </w:pPr>
      <w:r>
        <w:rPr>
          <w:rFonts w:ascii="Arial" w:hAnsi="Arial" w:eastAsia="Noto Sans CJK SC" w:cs="Arial"/>
          <w:b/>
          <w:color w:val="000000"/>
          <w:sz w:val="28"/>
        </w:rPr>
        <w:t xml:space="preserve">2.2 </w:t>
      </w:r>
      <w:r>
        <w:rPr>
          <w:rFonts w:hint="eastAsia" w:ascii="Arial" w:hAnsi="Arial" w:eastAsia="Noto Sans CJK SC" w:cs="Arial"/>
          <w:b/>
          <w:color w:val="000000"/>
          <w:sz w:val="28"/>
        </w:rPr>
        <w:t xml:space="preserve">出口浓度可识别性审计</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有效出口浓度共10030条，范围仅为48.74～50.00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mg/Nm³，中位数等于50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mg/Nm³，其中5491条恰好位于50。更关键的是，没有任何样本不超过10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mg/Nm³。同期Pearson和Spearman相关系数以及1、5、15、30、60、120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ascii="Times New Roman" w:hAnsi="Times New Roman" w:eastAsia="Noto Serif CJK SC" w:cs="Times New Roman"/>
          <w:color w:val="000000"/>
          <w:sz w:val="24"/>
        </w:rPr>
        <w:t xml:space="preserve">，记录值回归验证</w:t>
      </w:r>
      <m:oMath>
        <m:sSup>
          <m:e>
            <m:r>
              <m:t>R</m:t>
            </m:r>
          </m:e>
          <m:sup>
            <m:r>
              <m:t>2</m:t>
            </m:r>
          </m:sup>
        </m:sSup>
        <m:r>
          <m:rPr>
            <m:sty m:val="p"/>
          </m:rPr>
          <m:t>=</m:t>
        </m:r>
        <m:r>
          <m:rPr>
            <m:sty m:val="p"/>
          </m:rPr>
          <m:t>−</m:t>
        </m:r>
        <m:r>
          <m:t>0.0219</m:t>
        </m:r>
      </m:oMath>
      <w:r>
        <w:rPr>
          <w:rFonts w:hint="eastAsia" w:ascii="Times New Roman" w:hAnsi="Times New Roman" w:eastAsia="Noto Serif CJK SC" w:cs="Times New Roman"/>
          <w:color w:val="000000"/>
          <w:sz w:val="24"/>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首24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h过程量的变化如图2所示。入口变量和功率具有连续变化和工况迁移特征，而出口浓度记录几乎被压缩在单点附近，进一步说明两类数据的信息量不对称。</w:t>
      </w:r>
    </w:p>
    <w:p>
      <w:pPr>
        <w:pStyle w:val="BodyText"/>
      </w:pPr>
      <w:r>
        <w:drawing>
          <wp:inline>
            <wp:extent cx="5334000" cy="3537879"/>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37879"/>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首24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h过程量时序</w:t>
      </w:r>
    </w:p>
    <w:bookmarkEnd w:id="20"/>
    <w:bookmarkStart w:id="21" w:name="X48e6e18ffc9b60ab3d0b2dfda208334e8360f45"/>
    <w:p>
      <w:pPr>
        <w:pStyle w:val="Heading3"/>
        <w:ind w:firstLine="0"/>
        <w:jc w:val="left"/>
      </w:pPr>
      <w:r>
        <w:rPr>
          <w:rFonts w:ascii="Arial" w:hAnsi="Arial" w:eastAsia="Noto Sans CJK SC" w:cs="Arial"/>
          <w:b/>
          <w:color w:val="000000"/>
          <w:sz w:val="28"/>
        </w:rPr>
        <w:t xml:space="preserve">2.3 </w:t>
      </w:r>
      <w:r>
        <w:rPr>
          <w:rFonts w:hint="eastAsia" w:ascii="Arial" w:hAnsi="Arial" w:eastAsia="Noto Sans CJK SC" w:cs="Arial"/>
          <w:b/>
          <w:color w:val="000000"/>
          <w:sz w:val="28"/>
        </w:rPr>
        <w:t xml:space="preserve">小数点情景及边界</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为继续完成题目的数值部分，本文接受如下竞赛情景：真实出口浓度可能为记录值的0.1倍，即历史锚点约为4.874～5.000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mg/Nm³。该假设能够解释“50附近封顶”，但附件本身无法证明其正确。即使接受该假设，10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mg/Nm³目标也在历史样本中始终宽松满足，而5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mg/Nm³附近仍有大量截顶观测，因此10到5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mg/Nm³的反事实功率增幅仍不能从数据直接回归，只能由灰箱先验推演。后文所有排放值均以“情景值”表述。</w:t>
      </w:r>
    </w:p>
    <w:bookmarkEnd w:id="21"/>
    <w:bookmarkEnd w:id="22"/>
    <w:bookmarkStart w:id="28" w:name="X2095a9befea179e4560773317b032ceca834c95"/>
    <w:p>
      <w:pPr>
        <w:pStyle w:val="Heading2"/>
        <w:ind w:firstLine="0"/>
        <w:jc w:val="center"/>
      </w:pPr>
      <w:r>
        <w:rPr>
          <w:rFonts w:ascii="Arial" w:hAnsi="Arial" w:eastAsia="Noto Sans CJK SC" w:cs="Arial"/>
          <w:b/>
          <w:color w:val="000000"/>
          <w:sz w:val="30"/>
        </w:rPr>
        <w:t xml:space="preserve">3 </w:t>
      </w:r>
      <w:r>
        <w:rPr>
          <w:rFonts w:hint="eastAsia" w:ascii="Arial" w:hAnsi="Arial" w:eastAsia="Noto Sans CJK SC" w:cs="Arial"/>
          <w:b/>
          <w:color w:val="000000"/>
          <w:sz w:val="30"/>
        </w:rPr>
        <w:t xml:space="preserve">模型假设、符号与总体框架</w:t>
      </w:r>
    </w:p>
    <w:bookmarkStart w:id="23" w:name="X34f266e222c74d7419b137365ded2cdf5a44453"/>
    <w:p>
      <w:pPr>
        <w:pStyle w:val="Heading3"/>
        <w:ind w:firstLine="0"/>
        <w:jc w:val="left"/>
      </w:pPr>
      <w:r>
        <w:rPr>
          <w:rFonts w:ascii="Arial" w:hAnsi="Arial" w:eastAsia="Noto Sans CJK SC" w:cs="Arial"/>
          <w:b/>
          <w:color w:val="000000"/>
          <w:sz w:val="28"/>
        </w:rPr>
        <w:t xml:space="preserve">3.1 </w:t>
      </w:r>
      <w:r>
        <w:rPr>
          <w:rFonts w:hint="eastAsia" w:ascii="Arial" w:hAnsi="Arial" w:eastAsia="Noto Sans CJK SC" w:cs="Arial"/>
          <w:b/>
          <w:color w:val="000000"/>
          <w:sz w:val="28"/>
        </w:rPr>
        <w:t xml:space="preserve">模型假设</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模型假设及证据状态</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类别</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假设</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证据状态</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7天记录按分钟连续，除50条出口浓度缺失外不填造目标值</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附件可核验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功率关系按时间滚动验证，不随机打乱</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可由验证结果检查</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中心情景将出口记录整体乘0.10；结构扫描取0.08～0.12</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附件不可确认</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电场贡献比较等权、弱前级与中心前级三种形状</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振打峰值指数取1.10、1.35、1.60，相位叠加尺度取0.65、0.80、1.00</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工程结构情景</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优化边界</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控制量位于工况训练期P05～P95，且Mahalanobis距离不超过历史经验97.5%分位数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历史支持域，不等同安全边界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运行约束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前级电压高于后级至少3</w:t>
            </w:r>
            <w:r>
              <w:rPr>
                <w:rFonts w:ascii="Times New Roman" w:hAnsi="Times New Roman" w:eastAsia="Noto Serif CJK SC" w:cs="Times New Roman"/>
                <w:b w:val="0"/>
                <w:color w:val="000000"/>
                <w:sz w:val="19"/>
              </w:rPr>
              <w:t xml:space="preserve"> </w:t>
            </w:r>
            <w:r>
              <w:rPr>
                <w:rFonts w:hint="eastAsia" w:ascii="Times New Roman" w:hAnsi="Times New Roman" w:eastAsia="Noto Serif CJK SC" w:cs="Times New Roman"/>
                <w:b w:val="0"/>
                <w:color w:val="000000"/>
                <w:sz w:val="19"/>
              </w:rPr>
              <w:t xml:space="preserve">kV，后级振打周期长于前级至少100</w:t>
            </w:r>
            <w:r>
              <w:rPr>
                <w:rFonts w:ascii="Times New Roman" w:hAnsi="Times New Roman" w:eastAsia="Noto Serif CJK SC" w:cs="Times New Roman"/>
                <w:b w:val="0"/>
                <w:color w:val="000000"/>
                <w:sz w:val="19"/>
              </w:rPr>
              <w:t xml:space="preserve"> s</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工程排序约束</w:t>
            </w:r>
          </w:p>
        </w:tc>
      </w:tr>
    </w:tbl>
    <w:bookmarkEnd w:id="23"/>
    <w:bookmarkStart w:id="27" w:name="X7dbd1758ebe5ae727bb60f6e70e03c101f937e1"/>
    <w:p>
      <w:pPr>
        <w:pStyle w:val="Heading3"/>
        <w:ind w:firstLine="0"/>
        <w:jc w:val="left"/>
      </w:pPr>
      <w:r>
        <w:rPr>
          <w:rFonts w:ascii="Arial" w:hAnsi="Arial" w:eastAsia="Noto Sans CJK SC" w:cs="Arial"/>
          <w:b/>
          <w:color w:val="000000"/>
          <w:sz w:val="28"/>
        </w:rPr>
        <w:t xml:space="preserve">3.2 </w:t>
      </w:r>
      <w:r>
        <w:rPr>
          <w:rFonts w:hint="eastAsia" w:ascii="Arial" w:hAnsi="Arial" w:eastAsia="Noto Sans CJK SC" w:cs="Arial"/>
          <w:b/>
          <w:color w:val="000000"/>
          <w:sz w:val="28"/>
        </w:rPr>
        <w:t xml:space="preserve">主要符号</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主要符号与单位</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符号</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单位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U</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kV</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T</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电场振打周期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s</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C</m:t>
                  </m:r>
                </m:e>
                <m:sub>
                  <m:r>
                    <m:t>i</m:t>
                  </m:r>
                  <m:r>
                    <m:t>n</m:t>
                  </m:r>
                </m:sub>
              </m:sSub>
              <m:r>
                <m:rPr>
                  <m:sty m:val="p"/>
                </m:rPr>
                <m:t>,</m:t>
              </m:r>
              <m:sSub>
                <m:e>
                  <m:r>
                    <m:t>C</m:t>
                  </m:r>
                </m:e>
                <m:sub>
                  <m:r>
                    <m:t>o</m:t>
                  </m:r>
                  <m:r>
                    <m:t>u</m:t>
                  </m:r>
                  <m:r>
                    <m:t>t</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入口、出口粉尘浓度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g/Nm³、mg/Nm³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Q</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烟气流量</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Nm³/h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L</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粉尘质量负荷</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kg/h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P</m:t>
              </m:r>
              <m:r>
                <m:rPr>
                  <m:sty m:val="p"/>
                </m:rPr>
                <m:t>,</m:t>
              </m:r>
              <m:acc>
                <m:accPr>
                  <m:chr m:val="̂"/>
                </m:accPr>
                <m:e>
                  <m:r>
                    <m:t>P</m:t>
                  </m:r>
                </m:e>
              </m:acc>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实际、预测总功率</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kW</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K</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无量纲去除指数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B</m:t>
              </m:r>
              <m:r>
                <m:rPr>
                  <m:sty m:val="p"/>
                </m:rPr>
                <m:t>(</m:t>
              </m:r>
              <m:r>
                <m:t>T</m:t>
              </m:r>
              <m:r>
                <m:rPr>
                  <m:sty m:val="p"/>
                </m:rPr>
                <m:t>)</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振打引起的峰值增量代理</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四场振打相位叠加尺度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q</m:t>
                  </m:r>
                </m:e>
                <m:sub>
                  <m:r>
                    <m:t>k</m:t>
                  </m:r>
                  <m:r>
                    <m:rPr>
                      <m:sty m:val="p"/>
                    </m:rPr>
                    <m:t>,</m:t>
                  </m:r>
                  <m:r>
                    <m:t>0.975</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w:t>
            </w:r>
            <m:oMath>
              <m:r>
                <m:t>k</m:t>
              </m:r>
            </m:oMath>
            <w:r>
              <w:rPr>
                <w:rFonts w:hint="eastAsia" w:ascii="Times New Roman" w:hAnsi="Times New Roman" w:eastAsia="Noto Serif CJK SC" w:cs="Times New Roman"/>
                <w:b w:val="0"/>
                <w:color w:val="000000"/>
                <w:sz w:val="19"/>
              </w:rPr>
              <w:t xml:space="preserve">历史Mahalanobis距离平方的经验97.5%分位数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本文采用的数据驱动层与灰箱情景层协同框架如图3所示。工况和总功率由实测数据辨识，排放约束由显式先验建立，两者仅在支持域优化阶段合并。</w:t>
      </w:r>
    </w:p>
    <w:p>
      <w:pPr>
        <w:pStyle w:val="BodyText"/>
      </w:pPr>
      <w:r>
        <w:drawing>
          <wp:inline>
            <wp:extent cx="5334000" cy="216232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232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总体方法框架</w:t>
      </w:r>
    </w:p>
    <w:bookmarkEnd w:id="27"/>
    <w:bookmarkEnd w:id="28"/>
    <w:bookmarkStart w:id="35" w:name="Xe1c7014fa6500bc34499f3a81c81f68c94a023d"/>
    <w:p>
      <w:pPr>
        <w:pStyle w:val="Heading2"/>
        <w:ind w:firstLine="0"/>
        <w:jc w:val="center"/>
      </w:pPr>
      <w:r>
        <w:rPr>
          <w:rFonts w:ascii="Arial" w:hAnsi="Arial" w:eastAsia="Noto Sans CJK SC" w:cs="Arial"/>
          <w:b/>
          <w:color w:val="000000"/>
          <w:sz w:val="30"/>
        </w:rPr>
        <w:t xml:space="preserve">4 </w:t>
      </w:r>
      <w:r>
        <w:rPr>
          <w:rFonts w:hint="eastAsia" w:ascii="Arial" w:hAnsi="Arial" w:eastAsia="Noto Sans CJK SC" w:cs="Arial"/>
          <w:b/>
          <w:color w:val="000000"/>
          <w:sz w:val="30"/>
        </w:rPr>
        <w:t xml:space="preserve">问题一：影响关系与振打峰值</w:t>
      </w:r>
    </w:p>
    <w:bookmarkStart w:id="29" w:name="X985a8b759c6da6c115eeb86da11afcde098cd2e"/>
    <w:p>
      <w:pPr>
        <w:pStyle w:val="Heading3"/>
        <w:ind w:firstLine="0"/>
        <w:jc w:val="left"/>
      </w:pPr>
      <w:r>
        <w:rPr>
          <w:rFonts w:ascii="Arial" w:hAnsi="Arial" w:eastAsia="Noto Sans CJK SC" w:cs="Arial"/>
          <w:b/>
          <w:color w:val="000000"/>
          <w:sz w:val="28"/>
        </w:rPr>
        <w:t xml:space="preserve">4.1 </w:t>
      </w:r>
      <w:r>
        <w:rPr>
          <w:rFonts w:hint="eastAsia" w:ascii="Arial" w:hAnsi="Arial" w:eastAsia="Noto Sans CJK SC" w:cs="Arial"/>
          <w:b/>
          <w:color w:val="000000"/>
          <w:sz w:val="28"/>
        </w:rPr>
        <w:t xml:space="preserve">去除指数灰箱模型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对工况</w:t>
      </w:r>
      <m:oMath>
        <m:r>
          <m:t>k</m:t>
        </m:r>
      </m:oMath>
      <w:r>
        <w:rPr>
          <w:rFonts w:hint="eastAsia" w:ascii="Times New Roman" w:hAnsi="Times New Roman" w:eastAsia="Noto Serif CJK SC" w:cs="Times New Roman"/>
          <w:color w:val="000000"/>
          <w:sz w:val="24"/>
        </w:rPr>
        <w:t xml:space="preserve">，以历史中位电压</w:t>
      </w:r>
      <m:oMath>
        <m:sSubSup>
          <m:e>
            <m:r>
              <m:t>U</m:t>
            </m:r>
          </m:e>
          <m:sub>
            <m:r>
              <m:t>i</m:t>
            </m:r>
            <m:r>
              <m:rPr>
                <m:sty m:val="p"/>
              </m:rPr>
              <m:t>,</m:t>
            </m:r>
            <m:r>
              <m:t>k</m:t>
            </m:r>
          </m:sub>
          <m:sup>
            <m:r>
              <m:t>r</m:t>
            </m:r>
            <m:r>
              <m:t>e</m:t>
            </m:r>
            <m:r>
              <m:t>f</m:t>
            </m:r>
          </m:sup>
        </m:sSubSup>
      </m:oMath>
      <w:r>
        <w:rPr>
          <w:rFonts w:hint="eastAsia" w:ascii="Times New Roman" w:hAnsi="Times New Roman" w:eastAsia="Noto Serif CJK SC" w:cs="Times New Roman"/>
          <w:color w:val="000000"/>
          <w:sz w:val="24"/>
        </w:rPr>
        <w:t xml:space="preserve">和缩放后的出口浓度中位数</w:t>
      </w:r>
      <m:oMath>
        <m:sSub>
          <m:e>
            <m:r>
              <m:t>C</m:t>
            </m:r>
          </m:e>
          <m:sub>
            <m:r>
              <m:t>0</m:t>
            </m:r>
            <m:r>
              <m:rPr>
                <m:sty m:val="p"/>
              </m:rPr>
              <m:t>,</m:t>
            </m:r>
            <m:r>
              <m:t>k</m:t>
            </m:r>
          </m:sub>
        </m:sSub>
      </m:oMath>
      <w:r>
        <w:rPr>
          <w:rFonts w:hint="eastAsia" w:ascii="Times New Roman" w:hAnsi="Times New Roman" w:eastAsia="Noto Serif CJK SC" w:cs="Times New Roman"/>
          <w:color w:val="000000"/>
          <w:sz w:val="24"/>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spacing w:line="360" w:lineRule="auto"/>
        <w:ind w:firstLine="482"/>
        <w:jc w:val="both"/>
      </w:pPr>
      <m:oMath>
        <m:sSub>
          <m:e>
            <m:r>
              <m:t>G</m:t>
            </m:r>
          </m:e>
          <m:sub>
            <m:r>
              <m:t>k</m:t>
            </m:r>
          </m:sub>
        </m:sSub>
        <m:r>
          <m:rPr>
            <m:sty m:val="p"/>
          </m:rPr>
          <m:t>(</m:t>
        </m:r>
        <m:r>
          <m:t>T</m:t>
        </m:r>
        <m:r>
          <m:rPr>
            <m:sty m:val="p"/>
          </m:rPr>
          <m:t>)</m:t>
        </m:r>
      </m:oMath>
      <w:r>
        <w:rPr>
          <w:rFonts w:hint="eastAsia" w:ascii="Times New Roman" w:hAnsi="Times New Roman" w:eastAsia="Noto Serif CJK SC" w:cs="Times New Roman"/>
          <w:color w:val="000000"/>
          <w:sz w:val="24"/>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ascii="Times New Roman" w:hAnsi="Times New Roman" w:eastAsia="Noto Serif CJK SC" w:cs="Times New Roman"/>
          <w:color w:val="000000"/>
          <w:sz w:val="24"/>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灰箱排放模型参数来源与证据状态</w:t>
      </w:r>
    </w:p>
    <w:p>
      <w:pPr>
        <w:pStyle w:val="BlockText"/>
        <w:spacing w:line="360" w:lineRule="auto"/>
        <w:ind w:firstLine="482"/>
        <w:jc w:val="both"/>
      </w:pPr>
      <w:r>
        <w:rPr>
          <w:rFonts w:hint="eastAsia" w:ascii="Times New Roman" w:hAnsi="Times New Roman" w:eastAsia="Noto Serif CJK SC" w:cs="Times New Roman"/>
          <w:color w:val="000000"/>
          <w:sz w:val="24"/>
        </w:rPr>
        <w:t xml:space="preserve">本节全部排放系数均为工程先验，不是由附件出口浓度估计得到的参数。</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参数</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中心取值</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来源</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是否由附件识别</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η</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电压效应总体尺度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情景设定</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α</m:t>
                  </m:r>
                </m:e>
                <m:sub>
                  <m:r>
                    <m:t>i</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四场权重</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电场去除贡献</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β</m:t>
                  </m:r>
                </m:e>
                <m:sub>
                  <m:r>
                    <m:t>i</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四场损失系数</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周期偏离损失</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b</m:t>
                  </m:r>
                </m:e>
                <m:sub>
                  <m:r>
                    <m:t>0</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峰值尺度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γ</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周期—峰值指数</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相位叠加尺度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同相保守情景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Sup>
                <m:e>
                  <m:r>
                    <m:t>T</m:t>
                  </m:r>
                </m:e>
                <m:sub>
                  <m:r>
                    <m:t>i</m:t>
                  </m:r>
                </m:sub>
                <m:sup>
                  <m:r>
                    <m:rPr>
                      <m:sty m:val="p"/>
                    </m:rPr>
                    <m:t>*</m:t>
                  </m:r>
                </m:sup>
              </m:sSubSup>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由历史周期和负荷构造</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参考振打周期</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情景构造</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s</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0.08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安全裕度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加入安全裕度</w:t>
      </w:r>
      <m:oMath>
        <m:r>
          <m:t>s</m:t>
        </m:r>
      </m:oMath>
      <w:r>
        <w:rPr>
          <w:rFonts w:hint="eastAsia" w:ascii="Times New Roman" w:hAnsi="Times New Roman" w:eastAsia="Noto Serif CJK SC" w:cs="Times New Roman"/>
          <w:color w:val="000000"/>
          <w:sz w:val="24"/>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ind w:firstLine="0"/>
        <w:jc w:val="left"/>
      </w:pPr>
      <w:r>
        <w:rPr>
          <w:rFonts w:ascii="Arial" w:hAnsi="Arial" w:eastAsia="Noto Sans CJK SC" w:cs="Arial"/>
          <w:b/>
          <w:color w:val="000000"/>
          <w:sz w:val="28"/>
        </w:rPr>
        <w:t xml:space="preserve">4.2 </w:t>
      </w:r>
      <w:r>
        <w:rPr>
          <w:rFonts w:hint="eastAsia" w:ascii="Arial" w:hAnsi="Arial" w:eastAsia="Noto Sans CJK SC" w:cs="Arial"/>
          <w:b/>
          <w:color w:val="000000"/>
          <w:sz w:val="28"/>
        </w:rPr>
        <w:t xml:space="preserve">振打峰值代理</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附件只有振打周期设定，没有实际振打时刻、相位和秒级浓度，因此不能识别逐次峰值。为区分同相叠加上界与错相运行，本文引入相位尺度</w:t>
      </w:r>
      <m:oMath>
        <m:r>
          <m:t>ρ</m:t>
        </m:r>
      </m:oMath>
      <w:r>
        <w:rPr>
          <w:rFonts w:hint="eastAsia" w:ascii="Times New Roman" w:hAnsi="Times New Roman" w:eastAsia="Noto Serif CJK SC" w:cs="Times New Roman"/>
          <w:color w:val="000000"/>
          <w:sz w:val="24"/>
        </w:rPr>
        <w:t xml:space="preserve">和峰值指数</w:t>
      </w:r>
      <m:oMath>
        <m:r>
          <m:t>γ</m:t>
        </m:r>
      </m:oMath>
      <w:r>
        <w:rPr>
          <w:rFonts w:hint="eastAsia" w:ascii="Times New Roman" w:hAnsi="Times New Roman" w:eastAsia="Noto Serif CJK SC" w:cs="Times New Roman"/>
          <w:color w:val="000000"/>
          <w:sz w:val="24"/>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中心情景取</w:t>
      </w:r>
      <m:oMath>
        <m:r>
          <m:t>ρ</m:t>
        </m:r>
        <m:r>
          <m:rPr>
            <m:sty m:val="p"/>
          </m:rPr>
          <m:t>=</m:t>
        </m:r>
        <m:r>
          <m:t>1</m:t>
        </m:r>
      </m:oMath>
      <w:r>
        <w:rPr>
          <w:rFonts w:ascii="Times New Roman" w:hAnsi="Times New Roman" w:eastAsia="Noto Serif CJK SC" w:cs="Times New Roman"/>
          <w:color w:val="000000"/>
          <w:sz w:val="24"/>
        </w:rPr>
        <w:t xml:space="preserve">、</w:t>
      </w:r>
      <m:oMath>
        <m:r>
          <m:t>γ</m:t>
        </m:r>
        <m:r>
          <m:rPr>
            <m:sty m:val="p"/>
          </m:rPr>
          <m:t>=</m:t>
        </m:r>
        <m:r>
          <m:t>1.35</m:t>
        </m:r>
      </m:oMath>
      <w:r>
        <w:rPr>
          <w:rFonts w:hint="eastAsia" w:ascii="Times New Roman" w:hAnsi="Times New Roman" w:eastAsia="Noto Serif CJK SC" w:cs="Times New Roman"/>
          <w:color w:val="000000"/>
          <w:sz w:val="24"/>
        </w:rPr>
        <w:t xml:space="preserve">，相当于四场峰值同相叠加的保守上界；错相情景取</w:t>
      </w:r>
      <m:oMath>
        <m:r>
          <m:t>ρ</m:t>
        </m:r>
        <m:r>
          <m:rPr>
            <m:sty m:val="p"/>
          </m:rPr>
          <m:t>=</m:t>
        </m:r>
        <m:r>
          <m:t>0.65</m:t>
        </m:r>
      </m:oMath>
      <w:r>
        <w:rPr>
          <w:rFonts w:hint="eastAsia" w:ascii="Times New Roman" w:hAnsi="Times New Roman" w:eastAsia="Noto Serif CJK SC" w:cs="Times New Roman"/>
          <w:color w:val="000000"/>
          <w:sz w:val="24"/>
        </w:rPr>
        <w:t xml:space="preserve">或0.80。中心指数下，所有振打周期同步延长10%和20%时，单次峰值代理分别放大13.74%与27.91%。灰箱参数组合敏感性同时扫描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ascii="Times New Roman" w:hAnsi="Times New Roman" w:eastAsia="Noto Serif CJK SC" w:cs="Times New Roman"/>
          <w:color w:val="000000"/>
          <w:sz w:val="24"/>
        </w:rPr>
        <w:t xml:space="preserve">，避免把单一指数当作数据辨识结果。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振打周期与单次再飞扬峰值代理的关系如图4所示。周期延长会放大峰值代理，但该曲线仅表示工程情景，不是由附件中实际振打事件识别得到的因果关系。</w:t>
      </w:r>
    </w:p>
    <w:p>
      <w:pPr>
        <w:pStyle w:val="BodyText"/>
      </w:pPr>
      <w:r>
        <w:drawing>
          <wp:inline>
            <wp:extent cx="5334000" cy="3307361"/>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振打峰值情景机理</w:t>
      </w:r>
    </w:p>
    <w:bookmarkEnd w:id="33"/>
    <w:bookmarkStart w:id="34" w:name="Xbf4407e28929cd5a9107bf195c7c145f822622a"/>
    <w:p>
      <w:pPr>
        <w:pStyle w:val="Heading3"/>
        <w:ind w:firstLine="0"/>
        <w:jc w:val="left"/>
      </w:pPr>
      <w:r>
        <w:rPr>
          <w:rFonts w:ascii="Arial" w:hAnsi="Arial" w:eastAsia="Noto Sans CJK SC" w:cs="Arial"/>
          <w:b/>
          <w:color w:val="000000"/>
          <w:sz w:val="28"/>
        </w:rPr>
        <w:t xml:space="preserve">4.3 </w:t>
      </w:r>
      <w:r>
        <w:rPr>
          <w:rFonts w:hint="eastAsia" w:ascii="Arial" w:hAnsi="Arial" w:eastAsia="Noto Sans CJK SC" w:cs="Arial"/>
          <w:b/>
          <w:color w:val="000000"/>
          <w:sz w:val="28"/>
        </w:rPr>
        <w:t xml:space="preserve">各因素方向性解释</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在灰箱骨架中，固定其他条件时，提高</w:t>
      </w:r>
      <m:oMath>
        <m:sSub>
          <m:e>
            <m:r>
              <m:t>U</m:t>
            </m:r>
          </m:e>
          <m:sub>
            <m:r>
              <m:t>i</m:t>
            </m:r>
          </m:sub>
        </m:sSub>
      </m:oMath>
      <w:r>
        <w:rPr>
          <w:rFonts w:hint="eastAsia" w:ascii="Times New Roman" w:hAnsi="Times New Roman" w:eastAsia="Noto Serif CJK SC" w:cs="Times New Roman"/>
          <w:color w:val="000000"/>
          <w:sz w:val="24"/>
        </w:rPr>
        <w:t xml:space="preserve">增加</w:t>
      </w:r>
      <m:oMath>
        <m:r>
          <m:t>K</m:t>
        </m:r>
      </m:oMath>
      <w:r>
        <w:rPr>
          <w:rFonts w:hint="eastAsia" w:ascii="Times New Roman" w:hAnsi="Times New Roman" w:eastAsia="Noto Serif CJK SC" w:cs="Times New Roman"/>
          <w:color w:val="000000"/>
          <w:sz w:val="24"/>
        </w:rPr>
        <w:t xml:space="preserve">并降低连续排放，但总功率随电压上升；固定</w:t>
      </w:r>
      <m:oMath>
        <m:r>
          <m:t>K</m:t>
        </m:r>
      </m:oMath>
      <w:r>
        <w:rPr>
          <w:rFonts w:hint="eastAsia" w:ascii="Times New Roman" w:hAnsi="Times New Roman" w:eastAsia="Noto Serif CJK SC" w:cs="Times New Roman"/>
          <w:color w:val="000000"/>
          <w:sz w:val="24"/>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7" w:name="X6fc601f029beab01bf4945da44ee3c37fa3647c"/>
    <w:p>
      <w:pPr>
        <w:pStyle w:val="Heading2"/>
        <w:ind w:firstLine="0"/>
        <w:jc w:val="center"/>
      </w:pPr>
      <w:r>
        <w:rPr>
          <w:rFonts w:ascii="Arial" w:hAnsi="Arial" w:eastAsia="Noto Sans CJK SC" w:cs="Arial"/>
          <w:b/>
          <w:color w:val="000000"/>
          <w:sz w:val="30"/>
        </w:rPr>
        <w:t xml:space="preserve">5 </w:t>
      </w:r>
      <w:r>
        <w:rPr>
          <w:rFonts w:hint="eastAsia" w:ascii="Arial" w:hAnsi="Arial" w:eastAsia="Noto Sans CJK SC" w:cs="Arial"/>
          <w:b/>
          <w:color w:val="000000"/>
          <w:sz w:val="30"/>
        </w:rPr>
        <w:t xml:space="preserve">问题二：典型工况划分与协同优化</w:t>
      </w:r>
    </w:p>
    <w:bookmarkStart w:id="45" w:name="X42051af94281db817f1d947569deca302e77a99"/>
    <w:p>
      <w:pPr>
        <w:pStyle w:val="Heading3"/>
        <w:ind w:firstLine="0"/>
        <w:jc w:val="left"/>
      </w:pPr>
      <w:r>
        <w:rPr>
          <w:rFonts w:ascii="Arial" w:hAnsi="Arial" w:eastAsia="Noto Sans CJK SC" w:cs="Arial"/>
          <w:b/>
          <w:color w:val="000000"/>
          <w:sz w:val="28"/>
        </w:rPr>
        <w:t xml:space="preserve">5.1 </w:t>
      </w:r>
      <w:r>
        <w:rPr>
          <w:rFonts w:hint="eastAsia" w:ascii="Arial" w:hAnsi="Arial" w:eastAsia="Noto Sans CJK SC" w:cs="Arial"/>
          <w:b/>
          <w:color w:val="000000"/>
          <w:sz w:val="28"/>
        </w:rPr>
        <w:t xml:space="preserve">工况聚类</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Noto Serif CJK SC" w:cs="Times New Roman"/>
          <w:color w:val="000000"/>
          <w:sz w:val="24"/>
        </w:rPr>
        <w:t xml:space="preserve">，轮廓系数依次为0.2963、0.3682、0.4084、0.3958、0.3934，因此选择</w:t>
      </w:r>
      <m:oMath>
        <m:r>
          <m:t>k</m:t>
        </m:r>
        <m:r>
          <m:rPr>
            <m:sty m:val="p"/>
          </m:rPr>
          <m:t>=</m:t>
        </m:r>
        <m:r>
          <m:t>4</m:t>
        </m:r>
      </m:oMath>
      <w:r>
        <w:rPr>
          <w:rFonts w:hint="eastAsia" w:ascii="Times New Roman" w:hAnsi="Times New Roman" w:eastAsia="Noto Serif CJK SC" w:cs="Times New Roman"/>
          <w:color w:val="000000"/>
          <w:sz w:val="24"/>
        </w:rPr>
        <w:t xml:space="preserve">。轮廓系数0.4084表明聚类分离度中等，四类工况应理解为便于控制决策的统计工况分层，而不是唯一的物理状态划分。</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聚类数选择结果如图5所示。四类工况取得最高轮廓系数；惯性随</w:t>
      </w:r>
      <m:oMath>
        <m:r>
          <m:t>k</m:t>
        </m:r>
      </m:oMath>
      <w:r>
        <w:rPr>
          <w:rFonts w:hint="eastAsia" w:ascii="Times New Roman" w:hAnsi="Times New Roman" w:eastAsia="Noto Serif CJK SC" w:cs="Times New Roman"/>
          <w:color w:val="000000"/>
          <w:sz w:val="24"/>
        </w:rPr>
        <w:t xml:space="preserve">增加持续下降，因此不能仅依据惯性无限增加簇数。</w:t>
      </w:r>
    </w:p>
    <w:p>
      <w:pPr>
        <w:pStyle w:val="BodyText"/>
      </w:pPr>
      <w:r>
        <w:drawing>
          <wp:inline>
            <wp:extent cx="5334000" cy="2026686"/>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26686"/>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聚类数选择结果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训练期四类典型工况的分布如图6所示，其中点的大小表示烟气流量，从而同时呈现入口浓度、温度和流量三维信息。</w:t>
      </w:r>
    </w:p>
    <w:p>
      <w:pPr>
        <w:pStyle w:val="BodyText"/>
      </w:pPr>
      <w:r>
        <w:drawing>
          <wp:inline>
            <wp:extent cx="5334000" cy="3479863"/>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79863"/>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图6</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训练期典型工况分布</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四类典型工况画像</w:t>
      </w:r>
    </w:p>
    <w:tbl>
      <w:tblPr>
        <w:tblStyle w:val="Table"/>
        <w:tblW w:type="auto" w:w="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占比</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温度/℃</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入口浓度/(g/Nm³)</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流量/(Nm³/h)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粉尘负荷/(kg/h)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历史总功率/kW</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23.35%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26.08</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478257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12460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1818.35</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20.06%</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130.32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33.72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443591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14922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1870.89</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34.93%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130.41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40.71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480851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19560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1763.08</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21.67%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120.69</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44.75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439990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19673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1696.55</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标准化工况画像如图7所示。工况3与工况4的粉尘负荷相近，但温度和流量不同，适合用于检验分工况策略的必要性。</w:t>
      </w:r>
    </w:p>
    <w:p>
      <w:pPr>
        <w:pStyle w:val="BodyText"/>
      </w:pPr>
      <w:r>
        <w:drawing>
          <wp:inline>
            <wp:extent cx="5334000" cy="2328788"/>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28788"/>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标准化工况画像</w:t>
      </w:r>
    </w:p>
    <w:bookmarkEnd w:id="45"/>
    <w:bookmarkStart w:id="58" w:name="Xa6d5f36226d575c01dd4cfb5e9cf80d7a368db1"/>
    <w:p>
      <w:pPr>
        <w:pStyle w:val="Heading3"/>
        <w:ind w:firstLine="0"/>
        <w:jc w:val="left"/>
      </w:pPr>
      <w:r>
        <w:rPr>
          <w:rFonts w:ascii="Arial" w:hAnsi="Arial" w:eastAsia="Noto Sans CJK SC" w:cs="Arial"/>
          <w:b/>
          <w:color w:val="000000"/>
          <w:sz w:val="28"/>
        </w:rPr>
        <w:t xml:space="preserve">5.2 </w:t>
      </w:r>
      <w:r>
        <w:rPr>
          <w:rFonts w:hint="eastAsia" w:ascii="Arial" w:hAnsi="Arial" w:eastAsia="Noto Sans CJK SC" w:cs="Arial"/>
          <w:b/>
          <w:color w:val="000000"/>
          <w:sz w:val="28"/>
        </w:rPr>
        <w:t xml:space="preserve">功率模型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电场总功率与电压存在非线性，且四个电场之间可能存在联动。构造特征向量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标准化后采用岭回归[11]</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截距不惩罚。在线性岭与二次岭各自的候选正则强度中，按训练期顺序设置3个扩展窗口滚动验证，二次岭选得</w:t>
      </w:r>
      <m:oMath>
        <m:r>
          <m:t>λ</m:t>
        </m:r>
        <m:r>
          <m:rPr>
            <m:sty m:val="p"/>
          </m:rPr>
          <m:t>=</m:t>
        </m:r>
        <m:r>
          <m:t>0.1</m:t>
        </m:r>
      </m:oMath>
      <w:r>
        <w:rPr>
          <w:rFonts w:hint="eastAsia" w:ascii="Times New Roman" w:hAnsi="Times New Roman" w:eastAsia="Noto Serif CJK SC" w:cs="Times New Roman"/>
          <w:color w:val="000000"/>
          <w:sz w:val="24"/>
        </w:rPr>
        <w:t xml:space="preserve">，线性岭选得</w:t>
      </w:r>
      <m:oMath>
        <m:r>
          <m:t>λ</m:t>
        </m:r>
        <m:r>
          <m:rPr>
            <m:sty m:val="p"/>
          </m:rPr>
          <m:t>=</m:t>
        </m:r>
        <m:r>
          <m:t>10</m:t>
        </m:r>
      </m:oMath>
      <w:r>
        <w:rPr>
          <w:rFonts w:hint="eastAsia" w:ascii="Times New Roman" w:hAnsi="Times New Roman" w:eastAsia="Noto Serif CJK SC" w:cs="Times New Roman"/>
          <w:color w:val="000000"/>
          <w:sz w:val="24"/>
        </w:rPr>
        <w:t xml:space="preserve">。最终模型只用训练期拟合，验证期用于模型比较与误差保护，回顾性测试期不参与选择。验证集绝对误差的90%分位数为11.78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kW，故每个候选同时报告点预测</w:t>
      </w:r>
      <m:oMath>
        <m:acc>
          <m:accPr>
            <m:chr m:val="̂"/>
          </m:accPr>
          <m:e>
            <m:r>
              <m:t>P</m:t>
            </m:r>
          </m:e>
        </m:acc>
      </m:oMath>
      <w:r>
        <w:rPr>
          <w:rFonts w:hint="eastAsia" w:ascii="Times New Roman" w:hAnsi="Times New Roman" w:eastAsia="Noto Serif CJK SC" w:cs="Times New Roman"/>
          <w:color w:val="000000"/>
          <w:sz w:val="24"/>
        </w:rPr>
        <w:t xml:space="preserve">与附加验证期误差后的功率</w:t>
      </w:r>
      <m:oMath>
        <m:acc>
          <m:accPr>
            <m:chr m:val="̂"/>
          </m:accPr>
          <m:e>
            <m:r>
              <m:t>P</m:t>
            </m:r>
          </m:e>
        </m:acc>
        <m:r>
          <m:rPr>
            <m:sty m:val="p"/>
          </m:rPr>
          <m:t>+</m:t>
        </m:r>
        <m:r>
          <m:t>11.78</m:t>
        </m:r>
      </m:oMath>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kW；该附加量不改变候选排序，只用于表示功率预测误差的量级，不保证在后续日期仍具有90%的覆盖率。</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功率模型基线与时间外推结果</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模型</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数据段</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m:oMath>
              <m:sSup>
                <m:e>
                  <m:r>
                    <m:t>R</m:t>
                  </m:r>
                </m:e>
                <m:sup>
                  <m:r>
                    <m:t>2</m:t>
                  </m:r>
                </m:sup>
              </m:sSup>
            </m:oMath>
            <w:r>
              <w:rPr>
                <w:rFonts w:ascii="Times New Roman" w:hAnsi="Times New Roman" w:eastAsia="Noto Serif CJK SC" w:cs="Times New Roman"/>
                <w:b/>
                <w:color w:val="000000"/>
                <w:sz w:val="19"/>
              </w:rPr>
              <w:t xml:space="preserve">​</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RMSE/kW</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平均偏差/kW</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-5.3259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140.18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128.62</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0.9798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7.93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0.28</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0.9837</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-0.3733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83.51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-43.54</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0.9180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20.41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-16.65</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0.9571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14.76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-10.78</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功率模型的回顾性测试结果如图8所示。二次岭回归保持较高预测一致性，并优于均值预测与线性岭基线；左图虚线表示理想预测，右图RMSE采用对数纵轴以同时呈现三种模型的量级差异。</w:t>
      </w:r>
    </w:p>
    <w:p>
      <w:pPr>
        <w:pStyle w:val="BodyText"/>
      </w:pPr>
      <w:r>
        <w:drawing>
          <wp:inline>
            <wp:extent cx="5334000" cy="2238531"/>
            <wp:effectExtent b="0" l="0" r="0" t="0"/>
            <wp:docPr descr="图8 功率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3853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功率模型预测结果</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识别功率预测主要依赖哪些变量，将二次岭模型的标准化系数按绝对值排序，如图9所示。电压、电压平方项及跨电场交互项提供了主要预测信息；由于各变量之间存在相关性，系数大小只用于解释模型的预测结构，</w:t>
      </w:r>
      <w:r>
        <w:rPr>
          <w:rFonts w:hint="eastAsia" w:ascii="Times New Roman" w:hAnsi="Times New Roman" w:eastAsia="Noto Serif CJK SC" w:cs="Times New Roman"/>
          <w:b/>
          <w:bCs/>
          <w:color w:val="000000"/>
          <w:sz w:val="24"/>
        </w:rPr>
        <w:t xml:space="preserve">不能直接解释为单变量因果效应</w:t>
      </w:r>
      <w:r>
        <w:rPr>
          <w:rFonts w:ascii="Times New Roman" w:hAnsi="Times New Roman" w:eastAsia="Noto Serif CJK SC" w:cs="Times New Roman"/>
          <w:color w:val="000000"/>
          <w:sz w:val="24"/>
        </w:rPr>
        <w:t xml:space="preserve">。</w:t>
      </w:r>
    </w:p>
    <w:p>
      <w:pPr>
        <w:pStyle w:val="BodyText"/>
      </w:pPr>
      <w:r>
        <w:drawing>
          <wp:inline>
            <wp:extent cx="5334000" cy="2968675"/>
            <wp:effectExtent b="0" l="0" r="0" t="0"/>
            <wp:docPr descr="图9 功率模型标准化系数" title="" id="50" name="Picture"/>
            <a:graphic>
              <a:graphicData uri="http://schemas.openxmlformats.org/drawingml/2006/picture">
                <pic:pic>
                  <pic:nvPicPr>
                    <pic:cNvPr descr="figures_paper/08b_feature_importance.png" id="51" name="Picture"/>
                    <pic:cNvPicPr>
                      <a:picLocks noChangeArrowheads="1" noChangeAspect="1"/>
                    </pic:cNvPicPr>
                  </pic:nvPicPr>
                  <pic:blipFill>
                    <a:blip r:embed="rId49"/>
                    <a:stretch>
                      <a:fillRect/>
                    </a:stretch>
                  </pic:blipFill>
                  <pic:spPr bwMode="auto">
                    <a:xfrm>
                      <a:off x="0" y="0"/>
                      <a:ext cx="5334000" cy="2968675"/>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图9</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二次岭功率模型的标准化系数</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回顾性测试残差如图10所示。平均偏差为-10.78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kW，高功率区负偏差有所扩大；验证绝对误差90%分位数11.78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kW被用作验证期误差附加量。上线前仍需利用全新日期重新校准，不能把当前测试称为真正盲测。</w:t>
      </w:r>
    </w:p>
    <w:p>
      <w:pPr>
        <w:pStyle w:val="BodyText"/>
      </w:pPr>
      <w:r>
        <w:drawing>
          <wp:inline>
            <wp:extent cx="5334000" cy="2097823"/>
            <wp:effectExtent b="0" l="0" r="0" t="0"/>
            <wp:docPr descr="图10 功率残差诊断" title="" id="53" name="Picture"/>
            <a:graphic>
              <a:graphicData uri="http://schemas.openxmlformats.org/drawingml/2006/picture">
                <pic:pic>
                  <pic:nvPicPr>
                    <pic:cNvPr descr="figures_paper/08_power_residuals.png" id="54" name="Picture"/>
                    <pic:cNvPicPr>
                      <a:picLocks noChangeArrowheads="1" noChangeAspect="1"/>
                    </pic:cNvPicPr>
                  </pic:nvPicPr>
                  <pic:blipFill>
                    <a:blip r:embed="rId52"/>
                    <a:stretch>
                      <a:fillRect/>
                    </a:stretch>
                  </pic:blipFill>
                  <pic:spPr bwMode="auto">
                    <a:xfrm>
                      <a:off x="0" y="0"/>
                      <a:ext cx="5334000" cy="2097823"/>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图10</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回顾性测试残差诊断</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各工况典型状态下的局部电压—功率响应如图11所示。曲线仅在历史电压附近绘制，表明在灰箱情景下，提高电压以满足更严格的排放约束会提高运行功率。</w:t>
      </w:r>
    </w:p>
    <w:p>
      <w:pPr>
        <w:pStyle w:val="BodyText"/>
      </w:pPr>
      <w:r>
        <w:drawing>
          <wp:inline>
            <wp:extent cx="5334000" cy="3307361"/>
            <wp:effectExtent b="0" l="0" r="0" t="0"/>
            <wp:docPr descr="图11 电压—功率局部响应" title="" id="56" name="Picture"/>
            <a:graphic>
              <a:graphicData uri="http://schemas.openxmlformats.org/drawingml/2006/picture">
                <pic:pic>
                  <pic:nvPicPr>
                    <pic:cNvPr descr="figures_paper/09_voltage_power_response.png" id="57" name="Picture"/>
                    <pic:cNvPicPr>
                      <a:picLocks noChangeArrowheads="1" noChangeAspect="1"/>
                    </pic:cNvPicPr>
                  </pic:nvPicPr>
                  <pic:blipFill>
                    <a:blip r:embed="rId55"/>
                    <a:stretch>
                      <a:fillRect/>
                    </a:stretch>
                  </pic:blipFill>
                  <pic:spPr bwMode="auto">
                    <a:xfrm>
                      <a:off x="0" y="0"/>
                      <a:ext cx="5334000" cy="330736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局部电压—功率响应</w:t>
      </w:r>
    </w:p>
    <w:bookmarkEnd w:id="58"/>
    <w:bookmarkStart w:id="59" w:name="X3f0bf3f9cd1dc2f736da9ba4cdbf3bcc6d5ebd7"/>
    <w:p>
      <w:pPr>
        <w:pStyle w:val="Heading3"/>
        <w:ind w:firstLine="0"/>
        <w:jc w:val="left"/>
      </w:pPr>
      <w:r>
        <w:rPr>
          <w:rFonts w:ascii="Arial" w:hAnsi="Arial" w:eastAsia="Noto Sans CJK SC" w:cs="Arial"/>
          <w:b/>
          <w:color w:val="000000"/>
          <w:sz w:val="28"/>
        </w:rPr>
        <w:t xml:space="preserve">5.3 </w:t>
      </w:r>
      <w:r>
        <w:rPr>
          <w:rFonts w:hint="eastAsia" w:ascii="Arial" w:hAnsi="Arial" w:eastAsia="Noto Sans CJK SC" w:cs="Arial"/>
          <w:b/>
          <w:color w:val="000000"/>
          <w:sz w:val="28"/>
        </w:rPr>
        <w:t xml:space="preserve">支持域与优化模型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ascii="Times New Roman" w:hAnsi="Times New Roman" w:eastAsia="Noto Serif CJK SC" w:cs="Times New Roman"/>
          <w:color w:val="000000"/>
          <w:sz w:val="24"/>
        </w:rPr>
        <w:t xml:space="preserve">。历史P05～P95限制逐变量范围；同时用训练期工况</w:t>
      </w:r>
      <m:oMath>
        <m:r>
          <m:t>k</m:t>
        </m:r>
      </m:oMath>
      <w:r>
        <w:rPr>
          <w:rFonts w:hint="eastAsia" w:ascii="Times New Roman" w:hAnsi="Times New Roman" w:eastAsia="Noto Serif CJK SC" w:cs="Times New Roman"/>
          <w:color w:val="000000"/>
          <w:sz w:val="24"/>
        </w:rPr>
        <w:t xml:space="preserve">的均值</w:t>
      </w:r>
      <m:oMath>
        <m:sSub>
          <m:e>
            <m:r>
              <m:t>μ</m:t>
            </m:r>
          </m:e>
          <m:sub>
            <m:r>
              <m:t>k</m:t>
            </m:r>
          </m:sub>
        </m:sSub>
      </m:oMath>
      <w:r>
        <w:rPr>
          <w:rFonts w:hint="eastAsia" w:ascii="Times New Roman" w:hAnsi="Times New Roman" w:eastAsia="Noto Serif CJK SC" w:cs="Times New Roman"/>
          <w:color w:val="000000"/>
          <w:sz w:val="24"/>
        </w:rPr>
        <w:t xml:space="preserve">和协方差</w:t>
      </w:r>
      <m:oMath>
        <m:sSub>
          <m:e>
            <m:r>
              <m:rPr>
                <m:sty m:val="p"/>
              </m:rPr>
              <m:t>Σ</m:t>
            </m:r>
          </m:e>
          <m:sub>
            <m:r>
              <m:t>k</m:t>
            </m:r>
          </m:sub>
        </m:sSub>
      </m:oMath>
      <w:r>
        <w:rPr>
          <w:rFonts w:hint="eastAsia" w:ascii="Times New Roman" w:hAnsi="Times New Roman" w:eastAsia="Noto Serif CJK SC" w:cs="Times New Roman"/>
          <w:color w:val="000000"/>
          <w:sz w:val="24"/>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spacing w:line="360" w:lineRule="auto"/>
        <w:ind w:firstLine="482"/>
        <w:jc w:val="both"/>
      </w:pPr>
      <m:oMath>
        <m:sSub>
          <m:e>
            <m:r>
              <m:t>q</m:t>
            </m:r>
          </m:e>
          <m:sub>
            <m:r>
              <m:t>k</m:t>
            </m:r>
            <m:r>
              <m:rPr>
                <m:sty m:val="p"/>
              </m:rPr>
              <m:t>,</m:t>
            </m:r>
            <m:r>
              <m:t>0.975</m:t>
            </m:r>
          </m:sub>
        </m:sSub>
      </m:oMath>
      <w:r>
        <w:rPr>
          <w:rFonts w:hint="eastAsia" w:ascii="Times New Roman" w:hAnsi="Times New Roman" w:eastAsia="Noto Serif CJK SC" w:cs="Times New Roman"/>
          <w:color w:val="000000"/>
          <w:sz w:val="24"/>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对每类工况和限值</w:t>
      </w:r>
      <m:oMath>
        <m:sSub>
          <m:e>
            <m:r>
              <m:t>C</m:t>
            </m:r>
          </m:e>
          <m:sub>
            <m:r>
              <m:t>l</m:t>
            </m:r>
            <m:r>
              <m:t>i</m:t>
            </m:r>
            <m:r>
              <m:t>m</m:t>
            </m:r>
          </m:sub>
        </m:sSub>
      </m:oMath>
      <w:r>
        <w:rPr>
          <w:rFonts w:hint="eastAsia" w:ascii="Times New Roman" w:hAnsi="Times New Roman" w:eastAsia="Noto Serif CJK SC" w:cs="Times New Roman"/>
          <w:color w:val="000000"/>
          <w:sz w:val="24"/>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程序对每个工况使用5个独立随机种子，每个种子先生成220000组候选，再围绕10与5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bookmarkEnd w:id="59"/>
    <w:bookmarkStart w:id="66" w:name="X3a77730869a9ba1dd51771f397fafb23f460fec"/>
    <w:p>
      <w:pPr>
        <w:pStyle w:val="Heading3"/>
        <w:ind w:firstLine="0"/>
        <w:jc w:val="left"/>
      </w:pPr>
      <w:r>
        <w:rPr>
          <w:rFonts w:ascii="Arial" w:hAnsi="Arial" w:eastAsia="Noto Sans CJK SC" w:cs="Arial"/>
          <w:b/>
          <w:color w:val="000000"/>
          <w:sz w:val="28"/>
        </w:rPr>
        <w:t xml:space="preserve">5.4 </w:t>
      </w:r>
      <w:r>
        <w:rPr>
          <w:rFonts w:hint="eastAsia" w:ascii="Arial" w:hAnsi="Arial" w:eastAsia="Noto Sans CJK SC" w:cs="Arial"/>
          <w:b/>
          <w:color w:val="000000"/>
          <w:sz w:val="28"/>
        </w:rPr>
        <w:t xml:space="preserve">两档目标下的最佳采样可行方案</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表6</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四工况两档目标的支持域内最佳采样可行解</w:t>
      </w:r>
    </w:p>
    <w:tbl>
      <w:tblPr>
        <w:tblStyle w:val="Table"/>
        <w:tblW w:type="auto" w:w="0"/>
        <w:jc w:val="center"/>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blHeader w:val="true"/>
        </w:trPr>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目标/(mg/Nm³)</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峰值排放/(mg/Nm³)</w:t>
            </w:r>
          </w:p>
        </w:tc>
        <w:tc>
          <w:tcPr>
            <w:tcW w:type="dxa" w:w="75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预测总功率/kW</w:t>
            </w:r>
          </w:p>
        </w:tc>
      </w:tr>
      <w:tr>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53.2</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1851.86</w:t>
            </w:r>
          </w:p>
        </w:tc>
      </w:tr>
      <w:tr>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57.8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53.1</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52.9</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48.9</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1693.00</w:t>
            </w:r>
          </w:p>
        </w:tc>
      </w:tr>
      <w:tr>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54.5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4.985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1931.84</w:t>
            </w:r>
          </w:p>
        </w:tc>
      </w:tr>
      <w:tr>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60.9</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52.2</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251</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4.989</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1813.76</w:t>
            </w:r>
          </w:p>
        </w:tc>
      </w:tr>
      <w:tr>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50.8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473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9.989</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1532.90</w:t>
            </w:r>
          </w:p>
        </w:tc>
      </w:tr>
      <w:tr>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62.7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57.1</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50.0</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50.7</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473</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472</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4.999</w:t>
            </w:r>
          </w:p>
        </w:tc>
        <w:tc>
          <w:tcPr>
            <w:tcW w:type="dxa" w:w="75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1737.39</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为保证在线参数表完整，表6列全四类工况在10与5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mg/Nm³两档目标下的中心情景最佳采样可行解；其中10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mg/Nm³四行直接回答问题二，5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mg/Nm³四行为问题四与在线执行链提供完整参数。它们不是设备安全设定。将10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mg/Nm³方案与同一功率模型在各工况“历史中位控制点”上的预测比较，辅助节能幅度为9.80%～12.43%；该比较仍受排放情景假设影响。表中为点预测功率，预算时可另加11.78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kW验证期误差附加量。现场应用必须继续受二次电流、火花率、联锁和设定变化速率约束。</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推荐解的历史支持域边界接近度审计</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工况与排放限值</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马氏距离平方</w:t>
            </w:r>
            <w:r>
              <w:rPr>
                <w:rFonts w:ascii="Times New Roman" w:hAnsi="Times New Roman" w:eastAsia="Noto Serif CJK SC" w:cs="Times New Roman"/>
                <w:b/>
                <w:color w:val="000000"/>
                <w:sz w:val="19"/>
              </w:rPr>
              <w:t xml:space="preserve"> </w:t>
            </w:r>
            <m:oMath>
              <m:sSubSup>
                <m:e>
                  <m:r>
                    <m:t>d</m:t>
                  </m:r>
                </m:e>
                <m:sub>
                  <m:r>
                    <m:t>M</m:t>
                  </m:r>
                </m:sub>
                <m:sup>
                  <m:r>
                    <m:t>2</m:t>
                  </m:r>
                </m:sup>
              </m:sSubSup>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经验97.5%分位数</w:t>
            </w:r>
            <w:r>
              <w:rPr>
                <w:rFonts w:ascii="Times New Roman" w:hAnsi="Times New Roman" w:eastAsia="Noto Serif CJK SC" w:cs="Times New Roman"/>
                <w:b/>
                <w:color w:val="000000"/>
                <w:sz w:val="19"/>
              </w:rPr>
              <w:t xml:space="preserve"> </w:t>
            </w:r>
            <m:oMath>
              <m:sSub>
                <m:e>
                  <m:r>
                    <m:t>q</m:t>
                  </m:r>
                </m:e>
                <m:sub>
                  <m:r>
                    <m:t>0.975</m:t>
                  </m:r>
                </m:sub>
              </m:sSub>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边界相对距离</w:t>
            </w:r>
            <w:r>
              <w:rPr>
                <w:rFonts w:ascii="Times New Roman" w:hAnsi="Times New Roman" w:eastAsia="Noto Serif CJK SC" w:cs="Times New Roman"/>
                <w:b/>
                <w:color w:val="000000"/>
                <w:sz w:val="19"/>
              </w:rPr>
              <w:t xml:space="preserve"> </w:t>
            </w:r>
            <m:oMath>
              <m:sSubSup>
                <m:e>
                  <m:r>
                    <m:t>d</m:t>
                  </m:r>
                </m:e>
                <m:sub>
                  <m:r>
                    <m:t>M</m:t>
                  </m:r>
                </m:sub>
                <m:sup>
                  <m:r>
                    <m:t>2</m:t>
                  </m:r>
                </m:sup>
              </m:sSubSup>
              <m:r>
                <m:rPr>
                  <m:sty m:val="p"/>
                </m:rPr>
                <m:t>/</m:t>
              </m:r>
              <m:sSub>
                <m:e>
                  <m:r>
                    <m:t>q</m:t>
                  </m:r>
                </m:e>
                <m:sub>
                  <m:r>
                    <m:t>0.975</m:t>
                  </m:r>
                </m:sub>
              </m:sSub>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边界状态评估</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工况1，10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10.89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20.55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工况1，5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10.11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20.55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49.2%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工况2，10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17.52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93.6%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bCs/>
                <w:color w:val="000000"/>
                <w:sz w:val="19"/>
              </w:rPr>
              <w:t xml:space="preserve">贴近边界</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工况2，5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10.96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工况3，10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8.19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工况3，5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14.50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86.1%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接近边界</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工况4，10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7.40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19.09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38.8%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工况4，5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19.09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95.1%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bCs/>
                <w:color w:val="000000"/>
                <w:sz w:val="19"/>
              </w:rPr>
              <w:t xml:space="preserve">贴近边界</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数据表明：工况2的10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mg解及工况4的5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mg解已高度贴近历史支持域的马氏距离上界（</w:t>
      </w:r>
      <m:oMath>
        <m:sSubSup>
          <m:e>
            <m:r>
              <m:t>d</m:t>
            </m:r>
          </m:e>
          <m:sub>
            <m:r>
              <m:t>M</m:t>
            </m:r>
          </m:sub>
          <m:sup>
            <m:r>
              <m:t>2</m:t>
            </m:r>
          </m:sup>
        </m:sSubSup>
        <m:r>
          <m:rPr>
            <m:sty m:val="p"/>
          </m:rPr>
          <m:t>/</m:t>
        </m:r>
        <m:sSub>
          <m:e>
            <m:r>
              <m:t>q</m:t>
            </m:r>
          </m:e>
          <m:sub>
            <m:r>
              <m:t>0.975</m:t>
            </m:r>
          </m:sub>
        </m:sSub>
        <m:r>
          <m:rPr>
            <m:sty m:val="p"/>
          </m:rPr>
          <m:t>&gt;</m:t>
        </m:r>
        <m:r>
          <m:t>90</m:t>
        </m:r>
        <m:r>
          <m:rPr>
            <m:sty m:val="p"/>
          </m:rPr>
          <m:t>%</m:t>
        </m:r>
      </m:oMath>
      <w:r>
        <w:rPr>
          <w:rFonts w:hint="eastAsia" w:ascii="Times New Roman" w:hAnsi="Times New Roman" w:eastAsia="Noto Serif CJK SC" w:cs="Times New Roman"/>
          <w:color w:val="000000"/>
          <w:sz w:val="24"/>
        </w:rPr>
        <w:t xml:space="preserve">）。这说明部分推荐控制点是在功率模型与支持域边界的共同作用下推至边界附近，实际工业应用时仍需通过现场阶跃试验重新标定，</w:t>
      </w:r>
      <w:r>
        <w:rPr>
          <w:rFonts w:hint="eastAsia" w:ascii="Times New Roman" w:hAnsi="Times New Roman" w:eastAsia="Noto Serif CJK SC" w:cs="Times New Roman"/>
          <w:b/>
          <w:bCs/>
          <w:color w:val="000000"/>
          <w:sz w:val="24"/>
        </w:rPr>
        <w:t xml:space="preserve">不可直接将支持域边界解当作绝对安全解</w:t>
      </w:r>
      <w:r>
        <w:rPr>
          <w:rFonts w:ascii="Times New Roman" w:hAnsi="Times New Roman" w:eastAsia="Noto Serif CJK SC" w:cs="Times New Roman"/>
          <w:color w:val="000000"/>
          <w:sz w:val="24"/>
        </w:rPr>
        <w:t xml:space="preserve">。</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推荐解与经验支持域边界的距离对比如图12所示。左图给出边界相对距离，右图并列展示推荐解马氏距离平方与各工况经验阈值；两种视图共同显示所有解均未越界，但工况2的10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mg解和工况4的5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mg解已进入90%贴近区。</w:t>
      </w:r>
    </w:p>
    <w:p>
      <w:pPr>
        <w:pStyle w:val="BodyText"/>
      </w:pPr>
      <w:r>
        <w:drawing>
          <wp:inline>
            <wp:extent cx="5334000" cy="2246119"/>
            <wp:effectExtent b="0" l="0" r="0" t="0"/>
            <wp:docPr descr="图12 推荐解的支持域边界接近度" title="" id="61" name="Picture"/>
            <a:graphic>
              <a:graphicData uri="http://schemas.openxmlformats.org/drawingml/2006/picture">
                <pic:pic>
                  <pic:nvPicPr>
                    <pic:cNvPr descr="figures_paper/05b_boundary_proximity.png" id="62" name="Picture"/>
                    <pic:cNvPicPr>
                      <a:picLocks noChangeArrowheads="1" noChangeAspect="1"/>
                    </pic:cNvPicPr>
                  </pic:nvPicPr>
                  <pic:blipFill>
                    <a:blip r:embed="rId60"/>
                    <a:stretch>
                      <a:fillRect/>
                    </a:stretch>
                  </pic:blipFill>
                  <pic:spPr bwMode="auto">
                    <a:xfrm>
                      <a:off x="0" y="0"/>
                      <a:ext cx="5334000" cy="2246119"/>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图12</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推荐解的历史支持域边界接近度</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四类工况在10和5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mg/Nm³限值下的中心情景最佳采样预测功率如图13所示。更严格的排放限值在全部工况下均提高预测功率。</w:t>
      </w:r>
    </w:p>
    <w:p>
      <w:pPr>
        <w:pStyle w:val="BodyText"/>
      </w:pPr>
      <w:r>
        <w:drawing>
          <wp:inline>
            <wp:extent cx="5334000" cy="2935573"/>
            <wp:effectExtent b="0" l="0" r="0" t="0"/>
            <wp:docPr descr="图13 两档限值的最佳采样预测功率" title="" id="64" name="Picture"/>
            <a:graphic>
              <a:graphicData uri="http://schemas.openxmlformats.org/drawingml/2006/picture">
                <pic:pic>
                  <pic:nvPicPr>
                    <pic:cNvPr descr="figures_paper/10_optimal_power.png" id="65" name="Picture"/>
                    <pic:cNvPicPr>
                      <a:picLocks noChangeArrowheads="1" noChangeAspect="1"/>
                    </pic:cNvPicPr>
                  </pic:nvPicPr>
                  <pic:blipFill>
                    <a:blip r:embed="rId63"/>
                    <a:stretch>
                      <a:fillRect/>
                    </a:stretch>
                  </pic:blipFill>
                  <pic:spPr bwMode="auto">
                    <a:xfrm>
                      <a:off x="0" y="0"/>
                      <a:ext cx="5334000" cy="2935573"/>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图13</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两档排放限值下的最佳采样预测功率</w:t>
      </w:r>
    </w:p>
    <w:bookmarkEnd w:id="66"/>
    <w:bookmarkEnd w:id="67"/>
    <w:bookmarkStart w:id="77" w:name="X335060317f879c66b4341a980188cc3aff0fdbe"/>
    <w:p>
      <w:pPr>
        <w:pStyle w:val="Heading2"/>
        <w:ind w:firstLine="0"/>
        <w:jc w:val="center"/>
      </w:pPr>
      <w:r>
        <w:rPr>
          <w:rFonts w:ascii="Arial" w:hAnsi="Arial" w:eastAsia="Noto Sans CJK SC" w:cs="Arial"/>
          <w:b/>
          <w:color w:val="000000"/>
          <w:sz w:val="30"/>
        </w:rPr>
        <w:t xml:space="preserve">6 </w:t>
      </w:r>
      <w:r>
        <w:rPr>
          <w:rFonts w:hint="eastAsia" w:ascii="Arial" w:hAnsi="Arial" w:eastAsia="Noto Sans CJK SC" w:cs="Arial"/>
          <w:b/>
          <w:color w:val="000000"/>
          <w:sz w:val="30"/>
        </w:rPr>
        <w:t xml:space="preserve">问题三：代表工况的控制策略比较</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选取工况1和工况3。二者流量都较高，但入口浓度和粉尘负荷差异明显：工况1平均负荷12460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kg/h，工况3为19560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kg/h，可用于比较低负荷与高负荷策略。</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代表工况在两档限值下的中心情景控制参数</w:t>
      </w:r>
    </w:p>
    <w:tbl>
      <w:tblPr>
        <w:tblStyle w:val="Table"/>
        <w:tblW w:type="auto" w:w="0"/>
        <w:jc w:val="center"/>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工况与限值</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预测总功率/kW</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1851.86</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60.9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1813.76</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工况1从10收紧到5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分别提高9.6和8.3</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w:t>
      </w:r>
      <m:oMath>
        <m:sSub>
          <m:e>
            <m:r>
              <m:t>U</m:t>
            </m:r>
          </m:e>
          <m:sub>
            <m:r>
              <m:t>3</m:t>
            </m:r>
          </m:sub>
        </m:sSub>
      </m:oMath>
      <w:r>
        <w:rPr>
          <w:rFonts w:hint="eastAsia" w:ascii="Times New Roman" w:hAnsi="Times New Roman" w:eastAsia="Noto Serif CJK SC" w:cs="Times New Roman"/>
          <w:color w:val="000000"/>
          <w:sz w:val="24"/>
        </w:rPr>
        <w:t xml:space="preserve">近似不变，</w:t>
      </w:r>
      <m:oMath>
        <m:sSub>
          <m:e>
            <m:r>
              <m:t>U</m:t>
            </m:r>
          </m:e>
          <m:sub>
            <m:r>
              <m:t>4</m:t>
            </m:r>
          </m:sub>
        </m:sSub>
      </m:oMath>
      <w:r>
        <w:rPr>
          <w:rFonts w:hint="eastAsia" w:ascii="Times New Roman" w:hAnsi="Times New Roman" w:eastAsia="Noto Serif CJK SC" w:cs="Times New Roman"/>
          <w:color w:val="000000"/>
          <w:sz w:val="24"/>
        </w:rPr>
        <w:t xml:space="preserve">提高5.2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kV；工况3的四场增量依次为8.3、6.8、3.0和5.8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表9</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控制优先级决策规则</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状态特征</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优先动作</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原因</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连续排放基值接近限值，振打峰值占比较低</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优先小步提高前级电压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主要矛盾是连续捕集强度不足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峰值增量占比较高，周期明显长于参考周期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优先缩短过长周期并实施错相振打</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主要矛盾是单次积灰脱落和峰值叠加</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周期过短、振打频繁</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适度延长周期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减少再飞扬次数</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高粉尘负荷且基值和峰值均高</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先错相、再调整周期，最后小步提升前级电压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先控制峰值，再补充连续捕集能力</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前级电压已接近支持域上限</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使用后级电场补偿</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避免前级单独承担全部压力</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超出历史支持域或出现火花、联锁风险</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停止优化，回退现场安全设定</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数学可行不等于设备安全</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上述决策规则均基于灰箱情景推导，现场实施时应以在线监测数据为准。</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两档排放限值下的四电场中心情景电压如图14所示。严格约束主要抬升前两电场，同时</w:t>
      </w:r>
      <m:oMath>
        <m:sSub>
          <m:e>
            <m:r>
              <m:t>U</m:t>
            </m:r>
          </m:e>
          <m:sub>
            <m:r>
              <m:t>4</m:t>
            </m:r>
          </m:sub>
        </m:sSub>
      </m:oMath>
      <w:r>
        <w:rPr>
          <w:rFonts w:hint="eastAsia" w:ascii="Times New Roman" w:hAnsi="Times New Roman" w:eastAsia="Noto Serif CJK SC" w:cs="Times New Roman"/>
          <w:color w:val="000000"/>
          <w:sz w:val="24"/>
        </w:rPr>
        <w:t xml:space="preserve">在部分工况承担明显补偿，因此不能将策略绝对化为“只调前级”。</w:t>
      </w:r>
    </w:p>
    <w:p>
      <w:pPr>
        <w:pStyle w:val="BodyText"/>
      </w:pPr>
      <w:r>
        <w:drawing>
          <wp:inline>
            <wp:extent cx="5334000" cy="3745334"/>
            <wp:effectExtent b="0" l="0" r="0" t="0"/>
            <wp:docPr descr="图14 最优电压配置" title="" id="69" name="Picture"/>
            <a:graphic>
              <a:graphicData uri="http://schemas.openxmlformats.org/drawingml/2006/picture">
                <pic:pic>
                  <pic:nvPicPr>
                    <pic:cNvPr descr="figures_paper/11_optimal_voltage.png" id="70" name="Picture"/>
                    <pic:cNvPicPr>
                      <a:picLocks noChangeArrowheads="1" noChangeAspect="1"/>
                    </pic:cNvPicPr>
                  </pic:nvPicPr>
                  <pic:blipFill>
                    <a:blip r:embed="rId68"/>
                    <a:stretch>
                      <a:fillRect/>
                    </a:stretch>
                  </pic:blipFill>
                  <pic:spPr bwMode="auto">
                    <a:xfrm>
                      <a:off x="0" y="0"/>
                      <a:ext cx="5334000" cy="374533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图14</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两档排放限值下的电压配置</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为突出代表工况内部四电场的协同变化，将工况1与工况3的电压和振打周期分别绘制为控制剖面，如图15所示。限值由10收紧至5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mg/Nm³时，两类工况均以前级电压抬升为主，但</w:t>
      </w:r>
      <m:oMath>
        <m:sSub>
          <m:e>
            <m:r>
              <m:t>U</m:t>
            </m:r>
          </m:e>
          <m:sub>
            <m:r>
              <m:t>4</m:t>
            </m:r>
          </m:sub>
        </m:sSub>
      </m:oMath>
      <w:r>
        <w:rPr>
          <w:rFonts w:hint="eastAsia" w:ascii="Times New Roman" w:hAnsi="Times New Roman" w:eastAsia="Noto Serif CJK SC" w:cs="Times New Roman"/>
          <w:color w:val="000000"/>
          <w:sz w:val="24"/>
        </w:rPr>
        <w:t xml:space="preserve">仍有补偿；振打周期的变化则更依赖工况，说明</w:t>
      </w:r>
      <w:r>
        <w:rPr>
          <w:rFonts w:hint="eastAsia" w:ascii="Times New Roman" w:hAnsi="Times New Roman" w:eastAsia="Noto Serif CJK SC" w:cs="Times New Roman"/>
          <w:b/>
          <w:bCs/>
          <w:color w:val="000000"/>
          <w:sz w:val="24"/>
        </w:rPr>
        <w:t xml:space="preserve">电压调节与振打调节不能拆成两个独立单变量策略</w:t>
      </w:r>
      <w:r>
        <w:rPr>
          <w:rFonts w:ascii="Times New Roman" w:hAnsi="Times New Roman" w:eastAsia="Noto Serif CJK SC" w:cs="Times New Roman"/>
          <w:color w:val="000000"/>
          <w:sz w:val="24"/>
        </w:rPr>
        <w:t xml:space="preserve">。</w:t>
      </w:r>
    </w:p>
    <w:p>
      <w:pPr>
        <w:pStyle w:val="BodyText"/>
      </w:pPr>
      <w:r>
        <w:drawing>
          <wp:inline>
            <wp:extent cx="5334000" cy="2248584"/>
            <wp:effectExtent b="0" l="0" r="0" t="0"/>
            <wp:docPr descr="图15 代表工况控制参数协同剖面" title="" id="72" name="Picture"/>
            <a:graphic>
              <a:graphicData uri="http://schemas.openxmlformats.org/drawingml/2006/picture">
                <pic:pic>
                  <pic:nvPicPr>
                    <pic:cNvPr descr="figures_paper/12b_radar_controls.png" id="73" name="Picture"/>
                    <pic:cNvPicPr>
                      <a:picLocks noChangeArrowheads="1" noChangeAspect="1"/>
                    </pic:cNvPicPr>
                  </pic:nvPicPr>
                  <pic:blipFill>
                    <a:blip r:embed="rId71"/>
                    <a:stretch>
                      <a:fillRect/>
                    </a:stretch>
                  </pic:blipFill>
                  <pic:spPr bwMode="auto">
                    <a:xfrm>
                      <a:off x="0" y="0"/>
                      <a:ext cx="5334000" cy="224858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代表工况四电场控制参数协同剖面</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两档排放限值下的中心情景最佳采样振打周期如图16所示。周期变化不像电压那样单向，而是在积灰损失与再飞扬峰值之间重新平衡；前级短、后级长的顺序保持不变。</w:t>
      </w:r>
    </w:p>
    <w:p>
      <w:pPr>
        <w:pStyle w:val="BodyText"/>
      </w:pPr>
      <w:r>
        <w:drawing>
          <wp:inline>
            <wp:extent cx="5334000" cy="3745334"/>
            <wp:effectExtent b="0" l="0" r="0" t="0"/>
            <wp:docPr descr="图16 最优振打周期" title="" id="75" name="Picture"/>
            <a:graphic>
              <a:graphicData uri="http://schemas.openxmlformats.org/drawingml/2006/picture">
                <pic:pic>
                  <pic:nvPicPr>
                    <pic:cNvPr descr="figures_paper/12_optimal_rapping_period.png" id="76" name="Picture"/>
                    <pic:cNvPicPr>
                      <a:picLocks noChangeArrowheads="1" noChangeAspect="1"/>
                    </pic:cNvPicPr>
                  </pic:nvPicPr>
                  <pic:blipFill>
                    <a:blip r:embed="rId74"/>
                    <a:stretch>
                      <a:fillRect/>
                    </a:stretch>
                  </pic:blipFill>
                  <pic:spPr bwMode="auto">
                    <a:xfrm>
                      <a:off x="0" y="0"/>
                      <a:ext cx="5334000" cy="374533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图16</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两档排放限值下的振打周期</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在线实施采用</w:t>
      </w:r>
      <w:r>
        <w:rPr>
          <w:rFonts w:hint="eastAsia" w:ascii="Times New Roman" w:hAnsi="Times New Roman" w:eastAsia="Noto Serif CJK SC" w:cs="Times New Roman"/>
          <w:b/>
          <w:bCs/>
          <w:color w:val="000000"/>
          <w:sz w:val="24"/>
        </w:rPr>
        <w:t xml:space="preserve">TARGET-10、TARGET-5与FALLBACK三态</w:t>
      </w:r>
      <w:r>
        <w:rPr>
          <w:rFonts w:hint="eastAsia" w:ascii="Times New Roman" w:hAnsi="Times New Roman" w:eastAsia="Noto Serif CJK SC" w:cs="Times New Roman"/>
          <w:color w:val="000000"/>
          <w:sz w:val="24"/>
        </w:rPr>
        <w:t xml:space="preserve">。排放目标由上级指令或管理规定选择，不设自动切换阈值——因为本文灰箱模型未经现场标定，不具备在线自动判定排放状态的精度。TARGET-10与TARGET-5分别读取表6中对应工况、对应排放目标的控制参数；表8仅用于问题三的代表工况比较。控制量按斜坡接近目标，试运行情景暂取电压不超过0.5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kV/min、振打周期不超过5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s/min，但现场DCS、联锁或设备制造商给出的更严限制具有优先权。四场振打先按</w:t>
      </w:r>
      <m:oMath>
        <m:r>
          <m:t>ρ</m:t>
        </m:r>
        <m:r>
          <m:rPr>
            <m:sty m:val="p"/>
          </m:rPr>
          <m:t>=</m:t>
        </m:r>
        <m:r>
          <m:t>1</m:t>
        </m:r>
      </m:oMath>
      <w:r>
        <w:rPr>
          <w:rFonts w:hint="eastAsia" w:ascii="Times New Roman" w:hAnsi="Times New Roman" w:eastAsia="Noto Serif CJK SC" w:cs="Times New Roman"/>
          <w:color w:val="000000"/>
          <w:sz w:val="24"/>
        </w:rPr>
        <w:t xml:space="preserve">同相上界核验，再以</w:t>
      </w:r>
      <m:oMath>
        <m:r>
          <m:t>ρ</m:t>
        </m:r>
        <m:r>
          <m:rPr>
            <m:sty m:val="p"/>
          </m:rPr>
          <m:t>=</m:t>
        </m:r>
        <m:r>
          <m:t>0.80</m:t>
        </m:r>
      </m:oMath>
      <w:r>
        <w:rPr>
          <w:rFonts w:hint="eastAsia" w:ascii="Times New Roman" w:hAnsi="Times New Roman" w:eastAsia="Noto Serif CJK SC" w:cs="Times New Roman"/>
          <w:color w:val="000000"/>
          <w:sz w:val="24"/>
        </w:rPr>
        <w:t xml:space="preserve">和0.65评估错相收益。FALLBACK仅在传感器失效、火花率越限、工况超出支持域或联锁触发时启用，此时回到现场确认的安全设定；未经现场标定的模型偏差不直接作为自动回退阈值。</w:t>
      </w:r>
    </w:p>
    <w:bookmarkEnd w:id="77"/>
    <w:bookmarkStart w:id="87" w:name="X0dce7fb07a47b93f806ab26c99ee690bef111a3"/>
    <w:p>
      <w:pPr>
        <w:pStyle w:val="Heading2"/>
        <w:ind w:firstLine="0"/>
        <w:jc w:val="center"/>
      </w:pPr>
      <w:r>
        <w:rPr>
          <w:rFonts w:ascii="Arial" w:hAnsi="Arial" w:eastAsia="Noto Sans CJK SC" w:cs="Arial"/>
          <w:b/>
          <w:color w:val="000000"/>
          <w:sz w:val="30"/>
        </w:rPr>
        <w:t xml:space="preserve">7 </w:t>
      </w:r>
      <w:r>
        <w:rPr>
          <w:rFonts w:hint="eastAsia" w:ascii="Arial" w:hAnsi="Arial" w:eastAsia="Noto Sans CJK SC" w:cs="Arial"/>
          <w:b/>
          <w:color w:val="000000"/>
          <w:sz w:val="30"/>
        </w:rPr>
        <w:t xml:space="preserve">问题四：10收紧至5</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mg/Nm³的功率代价</w:t>
      </w:r>
    </w:p>
    <w:bookmarkStart w:id="81" w:name="X2f0895ea12edb7f9ecd153c44ed2f288abb33e9"/>
    <w:p>
      <w:pPr>
        <w:pStyle w:val="Heading3"/>
        <w:ind w:firstLine="0"/>
        <w:jc w:val="left"/>
      </w:pPr>
      <w:r>
        <w:rPr>
          <w:rFonts w:ascii="Arial" w:hAnsi="Arial" w:eastAsia="Noto Sans CJK SC" w:cs="Arial"/>
          <w:b/>
          <w:color w:val="000000"/>
          <w:sz w:val="28"/>
        </w:rPr>
        <w:t xml:space="preserve">7.1 </w:t>
      </w:r>
      <w:r>
        <w:rPr>
          <w:rFonts w:hint="eastAsia" w:ascii="Arial" w:hAnsi="Arial" w:eastAsia="Noto Sans CJK SC" w:cs="Arial"/>
          <w:b/>
          <w:color w:val="000000"/>
          <w:sz w:val="28"/>
        </w:rPr>
        <w:t xml:space="preserve">分工况结果</w:t>
      </w:r>
    </w:p>
    <w:p>
      <w:pPr>
        <w:pStyle w:val="FirstParagraph"/>
        <w:keepNext/>
        <w:keepLines/>
        <w:spacing w:line="240" w:lineRule="auto" w:before="120" w:after="40"/>
        <w:ind w:firstLine="0"/>
        <w:jc w:val="center"/>
      </w:pPr>
      <w:r>
        <w:rPr>
          <w:rFonts w:hint="eastAsia" w:ascii="Times New Roman" w:hAnsi="Times New Roman" w:eastAsia="Noto Serif CJK SC" w:cs="Times New Roman"/>
          <w:b w:val="0"/>
          <w:color w:val="000000"/>
          <w:sz w:val="21"/>
        </w:rPr>
        <w:t xml:space="preserve">表10</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中心情景下10收紧至5</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mg/Nm³的分工况功率增幅</w:t>
      </w:r>
    </w:p>
    <w:tbl>
      <w:tblPr>
        <w:tblStyle w:val="Table"/>
        <w:tblW w:type="auto" w:w="0"/>
        <w:jc w:val="center"/>
        <w:tblLayout w:type="fixed"/>
        <w:tblLook w:firstRow="1" w:lastRow="0" w:firstColumn="0" w:lastColumn="0" w:noHBand="0" w:noVBand="0" w:val="0020"/>
      </w:tblPr>
      <w:tblGrid>
        <w:gridCol w:w="1980"/>
        <w:gridCol w:w="1980"/>
        <w:gridCol w:w="1980"/>
        <w:gridCol w:w="1980"/>
      </w:tblGrid>
      <w:tr>
        <w:trPr>
          <w:tblHeader w:val="on"/>
          <w:tblHeader w:val="true"/>
        </w:trPr>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10 </w:t>
            </w:r>
            <w:r>
              <w:rPr>
                <w:rFonts w:hint="eastAsia" w:ascii="Times New Roman" w:hAnsi="Times New Roman" w:eastAsia="Noto Serif CJK SC" w:cs="Times New Roman"/>
                <w:b/>
                <w:color w:val="000000"/>
                <w:sz w:val="19"/>
              </w:rPr>
              <w:t xml:space="preserve">mg预测功率/kW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5 </w:t>
            </w:r>
            <w:r>
              <w:rPr>
                <w:rFonts w:hint="eastAsia" w:ascii="Times New Roman" w:hAnsi="Times New Roman" w:eastAsia="Noto Serif CJK SC" w:cs="Times New Roman"/>
                <w:b/>
                <w:color w:val="000000"/>
                <w:sz w:val="19"/>
              </w:rPr>
              <w:t xml:space="preserve">mg预测功率/kW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功率增幅</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1629.63</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1851.86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13.64%</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1693.00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1931.84</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14.11%</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1595.37</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1813.76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13.69%</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1532.90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1737.39</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13.34%</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按训练期工况占比</w:t>
      </w:r>
      <m:oMath>
        <m:sSub>
          <m:e>
            <m:r>
              <m:t>π</m:t>
            </m:r>
          </m:e>
          <m:sub>
            <m:r>
              <m:t>k</m:t>
            </m:r>
          </m:sub>
        </m:sSub>
      </m:oMath>
      <w:r>
        <w:rPr>
          <w:rFonts w:hint="eastAsia" w:ascii="Times New Roman" w:hAnsi="Times New Roman" w:eastAsia="Noto Serif CJK SC" w:cs="Times New Roman"/>
          <w:color w:val="000000"/>
          <w:sz w:val="24"/>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加上11.78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kW验证期误差附加量后，两档加权功率分别为1621.19和1841.57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kW；由于两者使用同一附加量，该比例不作为严格上界，而只用于功率预算。</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四类工况从10收紧至5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mg/Nm³的中心情景功率增幅如图17所示。分工况功率增幅为13.34%～14.11%，工况加权点估计约13.7%；在相同运行时长下，该比例也等于电耗增幅。该点值必须与灰箱参数组合情景范围同时报告。</w:t>
      </w:r>
    </w:p>
    <w:p>
      <w:pPr>
        <w:pStyle w:val="BodyText"/>
      </w:pPr>
      <w:r>
        <w:drawing>
          <wp:inline>
            <wp:extent cx="5334000" cy="3138474"/>
            <wp:effectExtent b="0" l="0" r="0" t="0"/>
            <wp:docPr descr="图17 分工况功率增幅" title="" id="79" name="Picture"/>
            <a:graphic>
              <a:graphicData uri="http://schemas.openxmlformats.org/drawingml/2006/picture">
                <pic:pic>
                  <pic:nvPicPr>
                    <pic:cNvPr descr="figures_paper/18_condition_energy_penalty.png" id="80" name="Picture"/>
                    <pic:cNvPicPr>
                      <a:picLocks noChangeArrowheads="1" noChangeAspect="1"/>
                    </pic:cNvPicPr>
                  </pic:nvPicPr>
                  <pic:blipFill>
                    <a:blip r:embed="rId78"/>
                    <a:stretch>
                      <a:fillRect/>
                    </a:stretch>
                  </pic:blipFill>
                  <pic:spPr bwMode="auto">
                    <a:xfrm>
                      <a:off x="0" y="0"/>
                      <a:ext cx="5334000" cy="313847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图17</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分工况功率增幅比较</w:t>
      </w:r>
    </w:p>
    <w:bookmarkEnd w:id="81"/>
    <w:bookmarkStart w:id="85" w:name="X0125332a4e3ef07875dbfd4a42d869a8184dda2"/>
    <w:p>
      <w:pPr>
        <w:pStyle w:val="Heading3"/>
        <w:ind w:firstLine="0"/>
        <w:jc w:val="left"/>
      </w:pPr>
      <w:r>
        <w:rPr>
          <w:rFonts w:ascii="Arial" w:hAnsi="Arial" w:eastAsia="Noto Sans CJK SC" w:cs="Arial"/>
          <w:b/>
          <w:color w:val="000000"/>
          <w:sz w:val="28"/>
        </w:rPr>
        <w:t xml:space="preserve">7.2 </w:t>
      </w:r>
      <w:r>
        <w:rPr>
          <w:rFonts w:hint="eastAsia" w:ascii="Arial" w:hAnsi="Arial" w:eastAsia="Noto Sans CJK SC" w:cs="Arial"/>
          <w:b/>
          <w:color w:val="000000"/>
          <w:sz w:val="28"/>
        </w:rPr>
        <w:t xml:space="preserve">峰值约束的作用</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中心情景最佳采样解中，10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mg/Nm³方案的连续基值为8.45～9.04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mg/Nm³，振打峰值增量为0.95～1.54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mg/Nm³方案的连续基值降至3.45～4.04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mg/Nm³，为振打峰值留出约0.95～1.55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mg/Nm³裕度。因此不能只令平均或基值低于限值，否则振打时刻仍可能超限。</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中心情景最佳采样解的连续排放基值与振打峰值增量如图18所示。图中虚线表示情景限值，所有柱形均为模型推演结果，而非实测排放数据。</w:t>
      </w:r>
    </w:p>
    <w:p>
      <w:pPr>
        <w:pStyle w:val="BodyText"/>
      </w:pPr>
      <w:r>
        <w:drawing>
          <wp:inline>
            <wp:extent cx="5334000" cy="2636680"/>
            <wp:effectExtent b="0" l="0" r="0" t="0"/>
            <wp:docPr descr="图18 排放约束分解" title="" id="83" name="Picture"/>
            <a:graphic>
              <a:graphicData uri="http://schemas.openxmlformats.org/drawingml/2006/picture">
                <pic:pic>
                  <pic:nvPicPr>
                    <pic:cNvPr descr="figures_paper/13_emission_decomposition.png" id="84" name="Picture"/>
                    <pic:cNvPicPr>
                      <a:picLocks noChangeArrowheads="1" noChangeAspect="1"/>
                    </pic:cNvPicPr>
                  </pic:nvPicPr>
                  <pic:blipFill>
                    <a:blip r:embed="rId82"/>
                    <a:stretch>
                      <a:fillRect/>
                    </a:stretch>
                  </pic:blipFill>
                  <pic:spPr bwMode="auto">
                    <a:xfrm>
                      <a:off x="0" y="0"/>
                      <a:ext cx="5334000" cy="2636680"/>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图18</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排放约束分解</w:t>
      </w:r>
    </w:p>
    <w:bookmarkEnd w:id="85"/>
    <w:bookmarkStart w:id="86" w:name="X4a13042da4363f3fa99e87aeb967eedca94630c"/>
    <w:p>
      <w:pPr>
        <w:pStyle w:val="Heading3"/>
        <w:ind w:firstLine="0"/>
        <w:jc w:val="left"/>
      </w:pPr>
      <w:r>
        <w:rPr>
          <w:rFonts w:ascii="Arial" w:hAnsi="Arial" w:eastAsia="Noto Sans CJK SC" w:cs="Arial"/>
          <w:b/>
          <w:color w:val="000000"/>
          <w:sz w:val="28"/>
        </w:rPr>
        <w:t xml:space="preserve">7.3 </w:t>
      </w:r>
      <w:r>
        <w:rPr>
          <w:rFonts w:hint="eastAsia" w:ascii="Arial" w:hAnsi="Arial" w:eastAsia="Noto Sans CJK SC" w:cs="Arial"/>
          <w:b/>
          <w:color w:val="000000"/>
          <w:sz w:val="28"/>
        </w:rPr>
        <w:t xml:space="preserve">高浓度工况建议</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工况3和4的粉尘负荷最高。对于这两类工况，建议：</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以</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承担主体捕集，避免四个电场同步大幅抬升造成不必要的功率增加；</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保留</w:t>
      </w:r>
      <m:oMath>
        <m:sSub>
          <m:e>
            <m:r>
              <m:t>U</m:t>
            </m:r>
          </m:e>
          <m:sub>
            <m:r>
              <m:t>3</m:t>
            </m:r>
          </m:sub>
        </m:sSub>
        <m:r>
          <m:rPr>
            <m:sty m:val="p"/>
          </m:rPr>
          <m:t>,</m:t>
        </m:r>
        <m:sSub>
          <m:e>
            <m:r>
              <m:t>U</m:t>
            </m:r>
          </m:e>
          <m:sub>
            <m:r>
              <m:t>4</m:t>
            </m:r>
          </m:sub>
        </m:sSub>
      </m:oMath>
      <w:r>
        <w:rPr>
          <w:rFonts w:hint="eastAsia" w:ascii="Times New Roman" w:hAnsi="Times New Roman" w:eastAsia="Noto Serif CJK SC" w:cs="Times New Roman"/>
          <w:color w:val="000000"/>
          <w:sz w:val="24"/>
        </w:rPr>
        <w:t xml:space="preserve">的精除余量，出口趋势接近阈值时再小步提高；</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四电场振打错相，避免峰值叠加；高负荷下不宜为降低振打次数而持续延长周期；</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将秒级未封顶出口浓度、实际振打事件、二次电流和火花率接入在线控制；</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设置人工审核、变化速率限制和自动回退，先影子运行再闭环投用。</w:t>
      </w:r>
    </w:p>
    <w:bookmarkEnd w:id="86"/>
    <w:bookmarkEnd w:id="87"/>
    <w:bookmarkStart w:id="100" w:name="Xf1b15cf90a11eae26a1c592979f2d4614416719"/>
    <w:p>
      <w:pPr>
        <w:pStyle w:val="Heading2"/>
        <w:ind w:firstLine="0"/>
        <w:jc w:val="center"/>
      </w:pPr>
      <w:r>
        <w:rPr>
          <w:rFonts w:ascii="Arial" w:hAnsi="Arial" w:eastAsia="Noto Sans CJK SC" w:cs="Arial"/>
          <w:b/>
          <w:color w:val="000000"/>
          <w:sz w:val="30"/>
        </w:rPr>
        <w:t xml:space="preserve">8 </w:t>
      </w:r>
      <w:r>
        <w:rPr>
          <w:rFonts w:hint="eastAsia" w:ascii="Arial" w:hAnsi="Arial" w:eastAsia="Noto Sans CJK SC" w:cs="Arial"/>
          <w:b/>
          <w:color w:val="000000"/>
          <w:sz w:val="30"/>
        </w:rPr>
        <w:t xml:space="preserve">模型检验、敏感性与稳健性</w:t>
      </w:r>
    </w:p>
    <w:bookmarkStart w:id="91" w:name="Xf1feebf282615895cd6ed07dbcafee88caf2b29"/>
    <w:p>
      <w:pPr>
        <w:pStyle w:val="Heading3"/>
        <w:ind w:firstLine="0"/>
        <w:jc w:val="left"/>
      </w:pPr>
      <w:r>
        <w:rPr>
          <w:rFonts w:ascii="Arial" w:hAnsi="Arial" w:eastAsia="Noto Sans CJK SC" w:cs="Arial"/>
          <w:b/>
          <w:color w:val="000000"/>
          <w:sz w:val="28"/>
        </w:rPr>
        <w:t xml:space="preserve">8.1 </w:t>
      </w:r>
      <w:r>
        <w:rPr>
          <w:rFonts w:hint="eastAsia" w:ascii="Arial" w:hAnsi="Arial" w:eastAsia="Noto Sans CJK SC" w:cs="Arial"/>
          <w:b/>
          <w:color w:val="000000"/>
          <w:sz w:val="28"/>
        </w:rPr>
        <w:t xml:space="preserve">多种子稳定性与局部细化</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5个独立随机种子分别执行“每工况220000组全域采样＋每个初始最佳点30000组局部扰动”。八个工况—限值组合中，最佳采样预测功率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五种子离散性与局部细化收益如图19所示。左图以各组合五种子中位数为基准，右图给出局部细化相对初始随机库的改善；数值稳定不等价于获得全局最优解。</w:t>
      </w:r>
    </w:p>
    <w:p>
      <w:pPr>
        <w:pStyle w:val="BodyText"/>
      </w:pPr>
      <w:r>
        <w:drawing>
          <wp:inline>
            <wp:extent cx="5334000" cy="2160607"/>
            <wp:effectExtent b="0" l="0" r="0" t="0"/>
            <wp:docPr descr="图19 随机搜索收敛性" title="" id="89" name="Picture"/>
            <a:graphic>
              <a:graphicData uri="http://schemas.openxmlformats.org/drawingml/2006/picture">
                <pic:pic>
                  <pic:nvPicPr>
                    <pic:cNvPr descr="figures_paper/15_search_convergence.png" id="90" name="Picture"/>
                    <pic:cNvPicPr>
                      <a:picLocks noChangeArrowheads="1" noChangeAspect="1"/>
                    </pic:cNvPicPr>
                  </pic:nvPicPr>
                  <pic:blipFill>
                    <a:blip r:embed="rId88"/>
                    <a:stretch>
                      <a:fillRect/>
                    </a:stretch>
                  </pic:blipFill>
                  <pic:spPr bwMode="auto">
                    <a:xfrm>
                      <a:off x="0" y="0"/>
                      <a:ext cx="5334000" cy="2160607"/>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图19</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随机搜索稳定性与局部细化收益</w:t>
      </w:r>
    </w:p>
    <w:bookmarkEnd w:id="91"/>
    <w:bookmarkStart w:id="98" w:name="Xaf36e5907a800cb12885d3d81ce36d77c57ef4d"/>
    <w:p>
      <w:pPr>
        <w:pStyle w:val="Heading3"/>
        <w:ind w:firstLine="0"/>
        <w:jc w:val="left"/>
      </w:pPr>
      <w:r>
        <w:rPr>
          <w:rFonts w:ascii="Arial" w:hAnsi="Arial" w:eastAsia="Noto Sans CJK SC" w:cs="Arial"/>
          <w:b/>
          <w:color w:val="000000"/>
          <w:sz w:val="28"/>
        </w:rPr>
        <w:t xml:space="preserve">8.2 </w:t>
      </w:r>
      <w:r>
        <w:rPr>
          <w:rFonts w:hint="eastAsia" w:ascii="Arial" w:hAnsi="Arial" w:eastAsia="Noto Sans CJK SC" w:cs="Arial"/>
          <w:b/>
          <w:color w:val="000000"/>
          <w:sz w:val="28"/>
        </w:rPr>
        <w:t xml:space="preserve">灰箱参数组合敏感性</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ascii="Times New Roman" w:hAnsi="Times New Roman" w:eastAsia="Noto Serif CJK SC" w:cs="Times New Roman"/>
          <w:color w:val="000000"/>
          <w:sz w:val="24"/>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ascii="Times New Roman" w:hAnsi="Times New Roman" w:eastAsia="Noto Serif CJK SC" w:cs="Times New Roman"/>
          <w:color w:val="000000"/>
          <w:sz w:val="24"/>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ascii="Times New Roman" w:hAnsi="Times New Roman" w:eastAsia="Noto Serif CJK SC" w:cs="Times New Roman"/>
          <w:color w:val="000000"/>
          <w:sz w:val="24"/>
        </w:rPr>
        <w:t xml:space="preserve">。其中26组全工况可行，功率增幅为10.40%～18.45%。更重要的是，灰箱参数组合扫描涵盖出口缩放0.08～0.12、三种场权重形状、三个峰值指数、三个相位尺度和三个参考周期负荷指数，共405组且全部可行；灰箱参数组合情景功率增幅为11.37%～14.31%，中位数12.99%。两类范围都是先验网格上的灰箱参数组合情景范围，不是统计置信区间。</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405组灰箱参数组合情景的功率增幅分布如图20所示。出口缩放与振打相位会系统改变功率增幅，中心点约13.7%应与11.37%～14.31%的灰箱参数组合情景范围结合解释。</w:t>
      </w:r>
    </w:p>
    <w:p>
      <w:pPr>
        <w:pStyle w:val="BodyText"/>
      </w:pPr>
      <w:r>
        <w:drawing>
          <wp:inline>
            <wp:extent cx="5334000" cy="2230304"/>
            <wp:effectExtent b="0" l="0" r="0" t="0"/>
            <wp:docPr descr="图20 功率增幅敏感性分布" title="" id="93" name="Picture"/>
            <a:graphic>
              <a:graphicData uri="http://schemas.openxmlformats.org/drawingml/2006/picture">
                <pic:pic>
                  <pic:nvPicPr>
                    <pic:cNvPr descr="figures_paper/16_sensitivity_distribution.png" id="94" name="Picture"/>
                    <pic:cNvPicPr>
                      <a:picLocks noChangeArrowheads="1" noChangeAspect="1"/>
                    </pic:cNvPicPr>
                  </pic:nvPicPr>
                  <pic:blipFill>
                    <a:blip r:embed="rId92"/>
                    <a:stretch>
                      <a:fillRect/>
                    </a:stretch>
                  </pic:blipFill>
                  <pic:spPr bwMode="auto">
                    <a:xfrm>
                      <a:off x="0" y="0"/>
                      <a:ext cx="5334000" cy="2230304"/>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图20</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功率增幅敏感性分布</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电场贡献权重消融结果如图21所示。在等权、弱前级和中心前级三种设定下，前两电场仍承担70.8%～73.7%的正向电压增量；该结果支持有条件的“前级优先”，同时说明</w:t>
      </w:r>
      <m:oMath>
        <m:sSub>
          <m:e>
            <m:r>
              <m:t>U</m:t>
            </m:r>
          </m:e>
          <m:sub>
            <m:r>
              <m:t>4</m:t>
            </m:r>
          </m:sub>
        </m:sSub>
      </m:oMath>
      <w:r>
        <w:rPr>
          <w:rFonts w:hint="eastAsia" w:ascii="Times New Roman" w:hAnsi="Times New Roman" w:eastAsia="Noto Serif CJK SC" w:cs="Times New Roman"/>
          <w:color w:val="000000"/>
          <w:sz w:val="24"/>
        </w:rPr>
        <w:t xml:space="preserve">补偿不可忽略。</w:t>
      </w:r>
    </w:p>
    <w:p>
      <w:pPr>
        <w:pStyle w:val="BodyText"/>
      </w:pPr>
      <w:r>
        <w:drawing>
          <wp:inline>
            <wp:extent cx="5334000" cy="2218851"/>
            <wp:effectExtent b="0" l="0" r="0" t="0"/>
            <wp:docPr descr="图21 电场贡献权重消融" title="" id="96" name="Picture"/>
            <a:graphic>
              <a:graphicData uri="http://schemas.openxmlformats.org/drawingml/2006/picture">
                <pic:pic>
                  <pic:nvPicPr>
                    <pic:cNvPr descr="figures_paper/17_sensitivity_heatmap.png" id="97" name="Picture"/>
                    <pic:cNvPicPr>
                      <a:picLocks noChangeArrowheads="1" noChangeAspect="1"/>
                    </pic:cNvPicPr>
                  </pic:nvPicPr>
                  <pic:blipFill>
                    <a:blip r:embed="rId95"/>
                    <a:stretch>
                      <a:fillRect/>
                    </a:stretch>
                  </pic:blipFill>
                  <pic:spPr bwMode="auto">
                    <a:xfrm>
                      <a:off x="0" y="0"/>
                      <a:ext cx="5334000" cy="2218851"/>
                    </a:xfrm>
                    <a:prstGeom prst="rect">
                      <a:avLst/>
                    </a:prstGeom>
                    <a:noFill/>
                    <a:ln w="9525">
                      <a:noFill/>
                      <a:headEnd/>
                      <a:tailEnd/>
                    </a:ln>
                  </pic:spPr>
                </pic:pic>
              </a:graphicData>
            </a:graphic>
          </wp:inline>
        </w:drawing>
      </w:r>
    </w:p>
    <w:p>
      <w:pPr>
        <w:pStyle w:val="BodyText"/>
        <w:keepNext w:val="0"/>
        <w:keepLines/>
        <w:spacing w:line="240" w:lineRule="auto" w:before="40" w:after="120"/>
        <w:ind w:firstLine="0"/>
        <w:jc w:val="center"/>
      </w:pPr>
      <w:r>
        <w:rPr>
          <w:rFonts w:hint="eastAsia" w:ascii="Times New Roman" w:hAnsi="Times New Roman" w:eastAsia="Noto Serif CJK SC" w:cs="Times New Roman"/>
          <w:b w:val="0"/>
          <w:color w:val="000000"/>
          <w:sz w:val="21"/>
        </w:rPr>
        <w:t xml:space="preserve">图21</w:t>
      </w:r>
      <w:r>
        <w:rPr>
          <w:rFonts w:ascii="Times New Roman" w:hAnsi="Times New Roman" w:eastAsia="Noto Serif CJK SC" w:cs="Times New Roman"/>
          <w:b w:val="0"/>
          <w:color w:val="000000"/>
          <w:sz w:val="21"/>
        </w:rPr>
        <w:t xml:space="preserve">　</w:t>
      </w:r>
      <w:r>
        <w:rPr>
          <w:rFonts w:hint="eastAsia" w:ascii="Times New Roman" w:hAnsi="Times New Roman" w:eastAsia="Noto Serif CJK SC" w:cs="Times New Roman"/>
          <w:b w:val="0"/>
          <w:color w:val="000000"/>
          <w:sz w:val="21"/>
        </w:rPr>
        <w:t xml:space="preserve">电场贡献权重消融结果</w:t>
      </w:r>
    </w:p>
    <w:bookmarkEnd w:id="98"/>
    <w:bookmarkStart w:id="99" w:name="Xd683c1d6d2fb05e7e88c547c978d9a068022b42"/>
    <w:p>
      <w:pPr>
        <w:pStyle w:val="Heading3"/>
        <w:ind w:firstLine="0"/>
        <w:jc w:val="left"/>
      </w:pPr>
      <w:r>
        <w:rPr>
          <w:rFonts w:ascii="Arial" w:hAnsi="Arial" w:eastAsia="Noto Sans CJK SC" w:cs="Arial"/>
          <w:b/>
          <w:color w:val="000000"/>
          <w:sz w:val="28"/>
        </w:rPr>
        <w:t xml:space="preserve">8.3 </w:t>
      </w:r>
      <w:r>
        <w:rPr>
          <w:rFonts w:hint="eastAsia" w:ascii="Arial" w:hAnsi="Arial" w:eastAsia="Noto Sans CJK SC" w:cs="Arial"/>
          <w:b/>
          <w:color w:val="000000"/>
          <w:sz w:val="28"/>
        </w:rPr>
        <w:t xml:space="preserve">稳健性结论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稳健性证据分四层：轮廓系数支持四工况分层；基线与滚动验证支持功率模型选择；五种子与局部细化支持数值搜索稳定；灰箱参数组合情景与场权重消融检验灰箱结论对建模选择的依赖。中心功率增幅约13.7%，但灰箱参数组合情景中位数为12.99%，二者差异正说明不能只报告单点。验证期误差附加量、测试偏差和情景范围也不能把灰箱模型变成实证模型，现场补采与盲测仍是闭环前置条件。</w:t>
      </w:r>
    </w:p>
    <w:bookmarkEnd w:id="99"/>
    <w:bookmarkEnd w:id="100"/>
    <w:bookmarkStart w:id="104" w:name="X7ce0aa42dc506c3897080768a28a825c77ec11b"/>
    <w:p>
      <w:pPr>
        <w:pStyle w:val="Heading2"/>
        <w:ind w:firstLine="0"/>
        <w:jc w:val="center"/>
      </w:pPr>
      <w:r>
        <w:rPr>
          <w:rFonts w:ascii="Arial" w:hAnsi="Arial" w:eastAsia="Noto Sans CJK SC" w:cs="Arial"/>
          <w:b/>
          <w:color w:val="000000"/>
          <w:sz w:val="30"/>
        </w:rPr>
        <w:t xml:space="preserve">9 </w:t>
      </w:r>
      <w:r>
        <w:rPr>
          <w:rFonts w:hint="eastAsia" w:ascii="Arial" w:hAnsi="Arial" w:eastAsia="Noto Sans CJK SC" w:cs="Arial"/>
          <w:b/>
          <w:color w:val="000000"/>
          <w:sz w:val="30"/>
        </w:rPr>
        <w:t xml:space="preserve">模型评价、实施方案与局限</w:t>
      </w:r>
    </w:p>
    <w:bookmarkStart w:id="101" w:name="X042af00968bb7dd338faa882bc86e7318c60552"/>
    <w:p>
      <w:pPr>
        <w:pStyle w:val="Heading3"/>
        <w:ind w:firstLine="0"/>
        <w:jc w:val="left"/>
      </w:pPr>
      <w:r>
        <w:rPr>
          <w:rFonts w:ascii="Arial" w:hAnsi="Arial" w:eastAsia="Noto Sans CJK SC" w:cs="Arial"/>
          <w:b/>
          <w:color w:val="000000"/>
          <w:sz w:val="28"/>
        </w:rPr>
        <w:t xml:space="preserve">9.1 </w:t>
      </w:r>
      <w:r>
        <w:rPr>
          <w:rFonts w:hint="eastAsia" w:ascii="Arial" w:hAnsi="Arial" w:eastAsia="Noto Sans CJK SC" w:cs="Arial"/>
          <w:b/>
          <w:color w:val="000000"/>
          <w:sz w:val="28"/>
        </w:rPr>
        <w:t xml:space="preserve">模型优点</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第一，设置可识别性门禁，避免用复杂算法拟合封顶噪声。第二，工况聚类不使用出口浓度和总功率，减少以结果反向定义工况的偏差。第三，功率模型采用均值、线性、二次基线和滚动验证，并报告偏差与验证期误差附加量。第四，支持域使用逐变量分位数和经验Mahalanobis阈值，降低不合理外推。第五，优化使用五种子与局部细化，且不冒称全局最优。第六，405组灰箱参数组合情景、场权重消融和振打相位尺度把关键先验显式化。</w:t>
      </w:r>
    </w:p>
    <w:bookmarkEnd w:id="101"/>
    <w:bookmarkStart w:id="102" w:name="X372eadd0c1080cf21d3eb821d3629691308d568"/>
    <w:p>
      <w:pPr>
        <w:pStyle w:val="Heading3"/>
        <w:ind w:firstLine="0"/>
        <w:jc w:val="left"/>
      </w:pPr>
      <w:r>
        <w:rPr>
          <w:rFonts w:ascii="Arial" w:hAnsi="Arial" w:eastAsia="Noto Sans CJK SC" w:cs="Arial"/>
          <w:b/>
          <w:color w:val="000000"/>
          <w:sz w:val="28"/>
        </w:rPr>
        <w:t xml:space="preserve">9.2 </w:t>
      </w:r>
      <w:r>
        <w:rPr>
          <w:rFonts w:hint="eastAsia" w:ascii="Arial" w:hAnsi="Arial" w:eastAsia="Noto Sans CJK SC" w:cs="Arial"/>
          <w:b/>
          <w:color w:val="000000"/>
          <w:sz w:val="28"/>
        </w:rPr>
        <w:t xml:space="preserve">模型局限</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最主要的局限是出口浓度缩放、灰箱系数和振打峰值结构均未由附件识别；11.37%～14.31%只是给定网格上的灰箱参数组合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w:t>
      </w:r>
      <w:r>
        <w:rPr>
          <w:rFonts w:hint="eastAsia" w:ascii="Times New Roman" w:hAnsi="Times New Roman" w:eastAsia="Noto Serif CJK SC" w:cs="Times New Roman"/>
          <w:b/>
          <w:bCs/>
          <w:color w:val="000000"/>
          <w:sz w:val="24"/>
        </w:rPr>
        <w:t xml:space="preserve">不得直接下发生产设备</w:t>
      </w:r>
      <w:r>
        <w:rPr>
          <w:rFonts w:ascii="Times New Roman" w:hAnsi="Times New Roman" w:eastAsia="Noto Serif CJK SC" w:cs="Times New Roman"/>
          <w:color w:val="000000"/>
          <w:sz w:val="24"/>
        </w:rPr>
        <w:t xml:space="preserve">。</w:t>
      </w:r>
    </w:p>
    <w:bookmarkEnd w:id="102"/>
    <w:bookmarkStart w:id="103" w:name="Xddb38963dcb7d50bf7a48a7ccae7cf7cd5bbe12"/>
    <w:p>
      <w:pPr>
        <w:pStyle w:val="Heading3"/>
        <w:ind w:firstLine="0"/>
        <w:jc w:val="left"/>
      </w:pPr>
      <w:r>
        <w:rPr>
          <w:rFonts w:ascii="Arial" w:hAnsi="Arial" w:eastAsia="Noto Sans CJK SC" w:cs="Arial"/>
          <w:b/>
          <w:color w:val="000000"/>
          <w:sz w:val="28"/>
        </w:rPr>
        <w:t xml:space="preserve">9.3 </w:t>
      </w:r>
      <w:r>
        <w:rPr>
          <w:rFonts w:hint="eastAsia" w:ascii="Arial" w:hAnsi="Arial" w:eastAsia="Noto Sans CJK SC" w:cs="Arial"/>
          <w:b/>
          <w:color w:val="000000"/>
          <w:sz w:val="28"/>
        </w:rPr>
        <w:t xml:space="preserve">上线与补采方案</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建议按四阶段部署。第一阶段只做影子计算，验证工况识别和TARGET-10/TARGET-5参数表的正确加载；第二阶段在每类工况内执行单因素小步阶跃，并由现场确定真实电压和周期斜坡上限；第三阶段用1～5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103"/>
    <w:bookmarkEnd w:id="104"/>
    <w:bookmarkStart w:id="105" w:name="Xfd9d43f305f37d0c379f1c52a6a65ef2597314b"/>
    <w:p>
      <w:pPr>
        <w:pStyle w:val="Heading2"/>
        <w:ind w:firstLine="0"/>
        <w:jc w:val="center"/>
      </w:pPr>
      <w:r>
        <w:rPr>
          <w:rFonts w:ascii="Arial" w:hAnsi="Arial" w:eastAsia="Noto Sans CJK SC" w:cs="Arial"/>
          <w:b/>
          <w:color w:val="000000"/>
          <w:sz w:val="30"/>
        </w:rPr>
        <w:t xml:space="preserve">10 </w:t>
      </w:r>
      <w:r>
        <w:rPr>
          <w:rFonts w:hint="eastAsia" w:ascii="Arial" w:hAnsi="Arial" w:eastAsia="Noto Sans CJK SC" w:cs="Arial"/>
          <w:b/>
          <w:color w:val="000000"/>
          <w:sz w:val="30"/>
        </w:rPr>
        <w:t xml:space="preserve">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本文对四个问题得到如下结论。</w:t>
      </w:r>
    </w:p>
    <w:p>
      <w:pPr>
        <w:pStyle w:val="Compact"/>
        <w:numPr>
          <w:ilvl w:val="0"/>
          <w:numId w:val="1003"/>
        </w:numPr>
        <w:spacing w:line="360" w:lineRule="auto"/>
        <w:ind w:firstLine="482"/>
        <w:jc w:val="both"/>
      </w:pPr>
      <w:r>
        <w:rPr>
          <w:rFonts w:hint="eastAsia" w:ascii="Times New Roman" w:hAnsi="Times New Roman" w:eastAsia="Noto Serif CJK SC" w:cs="Times New Roman"/>
          <w:b/>
          <w:bCs/>
          <w:color w:val="000000"/>
          <w:sz w:val="24"/>
        </w:rPr>
        <w:t xml:space="preserve">问题一：可识别性与方向性关系。</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附件出口浓度在50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mg/Nm³附近显著截顶，无法从数据实证识别控制量对真实排放及逐次振打峰值的影响。灰箱模型只提供条件式方向与试验假设；同相振打是情景上界，错相收益需由事件级数据标定。</w:t>
      </w:r>
    </w:p>
    <w:p>
      <w:pPr>
        <w:pStyle w:val="Compact"/>
        <w:numPr>
          <w:ilvl w:val="0"/>
          <w:numId w:val="1003"/>
        </w:numPr>
        <w:spacing w:line="360" w:lineRule="auto"/>
        <w:ind w:firstLine="482"/>
        <w:jc w:val="both"/>
      </w:pPr>
      <w:r>
        <w:rPr>
          <w:rFonts w:hint="eastAsia" w:ascii="Times New Roman" w:hAnsi="Times New Roman" w:eastAsia="Noto Serif CJK SC" w:cs="Times New Roman"/>
          <w:b/>
          <w:bCs/>
          <w:color w:val="000000"/>
          <w:sz w:val="24"/>
        </w:rPr>
        <w:t xml:space="preserve">问题二：工况划分、功率模型与10</w:t>
      </w:r>
      <w:r>
        <w:rPr>
          <w:rFonts w:ascii="Times New Roman" w:hAnsi="Times New Roman" w:eastAsia="Noto Serif CJK SC" w:cs="Times New Roman"/>
          <w:b/>
          <w:bCs/>
          <w:color w:val="000000"/>
          <w:sz w:val="24"/>
        </w:rPr>
        <w:t xml:space="preserve"> </w:t>
      </w:r>
      <w:r>
        <w:rPr>
          <w:rFonts w:hint="eastAsia" w:ascii="Times New Roman" w:hAnsi="Times New Roman" w:eastAsia="Noto Serif CJK SC" w:cs="Times New Roman"/>
          <w:b/>
          <w:bCs/>
          <w:color w:val="000000"/>
          <w:sz w:val="24"/>
        </w:rPr>
        <w:t xml:space="preserve">mg方案。</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rPr>
          <w:rFonts w:ascii="Times New Roman" w:hAnsi="Times New Roman" w:eastAsia="Noto Serif CJK SC" w:cs="Times New Roman"/>
          <w:color w:val="000000"/>
          <w:sz w:val="24"/>
        </w:rPr>
        <w:t xml:space="preserve">、RMSE=7.12 </w:t>
      </w:r>
      <w:r>
        <w:rPr>
          <w:rFonts w:hint="eastAsia" w:ascii="Times New Roman" w:hAnsi="Times New Roman" w:eastAsia="Noto Serif CJK SC" w:cs="Times New Roman"/>
          <w:color w:val="000000"/>
          <w:sz w:val="24"/>
        </w:rPr>
        <w:t xml:space="preserve">kW；验证期误差附加量为11.78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kW。中心情景下，10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mg/Nm³的四工况最佳采样预测功率为1532.90～1693.00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kW；五种子最大变异系数0.181%，局部细化最多改善0.986%，支持数值稳定但不构成全局最优证明。</w:t>
      </w:r>
    </w:p>
    <w:p>
      <w:pPr>
        <w:pStyle w:val="Compact"/>
        <w:numPr>
          <w:ilvl w:val="0"/>
          <w:numId w:val="1003"/>
        </w:numPr>
        <w:spacing w:line="360" w:lineRule="auto"/>
        <w:ind w:firstLine="482"/>
        <w:jc w:val="both"/>
      </w:pPr>
      <w:r>
        <w:rPr>
          <w:rFonts w:hint="eastAsia" w:ascii="Times New Roman" w:hAnsi="Times New Roman" w:eastAsia="Noto Serif CJK SC" w:cs="Times New Roman"/>
          <w:b/>
          <w:bCs/>
          <w:color w:val="000000"/>
          <w:sz w:val="24"/>
        </w:rPr>
        <w:t xml:space="preserve">问题三：控制优先级。</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等权、弱前级和中心前级消融下，前两电场承担70.8%～73.7%的正向电压增量，故可保留有条件的“前级优先”；后级尤其</w:t>
      </w:r>
      <m:oMath>
        <m:sSub>
          <m:e>
            <m:r>
              <m:t>U</m:t>
            </m:r>
          </m:e>
          <m:sub>
            <m:r>
              <m:t>4</m:t>
            </m:r>
          </m:sub>
        </m:sSub>
      </m:oMath>
      <w:r>
        <w:rPr>
          <w:rFonts w:hint="eastAsia" w:ascii="Times New Roman" w:hAnsi="Times New Roman" w:eastAsia="Noto Serif CJK SC" w:cs="Times New Roman"/>
          <w:color w:val="000000"/>
          <w:sz w:val="24"/>
        </w:rPr>
        <w:t xml:space="preserve">仍承担情景相关补偿，振打周期需与电压协同调整。</w:t>
      </w:r>
    </w:p>
    <w:p>
      <w:pPr>
        <w:pStyle w:val="Compact"/>
        <w:numPr>
          <w:ilvl w:val="0"/>
          <w:numId w:val="1003"/>
        </w:numPr>
        <w:spacing w:line="360" w:lineRule="auto"/>
        <w:ind w:firstLine="482"/>
        <w:jc w:val="both"/>
      </w:pPr>
      <w:r>
        <w:rPr>
          <w:rFonts w:hint="eastAsia" w:ascii="Times New Roman" w:hAnsi="Times New Roman" w:eastAsia="Noto Serif CJK SC" w:cs="Times New Roman"/>
          <w:b/>
          <w:bCs/>
          <w:color w:val="000000"/>
          <w:sz w:val="24"/>
        </w:rPr>
        <w:t xml:space="preserve">问题四：5</w:t>
      </w:r>
      <w:r>
        <w:rPr>
          <w:rFonts w:ascii="Times New Roman" w:hAnsi="Times New Roman" w:eastAsia="Noto Serif CJK SC" w:cs="Times New Roman"/>
          <w:b/>
          <w:bCs/>
          <w:color w:val="000000"/>
          <w:sz w:val="24"/>
        </w:rPr>
        <w:t xml:space="preserve"> </w:t>
      </w:r>
      <w:r>
        <w:rPr>
          <w:rFonts w:hint="eastAsia" w:ascii="Times New Roman" w:hAnsi="Times New Roman" w:eastAsia="Noto Serif CJK SC" w:cs="Times New Roman"/>
          <w:b/>
          <w:bCs/>
          <w:color w:val="000000"/>
          <w:sz w:val="24"/>
        </w:rPr>
        <w:t xml:space="preserve">mg方案与功率代价。</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排放目标由10收紧至5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mg/Nm³时，中心情景加权功率由1609.4增至1829.8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功率增幅约13.7%；405组灰箱参数组合情景范围为11.37%～14.31%，中位数12.99%。在相同运行时长下，该功率增幅也等于电耗增幅。上述数值均为情景推演，必须在补采未封顶秒级排放、振打事件和电气状态后重新标定。</w:t>
      </w:r>
    </w:p>
    <w:bookmarkEnd w:id="105"/>
    <w:bookmarkStart w:id="109" w:name="参考文献"/>
    <w:p>
      <w:pPr>
        <w:pStyle w:val="Heading2"/>
        <w:ind w:firstLine="0"/>
        <w:jc w:val="center"/>
      </w:pPr>
      <w:r>
        <w:rPr>
          <w:rFonts w:hint="eastAsia" w:ascii="Arial" w:hAnsi="Arial" w:eastAsia="Noto Sans CJK SC" w:cs="Arial"/>
          <w:b/>
          <w:color w:val="000000"/>
          <w:sz w:val="30"/>
        </w:rPr>
        <w:t xml:space="preserve">参考文献</w:t>
      </w:r>
    </w:p>
    <w:p>
      <w:pPr>
        <w:pStyle w:val="FirstParagraph"/>
        <w:spacing w:line="300" w:lineRule="auto" w:after="40"/>
        <w:ind w:hanging="340" w:left="340"/>
        <w:jc w:val="left"/>
      </w:pPr>
      <w:r>
        <w:rPr>
          <w:rFonts w:ascii="Times New Roman" w:hAnsi="Times New Roman" w:eastAsia="Noto Serif CJK SC" w:cs="Times New Roman"/>
          <w:color w:val="000000"/>
          <w:sz w:val="21"/>
        </w:rPr>
        <w:t xml:space="preserve">[1] </w:t>
      </w:r>
      <w:r>
        <w:rPr>
          <w:rFonts w:hint="eastAsia" w:ascii="Times New Roman" w:hAnsi="Times New Roman" w:eastAsia="Noto Serif CJK SC" w:cs="Times New Roman"/>
          <w:color w:val="000000"/>
          <w:sz w:val="21"/>
        </w:rPr>
        <w:t xml:space="preserve">中华人民共和国生态环境部.</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水泥工业大气污染物排放标准：GB</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4915—2013（含2025年修改单）[EB/OL].</w:t>
      </w:r>
      <w:r>
        <w:rPr>
          <w:rFonts w:ascii="Times New Roman" w:hAnsi="Times New Roman" w:eastAsia="Noto Serif CJK SC" w:cs="Times New Roman"/>
          <w:color w:val="000000"/>
          <w:sz w:val="21"/>
        </w:rPr>
        <w:t xml:space="preserve"> (2013-12-27)[2026-08-06].</w:t>
      </w:r>
      <w:r>
        <w:rPr>
          <w:rFonts w:ascii="Times New Roman" w:hAnsi="Times New Roman" w:eastAsia="Noto Serif CJK SC" w:cs="Times New Roman"/>
          <w:color w:val="000000"/>
          <w:sz w:val="21"/>
        </w:rPr>
        <w:t xml:space="preserve"> </w:t>
      </w:r>
      <w:hyperlink r:id="rId106">
        <w:r>
          <w:rPr>
            <w:rStyle w:val="Hyperlink"/>
          </w:rPr>
          <w:t xml:space="preserve">https://www.mee.gov.cn/ywgz/fgbz/bz/bzwb/dqhjbh/dqgdwrywrwpfbz/201312/t20131227_265765.htm</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[2] OGLESBY S Jr, NICHOLS G B.</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A Manual of Electrostatic Precipitator Technology: Part I—Fundamentals</w:t>
      </w:r>
      <w:r>
        <w:rPr>
          <w:rFonts w:ascii="Times New Roman" w:hAnsi="Times New Roman" w:eastAsia="Noto Serif CJK SC" w:cs="Times New Roman"/>
          <w:color w:val="000000"/>
          <w:sz w:val="21"/>
        </w:rPr>
        <w:t xml:space="preserve">[R/OL]. Birmingham: Southern Research Institute, 1970[2026-08-06].</w:t>
      </w:r>
      <w:r>
        <w:rPr>
          <w:rFonts w:ascii="Times New Roman" w:hAnsi="Times New Roman" w:eastAsia="Noto Serif CJK SC" w:cs="Times New Roman"/>
          <w:color w:val="000000"/>
          <w:sz w:val="21"/>
        </w:rPr>
        <w:t xml:space="preserve"> </w:t>
      </w:r>
      <w:hyperlink r:id="rId107">
        <w:r>
          <w:rPr>
            <w:rStyle w:val="Hyperlink"/>
          </w:rPr>
          <w:t xml:space="preserve">https://nepis.epa.gov/Exe/ZyPURL.cgi?Dockey=9101FJFA.TXT</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[3] SZABO M F, SHAH Y M, SCHLIESSER S P.</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Inspection Manual for Evaluation of Electrostatic Precipitator Performance</w:t>
      </w:r>
      <w:r>
        <w:rPr>
          <w:rFonts w:ascii="Times New Roman" w:hAnsi="Times New Roman" w:eastAsia="Noto Serif CJK SC" w:cs="Times New Roman"/>
          <w:color w:val="000000"/>
          <w:sz w:val="21"/>
        </w:rPr>
        <w:t xml:space="preserve">[R/OL]. Washington, DC: U.S. Environmental Protection Agency, 1981[2026-08-06].</w:t>
      </w:r>
      <w:r>
        <w:rPr>
          <w:rFonts w:ascii="Times New Roman" w:hAnsi="Times New Roman" w:eastAsia="Noto Serif CJK SC" w:cs="Times New Roman"/>
          <w:color w:val="000000"/>
          <w:sz w:val="21"/>
        </w:rPr>
        <w:t xml:space="preserve"> </w:t>
      </w:r>
      <w:hyperlink r:id="rId108">
        <w:r>
          <w:rPr>
            <w:rStyle w:val="Hyperlink"/>
          </w:rPr>
          <w:t xml:space="preserve">https://nepis.epa.gov/Exe/ZyPURL.cgi?Dockey=9400034C.TXT</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[4] MIZUNO A. Electrostatic precipitation[J]. IEEE Transactions on Dielectrics and Electrical Insulation, 2000, 7(5): 615-624. DOI: 10.1109/94.879357.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[5] LI Z, SHAO C, AN Y, et al. Energy-saving optimal control for a factual electrostatic precipitator with multiple electric-field stages based on GA[J]. Journal of Process Control, 2013, 23(8): 1041-1051. DOI: 10.1016/j.jprocont.2013.06.007.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[6] NAVARRETE B, VILCHES L F, RODRIGUEZ-GALAN M, et al. A pilot scale study of the rapping reentrainment and fouling in electrostatic precipitation[J]. Environmental Progress &amp; Sustainable Energy, 2015, 34(1): 7-14. DOI: 10.1002/ep.11934.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[8] FU Y, SU Z. Deep neural network based concentration prediction model of dry electrostatic precipitator with a modified PID optimizer[J]. Journal of Physics: Conference Series, 2022, 2189: 012018. DOI: 10.1088/1742-6596/2189/1/012018.</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[10] ROUSSEEUW P J. Silhouettes: A graphical aid to the interpretation and validation of cluster analysis[J]. Journal of Computational and Applied Mathematics, 1987, 20: 53-65. DOI: 10.1016/0377-0427(87)90125-7.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[11] HOERL A E, KENNARD R W. Ridge regression: Biased estimation for nonorthogonal problems[J]. Technometrics, 1970, 12(1): 55-67. DOI: 10.1080/00401706.1970.10488634.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[12] WHITE H J.</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Industrial Electrostatic Precipitation</w:t>
      </w:r>
      <w:r>
        <w:rPr>
          <w:rFonts w:ascii="Times New Roman" w:hAnsi="Times New Roman" w:eastAsia="Noto Serif CJK SC" w:cs="Times New Roman"/>
          <w:color w:val="000000"/>
          <w:sz w:val="21"/>
        </w:rPr>
        <w:t xml:space="preserve">[M]. Reading, MA: Addison-Wesley, 1963.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[13] PARKER K R.</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Electrical Operation of Electrostatic Precipitators</w:t>
      </w:r>
      <w:r>
        <w:rPr>
          <w:rFonts w:ascii="Times New Roman" w:hAnsi="Times New Roman" w:eastAsia="Noto Serif CJK SC" w:cs="Times New Roman"/>
          <w:color w:val="000000"/>
          <w:sz w:val="21"/>
        </w:rPr>
        <w:t xml:space="preserve">[M]. London: Institution of Electrical Engineers, 2003.</w:t>
      </w:r>
    </w:p>
    <w:bookmarkEnd w:id="109"/>
    <w:bookmarkStart w:id="110" w:name="附录a-程序求解流程"/>
    <w:p>
      <w:pPr>
        <w:pStyle w:val="Heading2"/>
        <w:pageBreakBefore/>
        <w:ind w:firstLine="0"/>
        <w:jc w:val="center"/>
      </w:pPr>
      <w:r>
        <w:rPr>
          <w:rFonts w:hint="eastAsia" w:ascii="Arial" w:hAnsi="Arial" w:eastAsia="Noto Sans CJK SC" w:cs="Arial"/>
          <w:b/>
          <w:color w:val="000000"/>
          <w:sz w:val="30"/>
        </w:rPr>
        <w:t xml:space="preserve">附录A</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程序求解流程</w:t>
      </w:r>
    </w:p>
    <w:p>
      <w:pPr>
        <w:pStyle w:val="SourceCode"/>
        <w:ind w:firstLine="0"/>
        <w:jc w:val="left"/>
      </w:pPr>
      <w:r>
        <w:rPr>
          <w:rStyle w:val="VerbatimChar"/>
          <w:rFonts w:hint="eastAsia" w:ascii="Menlo" w:hAnsi="Menlo" w:eastAsia="Noto Serif CJK SC" w:cs="Menlo"/>
          <w:color w:val="000000"/>
          <w:sz w:val="14"/>
        </w:rPr>
        <w:t xml:space="preserve">输入：分钟级数据、5个随机种子、排放限值C_lim</w:t>
      </w:r>
      <w:r>
        <w:rPr>
          <w:rFonts w:ascii="Menlo" w:hAnsi="Menlo" w:eastAsia="Noto Serif CJK SC" w:cs="Menlo"/>
          <w:color w:val="000000"/>
          <w:sz w:val="14"/>
        </w:rPr>
        <w:br/>
      </w:r>
      <w:r>
        <w:rPr>
          <w:rStyle w:val="VerbatimChar"/>
          <w:rFonts w:ascii="Menlo" w:hAnsi="Menlo" w:eastAsia="Noto Serif CJK SC" w:cs="Menlo"/>
          <w:color w:val="000000"/>
          <w:sz w:val="14"/>
        </w:rPr>
        <w:t xml:space="preserve">1. </w:t>
      </w:r>
      <w:r>
        <w:rPr>
          <w:rStyle w:val="VerbatimChar"/>
          <w:rFonts w:hint="eastAsia" w:ascii="Menlo" w:hAnsi="Menlo" w:eastAsia="Noto Serif CJK SC" w:cs="Menlo"/>
          <w:color w:val="000000"/>
          <w:sz w:val="14"/>
        </w:rPr>
        <w:t xml:space="preserve">按时间划分训练/验证/回顾性测试；</w:t>
      </w:r>
      <w:r>
        <w:rPr>
          <w:rFonts w:ascii="Menlo" w:hAnsi="Menlo" w:eastAsia="Noto Serif CJK SC" w:cs="Menlo"/>
          <w:color w:val="000000"/>
          <w:sz w:val="14"/>
        </w:rPr>
        <w:br/>
      </w:r>
      <w:r>
        <w:rPr>
          <w:rStyle w:val="VerbatimChar"/>
          <w:rFonts w:ascii="Menlo" w:hAnsi="Menlo" w:eastAsia="Noto Serif CJK SC" w:cs="Menlo"/>
          <w:color w:val="000000"/>
          <w:sz w:val="14"/>
        </w:rPr>
        <w:t xml:space="preserve">2. </w:t>
      </w:r>
      <w:r>
        <w:rPr>
          <w:rStyle w:val="VerbatimChar"/>
          <w:rFonts w:hint="eastAsia" w:ascii="Menlo" w:hAnsi="Menlo" w:eastAsia="Noto Serif CJK SC" w:cs="Menlo"/>
          <w:color w:val="000000"/>
          <w:sz w:val="14"/>
        </w:rPr>
        <w:t xml:space="preserve">在训练期对Temp、C_in、Q标准化，K-means取k=4；</w:t>
      </w:r>
      <w:r>
        <w:rPr>
          <w:rFonts w:ascii="Menlo" w:hAnsi="Menlo" w:eastAsia="Noto Serif CJK SC" w:cs="Menlo"/>
          <w:color w:val="000000"/>
          <w:sz w:val="14"/>
        </w:rPr>
        <w:br/>
      </w:r>
      <w:r>
        <w:rPr>
          <w:rStyle w:val="VerbatimChar"/>
          <w:rFonts w:ascii="Menlo" w:hAnsi="Menlo" w:eastAsia="Noto Serif CJK SC" w:cs="Menlo"/>
          <w:color w:val="000000"/>
          <w:sz w:val="14"/>
        </w:rPr>
        <w:t xml:space="preserve">3. </w:t>
      </w:r>
      <w:r>
        <w:rPr>
          <w:rStyle w:val="VerbatimChar"/>
          <w:rFonts w:hint="eastAsia" w:ascii="Menlo" w:hAnsi="Menlo" w:eastAsia="Noto Serif CJK SC" w:cs="Menlo"/>
          <w:color w:val="000000"/>
          <w:sz w:val="14"/>
        </w:rPr>
        <w:t xml:space="preserve">比较均值、线性岭、二次岭，按3个滚动窗口选择正则强度；</w:t>
      </w:r>
      <w:r>
        <w:rPr>
          <w:rFonts w:ascii="Menlo" w:hAnsi="Menlo" w:eastAsia="Noto Serif CJK SC" w:cs="Menlo"/>
          <w:color w:val="000000"/>
          <w:sz w:val="14"/>
        </w:rPr>
        <w:br/>
      </w:r>
      <w:r>
        <w:rPr>
          <w:rStyle w:val="VerbatimChar"/>
          <w:rFonts w:ascii="Menlo" w:hAnsi="Menlo" w:eastAsia="Noto Serif CJK SC" w:cs="Menlo"/>
          <w:color w:val="000000"/>
          <w:sz w:val="14"/>
        </w:rPr>
        <w:t xml:space="preserve">4. </w:t>
      </w:r>
      <w:r>
        <w:rPr>
          <w:rStyle w:val="VerbatimChar"/>
          <w:rFonts w:hint="eastAsia" w:ascii="Menlo" w:hAnsi="Menlo" w:eastAsia="Noto Serif CJK SC" w:cs="Menlo"/>
          <w:color w:val="000000"/>
          <w:sz w:val="14"/>
        </w:rPr>
        <w:t xml:space="preserve">对每个工况与随机种子：</w:t>
      </w:r>
      <w:r>
        <w:rPr>
          <w:rFonts w:ascii="Menlo" w:hAnsi="Menlo" w:eastAsia="Noto Serif CJK SC" w:cs="Menlo"/>
          <w:color w:val="000000"/>
          <w:sz w:val="14"/>
        </w:rPr>
        <w:br/>
      </w:r>
      <w:r>
        <w:rPr>
          <w:rStyle w:val="VerbatimChar"/>
          <w:rFonts w:ascii="Menlo" w:hAnsi="Menlo" w:eastAsia="Noto Serif CJK SC" w:cs="Menlo"/>
          <w:color w:val="000000"/>
          <w:sz w:val="14"/>
        </w:rPr>
        <w:t xml:space="preserve">   4.1 </w:t>
      </w:r>
      <w:r>
        <w:rPr>
          <w:rStyle w:val="VerbatimChar"/>
          <w:rFonts w:hint="eastAsia" w:ascii="Menlo" w:hAnsi="Menlo" w:eastAsia="Noto Serif CJK SC" w:cs="Menlo"/>
          <w:color w:val="000000"/>
          <w:sz w:val="14"/>
        </w:rPr>
        <w:t xml:space="preserve">计算P05、P95与经验Mahalanobis</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97.5%阈值；</w:t>
      </w:r>
      <w:r>
        <w:rPr>
          <w:rFonts w:ascii="Menlo" w:hAnsi="Menlo" w:eastAsia="Noto Serif CJK SC" w:cs="Menlo"/>
          <w:color w:val="000000"/>
          <w:sz w:val="14"/>
        </w:rPr>
        <w:br/>
      </w:r>
      <w:r>
        <w:rPr>
          <w:rStyle w:val="VerbatimChar"/>
          <w:rFonts w:ascii="Menlo" w:hAnsi="Menlo" w:eastAsia="Noto Serif CJK SC" w:cs="Menlo"/>
          <w:color w:val="000000"/>
          <w:sz w:val="14"/>
        </w:rPr>
        <w:t xml:space="preserve">   4.2 </w:t>
      </w:r>
      <w:r>
        <w:rPr>
          <w:rStyle w:val="VerbatimChar"/>
          <w:rFonts w:hint="eastAsia" w:ascii="Menlo" w:hAnsi="Menlo" w:eastAsia="Noto Serif CJK SC" w:cs="Menlo"/>
          <w:color w:val="000000"/>
          <w:sz w:val="14"/>
        </w:rPr>
        <w:t xml:space="preserve">生成220000组全域候选；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4.3 </w:t>
      </w:r>
      <w:r>
        <w:rPr>
          <w:rStyle w:val="VerbatimChar"/>
          <w:rFonts w:hint="eastAsia" w:ascii="Menlo" w:hAnsi="Menlo" w:eastAsia="Noto Serif CJK SC" w:cs="Menlo"/>
          <w:color w:val="000000"/>
          <w:sz w:val="14"/>
        </w:rPr>
        <w:t xml:space="preserve">在10/5</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mg初始最佳点附近各生成30000组局部候选；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4.4 </w:t>
      </w:r>
      <w:r>
        <w:rPr>
          <w:rStyle w:val="VerbatimChar"/>
          <w:rFonts w:hint="eastAsia" w:ascii="Menlo" w:hAnsi="Menlo" w:eastAsia="Noto Serif CJK SC" w:cs="Menlo"/>
          <w:color w:val="000000"/>
          <w:sz w:val="14"/>
        </w:rPr>
        <w:t xml:space="preserve">过滤支持域与工程排序，选择预测总功率最低的情景可行候选；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5. </w:t>
      </w:r>
      <w:r>
        <w:rPr>
          <w:rStyle w:val="VerbatimChar"/>
          <w:rFonts w:hint="eastAsia" w:ascii="Menlo" w:hAnsi="Menlo" w:eastAsia="Noto Serif CJK SC" w:cs="Menlo"/>
          <w:color w:val="000000"/>
          <w:sz w:val="14"/>
        </w:rPr>
        <w:t xml:space="preserve">扫描27组总体参数情景和405组灰箱参数组合情景；</w:t>
      </w:r>
      <w:r>
        <w:rPr>
          <w:rFonts w:ascii="Menlo" w:hAnsi="Menlo" w:eastAsia="Noto Serif CJK SC" w:cs="Menlo"/>
          <w:color w:val="000000"/>
          <w:sz w:val="14"/>
        </w:rPr>
        <w:br/>
      </w:r>
      <w:r>
        <w:rPr>
          <w:rStyle w:val="VerbatimChar"/>
          <w:rFonts w:ascii="Menlo" w:hAnsi="Menlo" w:eastAsia="Noto Serif CJK SC" w:cs="Menlo"/>
          <w:color w:val="000000"/>
          <w:sz w:val="14"/>
        </w:rPr>
        <w:t xml:space="preserve">6. </w:t>
      </w:r>
      <w:r>
        <w:rPr>
          <w:rStyle w:val="VerbatimChar"/>
          <w:rFonts w:hint="eastAsia" w:ascii="Menlo" w:hAnsi="Menlo" w:eastAsia="Noto Serif CJK SC" w:cs="Menlo"/>
          <w:color w:val="000000"/>
          <w:sz w:val="14"/>
        </w:rPr>
        <w:t xml:space="preserve">执行场权重消融、多种子离散和动态控制表输出；</w:t>
      </w:r>
      <w:r>
        <w:rPr>
          <w:rFonts w:ascii="Menlo" w:hAnsi="Menlo" w:eastAsia="Noto Serif CJK SC" w:cs="Menlo"/>
          <w:color w:val="000000"/>
          <w:sz w:val="14"/>
        </w:rPr>
        <w:br/>
      </w:r>
      <w:r>
        <w:rPr>
          <w:rStyle w:val="VerbatimChar"/>
          <w:rFonts w:hint="eastAsia" w:ascii="Menlo" w:hAnsi="Menlo" w:eastAsia="Noto Serif CJK SC" w:cs="Menlo"/>
          <w:color w:val="000000"/>
          <w:sz w:val="14"/>
        </w:rPr>
        <w:t xml:space="preserve">输出：控制参数、功率增幅、验证期误差附加量、消融、敏感性、图表与运行摘要。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完整可运行源程序随电子支撑材料提交：src/scenario_model.py（模型、优化与敏感性）、src/paper_figures.py（21幅正文图）、src/plot_utils.py（统一绘图样式）、src/integrity_check.py（确定性核验）。支撑数据、结果CSV/JSON、图注追踪表、回复审稿人与AI工具使用详情见附录C清单。</w:t>
      </w:r>
    </w:p>
    <w:bookmarkEnd w:id="110"/>
    <w:bookmarkStart w:id="111" w:name="附录b-结果适用性声明"/>
    <w:p>
      <w:pPr>
        <w:pStyle w:val="Heading2"/>
        <w:ind w:firstLine="0"/>
        <w:jc w:val="center"/>
      </w:pPr>
      <w:r>
        <w:rPr>
          <w:rFonts w:hint="eastAsia" w:ascii="Arial" w:hAnsi="Arial" w:eastAsia="Noto Sans CJK SC" w:cs="Arial"/>
          <w:b/>
          <w:color w:val="000000"/>
          <w:sz w:val="30"/>
        </w:rPr>
        <w:t xml:space="preserve">附录B</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结果适用性声明</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本文功率模型、工况划分及数据质量统计直接来源于附件；出口浓度缩放、排放灰箱系数、振打峰值系数以及由此得到的5/10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mg/Nm³最佳采样可行参数和功率增幅均属于情景推演。若数据提供方确认原记录不存在小数点问题，或提供新的未封顶排放数据，则应撤销当前排放情景并重新标定，不得沿用本文情景数值。</w:t>
      </w:r>
    </w:p>
    <w:bookmarkEnd w:id="111"/>
    <w:bookmarkStart w:id="112" w:name="附录c-支撑材料与ai工具使用声明"/>
    <w:p>
      <w:pPr>
        <w:pStyle w:val="Heading2"/>
        <w:ind w:firstLine="0"/>
        <w:jc w:val="center"/>
      </w:pPr>
      <w:r>
        <w:rPr>
          <w:rFonts w:hint="eastAsia" w:ascii="Arial" w:hAnsi="Arial" w:eastAsia="Noto Sans CJK SC" w:cs="Arial"/>
          <w:b/>
          <w:color w:val="000000"/>
          <w:sz w:val="30"/>
        </w:rPr>
        <w:t xml:space="preserve">附录C</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支撑材料与AI工具使用声明</w:t>
      </w:r>
    </w:p>
    <w:p>
      <w:pPr>
        <w:pStyle w:val="FirstParagraph"/>
        <w:spacing w:line="360" w:lineRule="auto"/>
        <w:ind w:firstLine="482"/>
        <w:jc w:val="both"/>
      </w:pPr>
      <w:r>
        <w:rPr>
          <w:rFonts w:hint="eastAsia" w:ascii="Times New Roman" w:hAnsi="Times New Roman" w:eastAsia="Noto Serif CJK SC" w:cs="Times New Roman"/>
          <w:b/>
          <w:bCs/>
          <w:color w:val="000000"/>
          <w:sz w:val="24"/>
        </w:rPr>
        <w:t xml:space="preserve">支撑材料清单：</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原始处理数据包；results目录下功率基线、滚动验证、中心控制、多种子稳定性、结构情景、场权重消融、动态控制表和运行摘要；figures_paper目录下21幅PNG预览、21幅PDF矢量图及figure_manifest.csv；src目录下4个完整源程序；integrity目录下确定性核验结果；revision_round1目录下修订补丁、应用报告、修改追踪表与逐点回复。</w:t>
      </w:r>
    </w:p>
    <w:p>
      <w:pPr>
        <w:pStyle w:val="BodyText"/>
        <w:spacing w:line="360" w:lineRule="auto"/>
        <w:ind w:firstLine="482"/>
        <w:jc w:val="both"/>
      </w:pPr>
      <w:r>
        <w:rPr>
          <w:rFonts w:hint="eastAsia" w:ascii="Times New Roman" w:hAnsi="Times New Roman" w:eastAsia="Noto Serif CJK SC" w:cs="Times New Roman"/>
          <w:b/>
          <w:bCs/>
          <w:color w:val="000000"/>
          <w:sz w:val="24"/>
        </w:rPr>
        <w:t xml:space="preserve">AI工具使用声明（提交前由参赛队核验确认）：</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本稿坚持参赛队人工主导。题意分析、模型构建、公式推导、参数设定、程序审阅、结果复算和论文定稿由参赛队承担；OpenAI</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Codex（使用日期2026-08-05至2026-08-06）仅用于少量代码排错、图表版式检查、文字校对与格式核验。AI输出均经人工筛选和复核，未替代现场数据，也未把不可识别的排放关系改写为实证结论。详细用途和人工核验记录另见AI工具使用详情.pdf。</w:t>
      </w:r>
    </w:p>
    <w:bookmarkEnd w:id="112"/>
    <w:bookmarkStart w:id="117" w:name="附录d-完整源程序"/>
    <w:p>
      <w:pPr>
        <w:pStyle w:val="Heading2"/>
        <w:ind w:firstLine="0"/>
        <w:jc w:val="center"/>
      </w:pPr>
      <w:r>
        <w:rPr>
          <w:rFonts w:hint="eastAsia" w:ascii="Arial" w:hAnsi="Arial" w:eastAsia="Noto Sans CJK SC" w:cs="Arial"/>
          <w:b/>
          <w:color w:val="000000"/>
          <w:sz w:val="30"/>
        </w:rPr>
        <w:t xml:space="preserve">附录D</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完整源程序</w:t>
      </w:r>
    </w:p>
    <w:bookmarkStart w:id="113" w:name="d1-scenario_modelpy"/>
    <w:p>
      <w:pPr>
        <w:pStyle w:val="Heading3"/>
        <w:ind w:firstLine="0"/>
        <w:jc w:val="left"/>
      </w:pPr>
      <w:r>
        <w:rPr>
          <w:rFonts w:ascii="Arial" w:hAnsi="Arial" w:eastAsia="Noto Sans CJK SC" w:cs="Arial"/>
          <w:b/>
          <w:color w:val="000000"/>
          <w:sz w:val="28"/>
        </w:rPr>
        <w:t xml:space="preserve">D.1 scenario_model.py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"""Reproducible scenario model for the cement ESP problem.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The power model and condition profiles are learned from the supplied data.</w:t>
      </w:r>
      <w:r>
        <w:rPr>
          <w:rFonts w:ascii="Menlo" w:hAnsi="Menlo" w:eastAsia="Noto Serif CJK SC" w:cs="Menlo"/>
          <w:color w:val="000000"/>
          <w:sz w:val="14"/>
        </w:rPr>
        <w:br/>
      </w:r>
      <w:r>
        <w:rPr>
          <w:rStyle w:val="CommentTok"/>
          <w:rFonts w:ascii="Menlo" w:hAnsi="Menlo" w:eastAsia="Noto Serif CJK SC" w:cs="Menlo"/>
          <w:color w:val="000000"/>
          <w:sz w:val="14"/>
        </w:rPr>
        <w:t xml:space="preserve">The emission/rapping layer is an explicitly labelled engineering scenario,</w:t>
      </w:r>
      <w:r>
        <w:rPr>
          <w:rFonts w:ascii="Menlo" w:hAnsi="Menlo" w:eastAsia="Noto Serif CJK SC" w:cs="Menlo"/>
          <w:color w:val="000000"/>
          <w:sz w:val="14"/>
        </w:rPr>
        <w:br/>
      </w:r>
      <w:r>
        <w:rPr>
          <w:rStyle w:val="CommentTok"/>
          <w:rFonts w:ascii="Menlo" w:hAnsi="Menlo" w:eastAsia="Noto Serif CJK SC" w:cs="Menlo"/>
          <w:color w:val="000000"/>
          <w:sz w:val="14"/>
        </w:rPr>
        <w:t xml:space="preserve">because the recorded outlet concentration is not identifiable.</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math</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Fonts w:ascii="Menlo" w:hAnsi="Menlo" w:eastAsia="Noto Serif CJK SC" w:cs="Menlo"/>
          <w:color w:val="000000"/>
          <w:sz w:val="14"/>
        </w:rPr>
        <w:br/>
      </w:r>
      <w:r>
        <w:rPr>
          <w:rStyle w:val="NormalTok"/>
          <w:rFonts w:ascii="Menlo" w:hAnsi="Menlo" w:eastAsia="Noto Serif CJK SC" w:cs="Menlo"/>
          <w:color w:val="000000"/>
          <w:sz w:val="14"/>
        </w:rPr>
        <w:t xml:space="preserve">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20260806</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20260807</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CLUSTER_EVAL_FILE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"audit"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"condition_cluster_evaluation.csv"</w:t>
      </w:r>
      <w:r>
        <w:rPr>
          <w:rFonts w:ascii="Menlo" w:hAnsi="Menlo" w:eastAsia="Noto Serif CJK SC" w:cs="Menlo"/>
          <w:color w:val="000000"/>
          <w:sz w:val="14"/>
        </w:rPr>
        <w:br/>
      </w:r>
      <w:r>
        <w:rPr>
          <w:rStyle w:val="NormalTok"/>
          <w:rFonts w:ascii="Menlo" w:hAnsi="Menlo" w:eastAsia="Noto Serif CJK SC" w:cs="Menlo"/>
          <w:color w:val="000000"/>
          <w:sz w:val="14"/>
        </w:rPr>
        <w:t xml:space="preserve">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f"T</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COND_COLS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POWER_FIELDS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_r2(y: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y.mean())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_rmse(y: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(np.sqrt(np.mean((y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voltage_polynomial(u: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"""Equivalent to PolynomialFeatures(degree=2, include_bias=False) for 4 voltages."""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(i,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cols.append(u[:, 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j])</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class</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t>
      </w:r>
      <w:r>
        <w:rPr>
          <w:rStyle w:val="FunctionTok"/>
          <w:rFonts w:ascii="Menlo" w:hAnsi="Menlo" w:eastAsia="Noto Serif CJK SC" w:cs="Menlo"/>
          <w:color w:val="000000"/>
          <w:sz w:val="14"/>
        </w:rPr>
        <w:t xml:space="preserve">__init__</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alpha: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quadratic: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design(</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remainder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voltage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voltage_polynomial(u)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np.column_stack([voltage, remainder])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y: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np.eye(zz.shape[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math.sqrt(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np.vstack([zz, penalty])</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np.concatenate([y, np.zeros(zz.shape[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np.linalg.lstsq(augmented_x, augmented_y, rcond</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predict(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RuntimeError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"model not fitted"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"ij,j-&gt;i"</w:t>
      </w:r>
      <w:r>
        <w:rPr>
          <w:rStyle w:val="NormalTok"/>
          <w:rFonts w:ascii="Menlo" w:hAnsi="Menlo" w:eastAsia="Noto Serif CJK SC" w:cs="Menlo"/>
          <w:color w:val="000000"/>
          <w:sz w:val="14"/>
        </w:rPr>
        <w:t xml:space="preserve">, zz,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condition_profiles(df: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overall_load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"低温低浓度高流量"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"高温中浓度低流量"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"高温高浓度高流量"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"低温高浓度低流量"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labels[</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"C_out_scaled_anchor"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overall_load)</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pd.DataFrame(rows).sort_values(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).reset_index(drop</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np.clip(raw, lower, upper)</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conservative base emission, rapping peak excess, and their sum.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    All non-control arguments are scenario inputs,</w:t>
      </w:r>
      <w:r>
        <w:rPr>
          <w:rFonts w:ascii="Menlo" w:hAnsi="Menlo" w:eastAsia="Noto Serif CJK SC" w:cs="Menlo"/>
          <w:color w:val="000000"/>
          <w:sz w:val="14"/>
        </w:rPr>
        <w:br/>
      </w:r>
      <w:r>
        <w:rPr>
          <w:rStyle w:val="CommentTok"/>
          <w:rFonts w:ascii="Menlo" w:hAnsi="Menlo" w:eastAsia="Noto Serif CJK SC" w:cs="Menlo"/>
          <w:color w:val="000000"/>
          <w:sz w:val="14"/>
        </w:rPr>
        <w:t xml:space="preserve">    not parameters estimated from the supplied outlet-concentration series.</w:t>
      </w:r>
      <w:r>
        <w:rPr>
          <w:rFonts w:ascii="Menlo" w:hAnsi="Menlo" w:eastAsia="Noto Serif CJK SC" w:cs="Menlo"/>
          <w:color w:val="000000"/>
          <w:sz w:val="14"/>
        </w:rPr>
        <w:br/>
      </w:r>
      <w:r>
        <w:rPr>
          <w:rStyle w:val="Comment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math.log(cin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anchor)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alpha_weights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np.asarray(alpha_weights,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loss(period: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period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ref_loss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(loss(t_ref.reshape(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(loss(t)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ref_loss)</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np.exp(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peak_exponent,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base, peak,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support_statistics(train_group: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the empirical control-support centre, inverse covariance and d2 cut-off."""</w:t>
      </w:r>
      <w:r>
        <w:rPr>
          <w:rFonts w:ascii="Menlo" w:hAnsi="Menlo" w:eastAsia="Noto Serif CJK SC" w:cs="Menlo"/>
          <w:color w:val="000000"/>
          <w:sz w:val="14"/>
        </w:rPr>
        <w:br/>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train_group[U_COLS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inv_cov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np.linalg.pinv(np.cov(hist, rowvar</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historical_d2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mu, inv_cov,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(np.quantile(historical_d2, </w:t>
      </w:r>
      <w:r>
        <w:rPr>
          <w:rStyle w:val="FloatTok"/>
          <w:rFonts w:ascii="Menlo" w:hAnsi="Menlo" w:eastAsia="Noto Serif CJK SC" w:cs="Menlo"/>
          <w:color w:val="000000"/>
          <w:sz w:val="14"/>
        </w:rPr>
        <w:t xml:space="preserve">0.975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filter_supported_controls(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inv_cov,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support_statistics(train_group)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np.column_stack([u, t])</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keep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threshold)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ordering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u[keep], t[keep], mahal[keep], threshold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(rng.uniform(lower_u, upper_u,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(rng.uniform(lower_t, upper_t,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Ensure reference and locally useful candidates are always present.</w:t>
      </w:r>
      <w:r>
        <w:rPr>
          <w:rFonts w:ascii="Menlo" w:hAnsi="Menlo" w:eastAsia="Noto Serif CJK SC" w:cs="Menlo"/>
          <w:color w:val="000000"/>
          <w:sz w:val="14"/>
        </w:rPr>
        <w:br/>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np.vstack([ref_u, lower_u, upper_u,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w:t>
      </w:r>
      <w:r>
        <w:rPr>
          <w:rFonts w:ascii="Menlo" w:hAnsi="Menlo" w:eastAsia="Noto Serif CJK SC" w:cs="Menlo"/>
          <w:color w:val="000000"/>
          <w:sz w:val="14"/>
        </w:rPr>
        <w:br/>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np.clip(</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lower_t,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(special_t)</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local_candidate_bank(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"""Generate a clipped Gaussian neighbourhood around a preliminary solution."""</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rng.normal(centre_u, np.maximum(</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rng.normal(centre_t, np.maximum(</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(t)</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centre_t</w:t>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validation_error_guard_kW: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peak,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eta,</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any</w:t>
      </w:r>
      <w:r>
        <w:rPr>
          <w:rStyle w:val="NormalTok"/>
          <w:rFonts w:ascii="Menlo" w:hAnsi="Menlo" w:eastAsia="Noto Serif CJK SC" w:cs="Menlo"/>
          <w:color w:val="000000"/>
          <w:sz w:val="14"/>
        </w:rPr>
        <w:t xml:space="preserve">(feasible):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"INFEASIBLE_IN_SCENARIO_SUPPORT"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idx_pool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np.flatnonzero(feasible)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local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)[idx_pool]</w:t>
      </w:r>
      <w:r>
        <w:rPr>
          <w:rFonts w:ascii="Menlo" w:hAnsi="Menlo" w:eastAsia="Noto Serif CJK SC" w:cs="Menlo"/>
          <w:color w:val="000000"/>
          <w:sz w:val="14"/>
        </w:rPr>
        <w:br/>
      </w:r>
      <w:r>
        <w:rPr>
          <w:rStyle w:val="NormalTok"/>
          <w:rFonts w:ascii="Menlo" w:hAnsi="Menlo" w:eastAsia="Noto Serif CJK SC" w:cs="Menlo"/>
          <w:color w:val="000000"/>
          <w:sz w:val="14"/>
        </w:rPr>
        <w:t xml:space="preserve">    idx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(idx_pool[</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(np.argmin(local))])</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(base[idx]),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(peak[idx]),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(total[idx]),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"validation_error_adjusted_power_kW"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validation_error_guard_kW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"validation_error_guard_kW"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(validation_error_guard_kW),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"power_change_vs_historical_pct"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row[col]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row</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make_figures(</w:t>
      </w:r>
      <w:r>
        <w:rPr>
          <w:rFonts w:ascii="Menlo" w:hAnsi="Menlo" w:eastAsia="Noto Serif CJK SC" w:cs="Menlo"/>
          <w:color w:val="000000"/>
          <w:sz w:val="14"/>
        </w:rPr>
        <w:br/>
      </w:r>
      <w:r>
        <w:rPr>
          <w:rStyle w:val="NormalTok"/>
          <w:rFonts w:ascii="Menlo" w:hAnsi="Menlo" w:eastAsia="Noto Serif CJK SC" w:cs="Menlo"/>
          <w:color w:val="000000"/>
          <w:sz w:val="14"/>
        </w:rPr>
        <w:t xml:space="preserve">    df: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colors):</w:t>
      </w:r>
      <w:r>
        <w:rPr>
          <w:rFonts w:ascii="Menlo" w:hAnsi="Menlo" w:eastAsia="Noto Serif CJK SC" w:cs="Menlo"/>
          <w:color w:val="000000"/>
          <w:sz w:val="14"/>
        </w:rPr>
        <w:br/>
      </w:r>
      <w:r>
        <w:rPr>
          <w:rStyle w:val="NormalTok"/>
          <w:rFonts w:ascii="Menlo" w:hAnsi="Menlo" w:eastAsia="Noto Serif CJK SC" w:cs="Menlo"/>
          <w:color w:val="000000"/>
          <w:sz w:val="14"/>
        </w:rPr>
        <w:t xml:space="preserve">        sample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ax.scatter(sample[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sample[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"训练期典型工况划分"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"01_condition_clusters.png"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"功率模型回顾性测试"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"02_power_test.png"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(pivot))</w:t>
      </w:r>
      <w:r>
        <w:rPr>
          <w:rFonts w:ascii="Menlo" w:hAnsi="Menlo" w:eastAsia="Noto Serif CJK SC" w:cs="Menlo"/>
          <w:color w:val="000000"/>
          <w:sz w:val="14"/>
        </w:rPr>
        <w:br/>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0.34</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pivot.index, rotation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"不同排放约束下的情景最优功率"</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"03_optimal_power_comparison.png"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profiles.iloc[</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"振打周期相对最优周期的变化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"单次振打峰值增量代理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"振打周期延长会放大单次再飞扬峰值"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"#666666"</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"04_rapping_peak_scenario.png"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].dropna().sort_values().to_numpy()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ax.axvline(np.median(vals),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f"中位数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np</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median(vals)</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"5 mg/Nm³ 相对 10 mg/Nm³ 的加权功率增幅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"情景组合数"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"先验参数敏感性分析"</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"05_sensitivity_distribution.png"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evaluate_power_models(</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[RidgePowerModel,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pd.DataFrame,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"""Select ridge strength by blocked rolling validation and retain honest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alpha_grid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rolling_bounds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alpha_grid: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fold, (start, fit_end, eval_end)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(rolling_bounds,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train.iloc[start:fit_end]</w:t>
      </w:r>
      <w:r>
        <w:rPr>
          <w:rFonts w:ascii="Menlo" w:hAnsi="Menlo" w:eastAsia="Noto Serif CJK SC" w:cs="Menlo"/>
          <w:color w:val="000000"/>
          <w:sz w:val="14"/>
        </w:rPr>
        <w:br/>
      </w:r>
      <w:r>
        <w:rPr>
          <w:rStyle w:val="NormalTok"/>
          <w:rFonts w:ascii="Menlo" w:hAnsi="Menlo" w:eastAsia="Noto Serif CJK SC" w:cs="Menlo"/>
          <w:color w:val="000000"/>
          <w:sz w:val="14"/>
        </w:rPr>
        <w:t xml:space="preserve">                evaluate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train.iloc[fit_end:eval_end]</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candidate.fit(fit, fit[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candidate.predict(evaluate)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rmse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fold_rmses.append(rmse)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 fold,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"evaluation_rows"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rmse,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alpha_scores.append((</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(np.mean(fold_rmses)),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(alpha_scores)[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mean_power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RidgePowerModel]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selected[model_name],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split_name, frame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validation),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(frame), mean_power)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fitted_models[model_name].predict(frame)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w:t>
      </w:r>
      <w:r>
        <w:rPr>
          <w:rStyle w:val="NormalTok"/>
          <w:rFonts w:ascii="Menlo" w:hAnsi="Menlo" w:eastAsia="Noto Serif CJK SC" w:cs="Menlo"/>
          <w:color w:val="000000"/>
          <w:sz w:val="14"/>
        </w:rPr>
        <w:t xml:space="preserve">: np.nan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selected[model_name],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split_name,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fitted_models[</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chosen.predict(validation)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"standardized_quadratic_ridge_voltage_plus_period_and_condition"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"fit_scope"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"train_only"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 selected[</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(np.mean(test_pred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test_actual)),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"test_protocol"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"retrospective_not_blind_due_to_prior_package_use"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"reporting_guard_rule"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"point_prediction_plus_validation_absolute_error_q90"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"selected_alphas"</w:t>
      </w:r>
      <w:r>
        <w:rPr>
          <w:rStyle w:val="NormalTok"/>
          <w:rFonts w:ascii="Menlo" w:hAnsi="Menlo" w:eastAsia="Noto Serif CJK SC" w:cs="Menlo"/>
          <w:color w:val="000000"/>
          <w:sz w:val="14"/>
        </w:rPr>
        <w:t xml:space="preserve">: selected,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chosen, metrics, pd.DataFrame(rolling_rows), pd.DataFrame(baseline_rows)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aggregate_pair(rows10: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rows5: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rows5],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p10,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p5,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condition_profiles(df)</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metrics, rolling_metrics, baseline_metrics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evaluate_power_models(train, validation,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).write_text(json.dumps(metrics,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validation_error_guard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pd.read_csv(CLUSTER_EVAL_FILE)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scenario_t_star(p, global_t_median)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banks: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pd.DataFrame]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seed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rng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np.random.default_rng(seed)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t_stars[cluster]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candidate_bank(profile, model, t_star, </w:t>
      </w:r>
      <w:r>
        <w:rPr>
          <w:rStyle w:val="DecValTok"/>
          <w:rFonts w:ascii="Menlo" w:hAnsi="Menlo" w:eastAsia="Noto Serif CJK SC" w:cs="Menlo"/>
          <w:color w:val="000000"/>
          <w:sz w:val="14"/>
        </w:rPr>
        <w:t xml:space="preserve">220_000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preliminary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validation_error_guard_kW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preliminary[limit]: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additions.append(local_candidate_bank(profile, model, preliminary[limit], </w:t>
      </w:r>
      <w:r>
        <w:rPr>
          <w:rStyle w:val="DecValTok"/>
          <w:rFonts w:ascii="Menlo" w:hAnsi="Menlo" w:eastAsia="Noto Serif CJK SC" w:cs="Menlo"/>
          <w:color w:val="000000"/>
          <w:sz w:val="14"/>
        </w:rPr>
        <w:t xml:space="preserve">30_000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pd.concat([base_bank]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additions, ignore_index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).drop_duplicates(U_COLS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keep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"first"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banks[cluster]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fraction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partial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base_bank.iloc[:</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result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partial,</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validation_error_guard_kW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"candidate_bank_fraction"</w:t>
      </w:r>
      <w:r>
        <w:rPr>
          <w:rStyle w:val="NormalTok"/>
          <w:rFonts w:ascii="Menlo" w:hAnsi="Menlo" w:eastAsia="Noto Serif CJK SC" w:cs="Menlo"/>
          <w:color w:val="000000"/>
          <w:sz w:val="14"/>
        </w:rPr>
        <w:t xml:space="preserve">: 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(partial),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result[</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"best_power_kW"</w:t>
      </w:r>
      <w:r>
        <w:rPr>
          <w:rStyle w:val="NormalTok"/>
          <w:rFonts w:ascii="Menlo" w:hAnsi="Menlo" w:eastAsia="Noto Serif CJK SC" w:cs="Menlo"/>
          <w:color w:val="000000"/>
          <w:sz w:val="14"/>
        </w:rPr>
        <w:t xml:space="preserve">: result.get(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bank,</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validation_error_guard_kW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(final.get(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seed_rows.append(final)</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pd.DataFrame(seed_rows)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seed_stability[seed_stability[</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central.drop(columns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pd.DataFrame(convergence_rows).to_csv(OUT_DIR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"optimization_convergence.csv"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"validation_error_adjusted_power_10_kW"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"validation_error_adjusted_power_kW"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"validation_error_adjusted_power_5_kW"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"validation_error_adjusted_power_kW"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pd.DataFrame(q4_rows)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weighted_p10,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weighted_p5,</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"validation_error_guard_kW"</w:t>
      </w:r>
      <w:r>
        <w:rPr>
          <w:rStyle w:val="NormalTok"/>
          <w:rFonts w:ascii="Menlo" w:hAnsi="Menlo" w:eastAsia="Noto Serif CJK SC" w:cs="Menlo"/>
          <w:color w:val="000000"/>
          <w:sz w:val="14"/>
        </w:rPr>
        <w:t xml:space="preserve">: 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"weighted_validation_error_adjusted_power_10_kW"</w:t>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"weighted_validation_error_adjusted_power_5_kW"</w:t>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).write_text(json.dumps(q4_summary,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eta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safety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r5s: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validation_error_guard_kW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validation_error_guard_kW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sensitivity_rows.append({</w:t>
      </w:r>
      <w:r>
        <w:rPr>
          <w:rStyle w:val="StringTok"/>
          <w:rFonts w:ascii="Menlo" w:hAnsi="Menlo" w:eastAsia="Noto Serif CJK SC" w:cs="Menlo"/>
          <w:color w:val="000000"/>
          <w:sz w:val="14"/>
        </w:rPr>
        <w:t xml:space="preserve">"eta_voltage_effect"</w:t>
      </w:r>
      <w:r>
        <w:rPr>
          <w:rStyle w:val="NormalTok"/>
          <w:rFonts w:ascii="Menlo" w:hAnsi="Menlo" w:eastAsia="Noto Serif CJK SC" w:cs="Menlo"/>
          <w:color w:val="000000"/>
          <w:sz w:val="14"/>
        </w:rPr>
        <w:t xml:space="preserve">: eta, </w:t>
      </w:r>
      <w:r>
        <w:rPr>
          <w:rStyle w:val="StringTok"/>
          <w:rFonts w:ascii="Menlo" w:hAnsi="Menlo" w:eastAsia="Noto Serif CJK SC" w:cs="Menlo"/>
          <w:color w:val="000000"/>
          <w:sz w:val="14"/>
        </w:rPr>
        <w:t xml:space="preserve">"peak_scale"</w:t>
      </w:r>
      <w:r>
        <w:rPr>
          <w:rStyle w:val="NormalTok"/>
          <w:rFonts w:ascii="Menlo" w:hAnsi="Menlo" w:eastAsia="Noto Serif CJK SC" w:cs="Menlo"/>
          <w:color w:val="000000"/>
          <w:sz w:val="14"/>
        </w:rPr>
        <w:t xml:space="preserve">: peak_scale, </w:t>
      </w:r>
      <w:r>
        <w:rPr>
          <w:rStyle w:val="StringTok"/>
          <w:rFonts w:ascii="Menlo" w:hAnsi="Menlo" w:eastAsia="Noto Serif CJK SC" w:cs="Menlo"/>
          <w:color w:val="000000"/>
          <w:sz w:val="14"/>
        </w:rPr>
        <w:t xml:space="preserve">"safety_index"</w:t>
      </w:r>
      <w:r>
        <w:rPr>
          <w:rStyle w:val="NormalTok"/>
          <w:rFonts w:ascii="Menlo" w:hAnsi="Menlo" w:eastAsia="Noto Serif CJK SC" w:cs="Menlo"/>
          <w:color w:val="000000"/>
          <w:sz w:val="14"/>
        </w:rPr>
        <w:t xml:space="preserve">: safety,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pd.DataFrame(sensitivity_rows)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alpha_profiles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outlet_scale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phase_scale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tstar_exponent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scenario_t_star(profile, global_t_median,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(outlet_scale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outlet_scale, 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peak_exponent</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peak_exponent, phase_scale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phase_scale, validation_error_guard_kW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w:t>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w:t>
      </w:r>
      <w:r>
        <w:rPr>
          <w:rStyle w:val="NormalTok"/>
          <w:rFonts w:ascii="Menlo" w:hAnsi="Menlo" w:eastAsia="Noto Serif CJK SC" w:cs="Menlo"/>
          <w:color w:val="000000"/>
          <w:sz w:val="14"/>
        </w:rPr>
        <w:t xml:space="preserve">: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pd.DataFrame(structural_rows)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validation_error_guard_kW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validation_error_guard)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(U_COLS,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(r5[col])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(r10[col])</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per_profile.append(row)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ablation_rows.append(row)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np.average(deltas,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positive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np.maximum(weighted,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weighted[i</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(positive[: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pd.DataFrame(ablation_rows).to_csv(OUT_DIR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pd.DataFrame(ablation_summary_rows)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(model.predict(frame)[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"historical_mean_actual_power_kW"</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"model_power_at_historical_median_controls_kW"</w:t>
      </w:r>
      <w:r>
        <w:rPr>
          <w:rStyle w:val="NormalTok"/>
          <w:rFonts w:ascii="Menlo" w:hAnsi="Menlo" w:eastAsia="Noto Serif CJK SC" w:cs="Menlo"/>
          <w:color w:val="000000"/>
          <w:sz w:val="14"/>
        </w:rPr>
        <w:t xml:space="preserve">: median_power,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"scenario_optimal_10_power_kW"</w:t>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"auxiliary_saving_vs_model_median_pct"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(median_power</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"mode_selection_rule"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"EXTERNAL_TARGET_SELECTION"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"available_modes"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"TARGET-10/TARGET-5/FALLBACK"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"automatic_emission_threshold_switching"</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"provisional_voltage_ramp_kV_per_min"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"provisional_period_ramp_s_per_min"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"phase_scenario_for_online_trial"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"0.65/0.80/1.00"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"PROVISIONAL_MUST_BE_OVERRIDDEN_BY_SITE_DCS_AND_INTERLOCK_LIMITS"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f"target10_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r10[c]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f"target5_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pd.DataFrame(historical_rows).to_csv(OUT_DIR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"historical_median_power_comparison.csv"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pd.DataFrame(dynamic_rows).to_csv(OUT_DIR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feasible_structural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scenario_params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"SCENARIO_ASSUMPTIONS_NOT_IDENTIFIED_FROM_C_OUT"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"central_outlet_scale"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"structural_outlet_scales"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"voltage_weight_profiles"</w:t>
      </w:r>
      <w:r>
        <w:rPr>
          <w:rStyle w:val="NormalTok"/>
          <w:rFonts w:ascii="Menlo" w:hAnsi="Menlo" w:eastAsia="Noto Serif CJK SC" w:cs="Menlo"/>
          <w:color w:val="000000"/>
          <w:sz w:val="14"/>
        </w:rPr>
        <w:t xml:space="preserve">: {k: v.tolist()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v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"rapping_phase_scales"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"rapping_loss_coefficients"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"peak_field_shares"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"cluster-specific P05-P95 plus empirical 97.5th percentile Mahalanobis d2 and engineering ordering"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"base_candidate_count_per_condition_seed"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220000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"local_candidate_count_per_preliminary_solution"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"random_seeds"</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"scenario_parameters.json"</w:t>
      </w:r>
      <w:r>
        <w:rPr>
          <w:rStyle w:val="NormalTok"/>
          <w:rFonts w:ascii="Menlo" w:hAnsi="Menlo" w:eastAsia="Noto Serif CJK SC" w:cs="Menlo"/>
          <w:color w:val="000000"/>
          <w:sz w:val="14"/>
        </w:rPr>
        <w:t xml:space="preserve">).write_text(json.dumps(scenario_params,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make_figures(df, model, profiles, optimum, 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w:t>
      </w:r>
      <w:r>
        <w:rPr>
          <w:rStyle w:val="NormalTok"/>
          <w:rFonts w:ascii="Menlo" w:hAnsi="Menlo" w:eastAsia="Noto Serif CJK SC" w:cs="Menlo"/>
          <w:color w:val="000000"/>
          <w:sz w:val="14"/>
        </w:rPr>
        <w:t xml:space="preserve">: metrics,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"central_q4"</w:t>
      </w:r>
      <w:r>
        <w:rPr>
          <w:rStyle w:val="NormalTok"/>
          <w:rFonts w:ascii="Menlo" w:hAnsi="Menlo" w:eastAsia="Noto Serif CJK SC" w:cs="Menlo"/>
          <w:color w:val="000000"/>
          <w:sz w:val="14"/>
        </w:rPr>
        <w:t xml:space="preserve">: q4_summary,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"prior_parameter_sensitivity"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(feasible_structural),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"seed_stability_max_cv_pct"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"seed_stability_max_range_pct_of_mean"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"local_refinement_max_improvement_pct"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(seed_stability[</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"central_all_conditions_feasible"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"model_run_summary.json"</w:t>
      </w:r>
      <w:r>
        <w:rPr>
          <w:rStyle w:val="NormalTok"/>
          <w:rFonts w:ascii="Menlo" w:hAnsi="Menlo" w:eastAsia="Noto Serif CJK SC" w:cs="Menlo"/>
          <w:color w:val="000000"/>
          <w:sz w:val="14"/>
        </w:rPr>
        <w:t xml:space="preserve">).write_text(json.dumps(summary,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13"/>
    <w:bookmarkStart w:id="114" w:name="d2-paper_figurespy"/>
    <w:p>
      <w:pPr>
        <w:pStyle w:val="Heading3"/>
        <w:pageBreakBefore/>
        <w:ind w:firstLine="0"/>
        <w:jc w:val="left"/>
      </w:pPr>
      <w:r>
        <w:rPr>
          <w:rFonts w:ascii="Arial" w:hAnsi="Arial" w:eastAsia="Noto Sans CJK SC" w:cs="Arial"/>
          <w:b/>
          <w:color w:val="000000"/>
          <w:sz w:val="28"/>
        </w:rPr>
        <w:t xml:space="preserve">D.2 paper_figures.py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"""Generate the complete publication figure set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All empirical plots are regenerated from the supplied processed dataset and</w:t>
      </w:r>
      <w:r>
        <w:rPr>
          <w:rFonts w:ascii="Menlo" w:hAnsi="Menlo" w:eastAsia="Noto Serif CJK SC" w:cs="Menlo"/>
          <w:color w:val="000000"/>
          <w:sz w:val="14"/>
        </w:rPr>
        <w:br/>
      </w:r>
      <w:r>
        <w:rPr>
          <w:rStyle w:val="CommentTok"/>
          <w:rFonts w:ascii="Menlo" w:hAnsi="Menlo" w:eastAsia="Noto Serif CJK SC" w:cs="Menlo"/>
          <w:color w:val="000000"/>
          <w:sz w:val="14"/>
        </w:rPr>
        <w:t xml:space="preserve">model result tables. Scenario-only plots are explicitly labelled in captions.</w:t>
      </w:r>
      <w:r>
        <w:rPr>
          <w:rFonts w:ascii="Menlo" w:hAnsi="Menlo" w:eastAsia="Noto Serif CJK SC" w:cs="Menlo"/>
          <w:color w:val="000000"/>
          <w:sz w:val="14"/>
        </w:rPr>
        <w:br/>
      </w:r>
      <w:r>
        <w:rPr>
          <w:rStyle w:val="CommentTok"/>
          <w:rFonts w:ascii="Menlo" w:hAnsi="Menlo" w:eastAsia="Noto Serif CJK SC" w:cs="Menlo"/>
          <w:color w:val="000000"/>
          <w:sz w:val="14"/>
        </w:rPr>
        <w:t xml:space="preserve">Both PNG previews and vector PDF files are exported.</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hashlib</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matplotlib.patches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FancyArrowPatch, FancyBboxPatch</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plot_utils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GRAY, LIGHT_GRAY, PALETTE, add_subpanel_label, finish_axes, save_figure, set_paper_style</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T_COLS, U_COLS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SRC_DIR.parent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DATA_PACKAGE.exists():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PROJECT_ROOT.parent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"题目4"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COND_SHORT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低温低浓高流"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"工况2</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高温中浓低流"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高温高浓高流"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"工况4</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低温高浓低流"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CAPTIONS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"出口浓度记录存在显著截顶且不覆盖目标区间。有效记录全部位于48.74～50.00 mg/Nm³，其中大量观测等于50 mg/Nm³，因而不能从该列直接辨识5或10 mg/Nm³附近的控制—排放关系。"</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"原始过程量具有连续时序变化和多工况切换特征。图中展示首24小时入口温度、入口浓度、烟气流量及总功率的分钟级变化。"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"四类工况在轮廓系数与解释复杂度之间取得较好平衡。k=4的轮廓系数达到0.408，且避免继续增加聚类数带来的解释负担。"</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"四类工况在入口浓度—温度平面上形成清晰分区，并由烟气流量大小补充刻画负荷差异。"</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"标准化工况画像揭示温度、浓度、流量、粉尘负荷与历史总功率之间的结构差异，为分工况控制提供依据。"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"本文采用数据驱动功率模型与工程灰箱排放模型协同的分层优化框架。实测数据负责功率与工况辨识，排放约束仅在显式先验情景下推演。"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"滚动验证选择的二次岭回归优于均值与线性基线；回顾性测试R²为0.957、RMSE为14.76 kW。左图虚线表示理想预测，右图比较两时段RMSE。"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"回顾性测试残差均值为−10.78 kW，且在高功率区负偏差有所扩大；验证集绝对误差90%分位数11.78 kW作为验证期误差附加量。"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"08b_feature_importance"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"二次岭功率模型的标准化系数显示，电压及其二次交互项是主要预测信息来源。系数反映相关性和预测贡献，不解释为单变量因果效应。"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"在各工况典型状态下，模型给出的总功率随四电场电压同步提高而上升。曲线仅在各工况历史电压支持区间附近绘制。"</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"更严格的5 mg/Nm³情景约束在四类工况下均要求更高预测功率；中心情景工况加权平均功率由1609.42 kW升至1829.79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mg/Nm³情景主要通过提高前级电场电压并适度调整后级电压实现更高捕集强度。各柱为随机候选搜索得到的支持域内最优解。"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"最优振打周期在不同工况和排放限值间发生协同调整，前两电场周期较短、后两电场周期较长的工程顺序约束始终得到保持。"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"12b_radar_controls"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"代表工况的电压和振打周期剖面表明，限值收紧时前级电压增量更突出，但后级补偿与周期协同仍不可忽略。"</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"最优方案的约束值由连续排放基值和振打峰值增量共同构成。柱顶虚线分别表示10和5 mg/Nm³情景限值。"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"灰箱情景表明，振打周期相对参考最优周期延长会放大单次再飞扬峰值；高粉尘负荷工况的峰值增幅更显著。"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"五个独立随机种子与局部细化得到的最低预测功率高度稳定；八个工况—限值组合的最大变异系数为0.181%，局部细化相对初始随机库最多改善0.986%。"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"405组结构情景全部在当前支持域内可行；5 mg/Nm³相对10 mg/Nm³的加权功率增幅范围为11.37%～14.31%，中位数为12.99%。箱线图展示出口缩放与振打相位的联合影响。"</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"场权重消融后，前两电场仍承担70.8%～73.7%的正向电压增量，说明前级优先并非完全由中心权重先验写入，但后级电压仍有不可忽略的补偿作用。"</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"四类工况从10收紧至5 mg/Nm³的中心情景功率增幅为13.34%～14.11%，加权平均为13.69%；在相同运行时长下，该比例也对应电耗增幅。"</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"05b_boundary_proximity"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"八组推荐解均未超过各工况经验97.5%支持域边界，但工况2的10 mg解和工况4的5 mg解已超过90%贴近阈值，必须经现场阶跃试验复核。"</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TRACE_META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"fig01_outlet_diagnosis"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"§2.2；图1"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"出口记录可能为量程截顶；不代表真实排放分布"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"fig02_timeseries"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"§2.1—2.2；图2"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"只展示首24 h，不代表全周期分布"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"聚类指标只评价统计分离度，不等于物理工况唯一性"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"为可视化抽样点；聚类实际使用全部训练样本"</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"fig05_profile_heatmap"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"列内标准化仅用于相对比较"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"§3；图3"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"概念流程图，不含新的经验数据"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"fig07_power_prediction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"回顾性测试并非真正未触碰盲测"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"fig08_residuals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"§5.2；图10"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"存在−10.78 kW平均偏差和高功率区低估"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"08b_feature_importance"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"fig08b_feature_importance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"§5.2；图9"</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"标准化系数用于预测解释，不代表单变量因果效应"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"fig09_voltage_response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"§5.2；图11"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"局部情景曲线，仅在历史电压附近解释"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"fig10_power"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"§5.4；图13"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"功率来自数据模型；可行性来自未辨识灰箱情景"</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"grouped_controls(U_COLS)"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"最优电压是情景试验起点，不是设备安全设定"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"grouped_controls(T_COLS)"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"无实际振打事件，周期结果依赖峰值先验"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"12b_radar_controls"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"fig12b_control_profiles"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"控制剖面来自中心灰箱情景，不是设备安全设定"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"fig13_emission"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"§7.2；图18"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"全部排放值为情景推演，不是实测"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"fig14_peak"</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"§4.2；图4"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"峰值指数1.35与尺度1.2属于工程先验"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"fig15_seed_stability"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"§8.1；图19"</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"随机种子稳定不等价于全局最优证明"</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"fig16_structural_sensitivity"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"§8.2；图20"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"扫描范围仍由显式情景网格决定"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"fig17_field_ablation"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"§8.3；图21"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"消融仍依赖同一灰箱结构与支持域"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"fig18_penalty"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"§7.1；图17"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"13.69%为单一种子中心情景点估计"</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"05b_boundary_proximity"</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"fig05b_boundary_proximity"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"§5.4；图12"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"经验支持域不是设备安全边界，贴边解仍需现场复核"</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MANUSCRIPT_FIGURE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"08b_feature_importance"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"05b_boundary_proximity"</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"12b_radar_controls"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{:.0f}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bars:</w:t>
      </w:r>
      <w:r>
        <w:rPr>
          <w:rFonts w:ascii="Menlo" w:hAnsi="Menlo" w:eastAsia="Noto Serif CJK SC" w:cs="Menlo"/>
          <w:color w:val="000000"/>
          <w:sz w:val="14"/>
        </w:rPr>
        <w:br/>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bar.get_height()</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 fmt.</w:t>
      </w:r>
      <w:r>
        <w:rPr>
          <w:rStyle w:val="BuiltInTok"/>
          <w:rFonts w:ascii="Menlo" w:hAnsi="Menlo" w:eastAsia="Noto Serif CJK SC" w:cs="Menlo"/>
          <w:color w:val="000000"/>
          <w:sz w:val="14"/>
        </w:rPr>
        <w:t xml:space="preserve">format</w:t>
      </w:r>
      <w:r>
        <w:rPr>
          <w:rStyle w:val="NormalTok"/>
          <w:rFonts w:ascii="Menlo" w:hAnsi="Menlo" w:eastAsia="Noto Serif CJK SC" w:cs="Menlo"/>
          <w:color w:val="000000"/>
          <w:sz w:val="14"/>
        </w:rPr>
        <w:t xml:space="preserve">(h),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"bottom"</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fig01_outlet_diagnosis(df: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bins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ax.hist(valid, bins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bins,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"记录上限 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"5与10 mg/Nm³目标均在图示范围外"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 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"出口粉尘浓度记录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left"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w:t>
      </w:r>
      <w:r>
        <w:rPr>
          <w:rFonts w:ascii="Menlo" w:hAnsi="Menlo" w:eastAsia="Noto Serif CJK SC" w:cs="Menlo"/>
          <w:color w:val="000000"/>
          <w:sz w:val="14"/>
        </w:rPr>
        <w:br/>
      </w:r>
      <w:r>
        <w:rPr>
          <w:rStyle w:val="NormalTok"/>
          <w:rFonts w:ascii="Menlo" w:hAnsi="Menlo" w:eastAsia="Noto Serif CJK SC" w:cs="Menlo"/>
          <w:color w:val="000000"/>
          <w:sz w:val="14"/>
        </w:rPr>
        <w:t xml:space="preserve">    categories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"精确值"</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"50截顶"</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"缺失"</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"C_out_exact_flag"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"C_out_cap50_flag"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ax.bar(categories, values,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(bars, values):</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0.012</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total</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"百分比以全部10080条样本为分母"</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fig02_timeseries(df: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df.iloc[:</w:t>
      </w:r>
      <w:r>
        <w:rPr>
          <w:rStyle w:val="DecValTok"/>
          <w:rFonts w:ascii="Menlo" w:hAnsi="Menlo" w:eastAsia="Noto Serif CJK SC" w:cs="Menlo"/>
          <w:color w:val="000000"/>
          <w:sz w:val="14"/>
        </w:rPr>
        <w:t xml:space="preserve">1440</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hours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60</w:t>
      </w:r>
      <w:r>
        <w:rPr>
          <w:rFonts w:ascii="Menlo" w:hAnsi="Menlo" w:eastAsia="Noto Serif CJK SC" w:cs="Menlo"/>
          <w:color w:val="000000"/>
          <w:sz w:val="14"/>
        </w:rPr>
        <w:br/>
      </w:r>
      <w:r>
        <w:rPr>
          <w:rStyle w:val="NormalTok"/>
          <w:rFonts w:ascii="Menlo" w:hAnsi="Menlo" w:eastAsia="Noto Serif CJK SC" w:cs="Menlo"/>
          <w:color w:val="000000"/>
          <w:sz w:val="14"/>
        </w:rPr>
        <w:t xml:space="preserve">    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"入口温度 (°C)"</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 (g/Nm³)"</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 (Nm³/h)"</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"总功率 (kW)"</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5.5</w:t>
      </w:r>
      <w:r>
        <w:rPr>
          <w:rStyle w:val="NormalTok"/>
          <w:rFonts w:ascii="Menlo" w:hAnsi="Menlo" w:eastAsia="Noto Serif CJK SC" w:cs="Menlo"/>
          <w:color w:val="000000"/>
          <w:sz w:val="14"/>
        </w:rPr>
        <w:t xml:space="preserve">), sharex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(col, label, color), tag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 fields,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tag, 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ax.plot(hours, d[col],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"首日运行时间 (h)"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fig03_cluster_selection(cluster_eval: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cluster_eval[cluster_eval[</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ax.scatter([chosen[</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[chosen[</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65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"选定 k=4"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"轮廓系数"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"inertia"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"惯性/1000"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"类内惯性 (×10³)"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fig04_condition_map(df: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sizes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ax.scatter(g[</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sizes,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fig05_profile_heatmap(profiles: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"温度"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"粉尘负荷"</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"历史总功率"</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ax.imshow(z,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"RdBu_r"</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vmax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(labels)),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z[i,j]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(z[i,j])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0.032</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"列内标准分数"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fig05b_boundary_proximity(optimum: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"""Audit how close each recommended point lies to its empirical support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ascending</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"ratio_pct"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(lim)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mg"</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lim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(ordered[</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PALETTE[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ratio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(ordered[</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"ratio_pct"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3.6</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(ordered))</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].vlines(x,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"ratio_pct"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2.2</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].scatter(x, ordered[</w:t>
      </w:r>
      <w:r>
        <w:rPr>
          <w:rStyle w:val="StringTok"/>
          <w:rFonts w:ascii="Menlo" w:hAnsi="Menlo" w:eastAsia="Noto Serif CJK SC" w:cs="Menlo"/>
          <w:color w:val="000000"/>
          <w:sz w:val="14"/>
        </w:rPr>
        <w:t xml:space="preserve">"ratio_pct"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"90%贴近阈值"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"经验边界"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].set_xticks(x,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"边界相对距离 $d_M^2/q_</w:t>
      </w:r>
      <w:r>
        <w:rPr>
          <w:rStyle w:val="SpecialCharTok"/>
          <w:rFonts w:ascii="Menlo" w:hAnsi="Menlo" w:eastAsia="Noto Serif CJK SC" w:cs="Menlo"/>
          <w:color w:val="000000"/>
          <w:sz w:val="14"/>
        </w:rPr>
        <w:t xml:space="preserve">{0.975}</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"lower left"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(ordered))[::</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].barh(y, ordered[</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LIGHT_GRAY, height</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0.58</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"经验97.5%边界"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].barh(y, ordered[</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height</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"推荐解距离"</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].set_yticks(y,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"马氏距离平方"</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"05b_boundary_proximity"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fig06_method_overview()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ax.axis(</w:t>
      </w:r>
      <w:r>
        <w:rPr>
          <w:rStyle w:val="StringTok"/>
          <w:rFonts w:ascii="Menlo" w:hAnsi="Menlo" w:eastAsia="Noto Serif CJK SC" w:cs="Menlo"/>
          <w:color w:val="000000"/>
          <w:sz w:val="14"/>
        </w:rPr>
        <w:t xml:space="preserve">"off"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stages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"原始数据"</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"过程量、总功率</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出口浓度记录"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"数据审计"</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"截顶诊断</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时间切分与支持域"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"数据驱动层"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"工况聚类</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岭回归功率模型"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"捕集指数</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振打峰值代理"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"约束优化"</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"5/10 mg情景约束</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历史支持域搜索"</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"输出"</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"分工况控制策略</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功率代价与敏感性"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fills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"#F2F4F7"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"#E8F5F0"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"#FFF2E5"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"#F3ECF7"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y, w, h, title, body), fill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(stages, fills):</w:t>
      </w:r>
      <w:r>
        <w:rPr>
          <w:rFonts w:ascii="Menlo" w:hAnsi="Menlo" w:eastAsia="Noto Serif CJK SC" w:cs="Menlo"/>
          <w:color w:val="000000"/>
          <w:sz w:val="14"/>
        </w:rPr>
        <w:br/>
      </w:r>
      <w:r>
        <w:rPr>
          <w:rStyle w:val="NormalTok"/>
          <w:rFonts w:ascii="Menlo" w:hAnsi="Menlo" w:eastAsia="Noto Serif CJK SC" w:cs="Menlo"/>
          <w:color w:val="000000"/>
          <w:sz w:val="14"/>
        </w:rPr>
        <w:t xml:space="preserve">        box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FancyBboxPatch((x, y), w, h, boxstyle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"round,pad=0.04,rounding_size=0.08"</w:t>
      </w:r>
      <w:r>
        <w:rPr>
          <w:rStyle w:val="NormalTok"/>
          <w:rFonts w:ascii="Menlo" w:hAnsi="Menlo" w:eastAsia="Noto Serif CJK SC" w:cs="Menlo"/>
          <w:color w:val="000000"/>
          <w:sz w:val="14"/>
        </w:rPr>
        <w:t xml:space="preserve">, facecolor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fill,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"#4B5563"</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ax.add_patch(box)</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0.68</w:t>
      </w:r>
      <w:r>
        <w:rPr>
          <w:rStyle w:val="NormalTok"/>
          <w:rFonts w:ascii="Menlo" w:hAnsi="Menlo" w:eastAsia="Noto Serif CJK SC" w:cs="Menlo"/>
          <w:color w:val="000000"/>
          <w:sz w:val="14"/>
        </w:rPr>
        <w:t xml:space="preserve">, title,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0.34</w:t>
      </w:r>
      <w:r>
        <w:rPr>
          <w:rStyle w:val="NormalTok"/>
          <w:rFonts w:ascii="Menlo" w:hAnsi="Menlo" w:eastAsia="Noto Serif CJK SC" w:cs="Menlo"/>
          <w:color w:val="000000"/>
          <w:sz w:val="14"/>
        </w:rPr>
        <w:t xml:space="preserve">, body,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 linespacing</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"清洗数据"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2.52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2.85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"不可辨识部分"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2.65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"功率预测"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"排放约束"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start, end, label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ax.add_patch(FancyArrowPatch(start, end, arrowstyle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mutation_scale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ax.text((start[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(start[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label,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"实测证据"</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"显式先验（不冒充实测辨识）"</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fit_power_model(df: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model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fig07_power_prediction(df: pd.DataFrame, model: RidgePowerModel, baselines: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"理想预测"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"$R^2=0.957$</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RMSE=14.76 kW"</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"lower right"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"均值基线"</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"线性岭"</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"二次岭"</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model_order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val,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"验证集"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tst,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"RMSE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ax.set_yscale(</w:t>
      </w:r>
      <w:r>
        <w:rPr>
          <w:rStyle w:val="StringTok"/>
          <w:rFonts w:ascii="Menlo" w:hAnsi="Menlo" w:eastAsia="Noto Serif CJK SC" w:cs="Menlo"/>
          <w:color w:val="000000"/>
          <w:sz w:val="14"/>
        </w:rPr>
        <w:t xml:space="preserve">"log"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"纵轴为对数刻度"</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fig08_residuals(df: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].scatter(pred, res,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"残差：预测−实际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].hist(res,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].axvline(res.mean(),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f"测试均值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res</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mean()</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].axvline(guard,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f"验证|误差|P90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guard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"残差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fig08b_feature_importance(model: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"""Plot standardized ridge coefficients without giving them a causal meaning."""</w:t>
      </w:r>
      <w:r>
        <w:rPr>
          <w:rFonts w:ascii="Menlo" w:hAnsi="Menlo" w:eastAsia="Noto Serif CJK SC" w:cs="Menlo"/>
          <w:color w:val="000000"/>
          <w:sz w:val="14"/>
        </w:rPr>
        <w:br/>
      </w:r>
      <w:r>
        <w:rPr>
          <w:rStyle w:val="NormalTok"/>
          <w:rFonts w:ascii="Menlo" w:hAnsi="Menlo" w:eastAsia="Noto Serif CJK SC" w:cs="Menlo"/>
          <w:color w:val="000000"/>
          <w:sz w:val="14"/>
        </w:rPr>
        <w:t xml:space="preserve">    names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"$U_1U_2$"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"$U_1U_3$"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"$U_1U_4$"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"$U_2^2$"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"$U_2U_3$"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"$U_2U_4$"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"$U_3^2$"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"$U_3U_4$"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"$U_4^2$"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"$T_1$"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"$T_2$"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"$T_3$"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"$T_4$"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"入口温度 $H$"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 $C_</w:t>
      </w:r>
      <w:r>
        <w:rPr>
          <w:rStyle w:val="SpecialCharTok"/>
          <w:rFonts w:ascii="Menlo" w:hAnsi="Menlo" w:eastAsia="Noto Serif CJK SC" w:cs="Menlo"/>
          <w:color w:val="000000"/>
          <w:sz w:val="14"/>
        </w:rPr>
        <w:t xml:space="preserve">{in}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 $Q$"</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np.asarray(model.beta[</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dtype</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np.argsort(np.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(coef))</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coef[order]</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[names[i]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order]</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values]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ax.barh(np.arange(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(values)), values,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0.86</w:t>
      </w:r>
      <w:r>
        <w:rPr>
          <w:rStyle w:val="NormalTok"/>
          <w:rFonts w:ascii="Menlo" w:hAnsi="Menlo" w:eastAsia="Noto Serif CJK SC" w:cs="Menlo"/>
          <w:color w:val="000000"/>
          <w:sz w:val="14"/>
        </w:rPr>
        <w:t xml:space="preserve">, height</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(bars, values):</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ax.text(value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bar.get_y()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bar.get_height()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"left"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(values)),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"标准化岭回归系数 (kW/标准差)"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"08b_feature_importance"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fig09_voltage_response(df: pd.DataFrame, profiles: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group[U_COLS].median().to_numpy(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(U_COLS, u0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(T_COLS, t0)})</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model.predict(pd.DataFrame(rows))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y,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"四电场电压同步变化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"模型预测总功率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fig10_power(optimum: pd.DataFrame, 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b1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b1)</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_label_bars(ax, b2)</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(p.</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grouped_controls(optimum: pd.DataFrame, cols: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ylabel: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cluster, tag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(axes.flat,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tag)</w:t>
      </w:r>
      <w:r>
        <w:rPr>
          <w:rFonts w:ascii="Menlo" w:hAnsi="Menlo" w:eastAsia="Noto Serif CJK SC" w:cs="Menlo"/>
          <w:color w:val="000000"/>
          <w:sz w:val="14"/>
        </w:rPr>
        <w:br/>
      </w:r>
      <w:r>
        <w:rPr>
          <w:rStyle w:val="NormalTok"/>
          <w:rFonts w:ascii="Menlo" w:hAnsi="Menlo" w:eastAsia="Noto Serif CJK SC" w:cs="Menlo"/>
          <w:color w:val="000000"/>
          <w:sz w:val="14"/>
        </w:rPr>
        <w:t xml:space="preserve">        sub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cluster].set_index(</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right"</w:t>
      </w:r>
      <w:r>
        <w:rPr>
          <w:rStyle w:val="NormalTok"/>
          <w:rFonts w:ascii="Menlo" w:hAnsi="Menlo" w:eastAsia="Noto Serif CJK SC" w:cs="Menlo"/>
          <w:color w:val="000000"/>
          <w:sz w:val="14"/>
        </w:rPr>
        <w:t xml:space="preserve">, bbox_to_anchor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stem)</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fig12b_control_profiles(optimum: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"""Compare voltage and rapping profiles for representative low/high-load conditions."""</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"电场1"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"电场2"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"电场3"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"电场4"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styles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"工况1，10 mg"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"工况1，5 mg"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"工况3，10 mg"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"工况3，5 mg"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cols, ylabel, tag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U_COLS, </w:t>
      </w:r>
      <w:r>
        <w:rPr>
          <w:rStyle w:val="StringTok"/>
          <w:rFonts w:ascii="Menlo" w:hAnsi="Menlo" w:eastAsia="Noto Serif CJK SC" w:cs="Menlo"/>
          <w:color w:val="000000"/>
          <w:sz w:val="14"/>
        </w:rPr>
        <w:t xml:space="preserve">"中心情景电压 (kV)"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T_COLS, </w:t>
      </w:r>
      <w:r>
        <w:rPr>
          <w:rStyle w:val="StringTok"/>
          <w:rFonts w:ascii="Menlo" w:hAnsi="Menlo" w:eastAsia="Noto Serif CJK SC" w:cs="Menlo"/>
          <w:color w:val="000000"/>
          <w:sz w:val="14"/>
        </w:rPr>
        <w:t xml:space="preserve">"中心情景振打周期 (s)"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tag)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limit), (style, color, label)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styles.items():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limit)].iloc[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ax.plot(x, row[cols].to_numpy(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style,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 markersize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fields)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ax.set_ylabel(ylabel)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"12b_radar_controls"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fig13_emission(optimum: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optimum.sort_values([</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ascending</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"连续排放基值"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peak, bottom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"振打峰值增量"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3.45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7.45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"峰值总排放情景值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fig14_peak(profiles: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profiles[profiles[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(ratio</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"振打周期相对参考最优周期变化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"单次再飞扬峰值增量代理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fig15_seed_stability(seed_data: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seed_data.assign(key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keys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key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(keys):</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ordered[ordered[</w:t>
      </w:r>
      <w:r>
        <w:rPr>
          <w:rStyle w:val="StringTok"/>
          <w:rFonts w:ascii="Menlo" w:hAnsi="Menlo" w:eastAsia="Noto Serif CJK SC" w:cs="Menlo"/>
          <w:color w:val="000000"/>
          <w:sz w:val="14"/>
        </w:rPr>
        <w:t xml:space="preserve">"key"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key]</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jitter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(g),j)</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jitter, rel,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PALETTE[j</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key.endswith(</w:t>
      </w:r>
      <w:r>
        <w:rPr>
          <w:rStyle w:val="String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ax.vlines(j, rel.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rel.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LIGHT_GRAY,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mg"</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"相对五种子中位数偏差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"工况—限值组合"</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ax.boxplot(groups,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widths</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box,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ax.scatter(np.repeat([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np.concatenate(groups),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"局部细化相对初始库改善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"排放限值"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fig16_structural_sensitivity(structural: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ax.boxplot(data,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showfliers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box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box.set_facecolor(PALETTE[i</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(PALETTE)])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"出口记录缩放系数"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"5相对10 mg/Nm³加权功率增幅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styles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style,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 styles, labels,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phases]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ax.plot(phases, medians, style,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"振打相位叠加尺度"</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fig17_field_ablation(ablation: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3.3</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ax.imshow(d.to_numpy(),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"YlGnBu"</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"电场"</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"去除贡献权重设定"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d</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iloc[i,j]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d.iloc[i,j]</w:t>
      </w:r>
      <w:r>
        <w:rPr>
          <w:rStyle w:val="OperatorTok"/>
          <w:rFonts w:ascii="Menlo" w:hAnsi="Menlo" w:eastAsia="Noto Serif CJK SC" w:cs="Menlo"/>
          <w:color w:val="000000"/>
          <w:sz w:val="14"/>
        </w:rPr>
        <w:t xml:space="preserve">&gt;</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"10→5 mg时加权电压增量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add_subpanel_label(ax, </w:t>
      </w:r>
      <w:r>
        <w:rPr>
          <w:rStyle w:val="StringTok"/>
          <w:rFonts w:ascii="Menlo" w:hAnsi="Menlo" w:eastAsia="Noto Serif CJK SC" w:cs="Menlo"/>
          <w:color w:val="000000"/>
          <w:sz w:val="14"/>
        </w:rPr>
        <w:t xml:space="preserv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ax.bar(labels, shares,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{:.1f}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"前两电场占正向电压增量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fig18_penalty(q4: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 q4.sort_values(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{:.2f}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ax.axhline(weighted,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f"工况加权平均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"情景预测功率增幅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write_manifest()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script_hash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"scenario_model.py"</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stem, caption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CAPTIONS.items():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source_data, function_name, claims, limitations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TRACE_META[stem]</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 stem.split(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 MANUSCRIPT_FIGURE[stem], </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 stem,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caption,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).resolve()),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).resolve()),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source_data,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f"paper_figures.py::</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function_name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plot_sha256=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script_hash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model_sha256=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model_hash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claims,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 limitations})</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pd.DataFrame(rows).to_csv(OUT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论文图组与图注"</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"所有图均提供 PNG 预览和 PDF 矢量版本。"</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(rows, key</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lambda</w:t>
      </w:r>
      <w:r>
        <w:rPr>
          <w:rStyle w:val="NormalTok"/>
          <w:rFonts w:ascii="Menlo" w:hAnsi="Menlo" w:eastAsia="Noto Serif CJK SC" w:cs="Menlo"/>
          <w:color w:val="000000"/>
          <w:sz w:val="14"/>
        </w:rPr>
        <w:t xml:space="preserve"> x: x[</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lines.extend([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正文图</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（文件编号</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源数据：`</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变换：`</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支持的正文论断：</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局限：</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PNG：`</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PDF：`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"图注清单.md"</w:t>
      </w:r>
      <w:r>
        <w:rPr>
          <w:rStyle w:val="NormalTok"/>
          <w:rFonts w:ascii="Menlo" w:hAnsi="Menlo" w:eastAsia="Noto Serif CJK SC" w:cs="Menlo"/>
          <w:color w:val="000000"/>
          <w:sz w:val="14"/>
        </w:rPr>
        <w:t xml:space="preserve">).write_text(</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.join(lines),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set_paper_style()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fit_power_model(df)</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fig01_outlet_diagnosis(df)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fig02_timeseries(df)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fig03_cluster_selection(cluster_eval)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fig04_condition_map(df)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fig05_profile_heatmap(profiles)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fig05b_boundary_proximity(optimum)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fig06_method_overview()</w:t>
      </w:r>
      <w:r>
        <w:rPr>
          <w:rFonts w:ascii="Menlo" w:hAnsi="Menlo" w:eastAsia="Noto Serif CJK SC" w:cs="Menlo"/>
          <w:color w:val="000000"/>
          <w:sz w:val="14"/>
        </w:rPr>
        <w:br/>
      </w:r>
      <w:r>
        <w:rPr>
          <w:rStyle w:val="NormalTok"/>
          <w:rFonts w:ascii="Menlo" w:hAnsi="Menlo" w:eastAsia="Noto Serif CJK SC" w:cs="Menlo"/>
          <w:color w:val="000000"/>
          <w:sz w:val="14"/>
        </w:rPr>
        <w:t xml:space="preserve">    fig07_power_prediction(df, model,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fig08b_feature_importance(model)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fig08_residuals(df,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fig09_voltage_response(df, profiles,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fig10_power(optimum, q4)</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U_COLS,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fig12b_control_profiles(optimum)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T_COLS,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 (s)"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fig13_emission(optimum)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fig14_peak(profiles)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fig15_seed_stability(seed_data)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fig16_structural_sensitivity(structural)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fig17_field_ablation(ablation)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fig18_penalty(q4)</w:t>
      </w:r>
      <w:r>
        <w:rPr>
          <w:rFonts w:ascii="Menlo" w:hAnsi="Menlo" w:eastAsia="Noto Serif CJK SC" w:cs="Menlo"/>
          <w:color w:val="000000"/>
          <w:sz w:val="14"/>
        </w:rPr>
        <w:br/>
      </w:r>
      <w:r>
        <w:rPr>
          <w:rStyle w:val="NormalTok"/>
          <w:rFonts w:ascii="Menlo" w:hAnsi="Menlo" w:eastAsia="Noto Serif CJK SC" w:cs="Menlo"/>
          <w:color w:val="000000"/>
          <w:sz w:val="14"/>
        </w:rPr>
        <w:t xml:space="preserve">    write_manifest()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f"Generated </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(CAPTIONS)</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figures in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14"/>
    <w:bookmarkStart w:id="115" w:name="d3-plot_utilspy"/>
    <w:p>
      <w:pPr>
        <w:pStyle w:val="Heading3"/>
        <w:pageBreakBefore/>
        <w:ind w:firstLine="0"/>
        <w:jc w:val="left"/>
      </w:pPr>
      <w:r>
        <w:rPr>
          <w:rFonts w:ascii="Arial" w:hAnsi="Arial" w:eastAsia="Noto Sans CJK SC" w:cs="Arial"/>
          <w:b/>
          <w:color w:val="000000"/>
          <w:sz w:val="28"/>
        </w:rPr>
        <w:t xml:space="preserve">D.3 plot_utils.py</w:t>
      </w:r>
    </w:p>
    <w:p>
      <w:pPr>
        <w:pStyle w:val="SourceCode"/>
        <w:ind w:firstLine="0"/>
        <w:jc w:val="left"/>
      </w:pPr>
      <w:r>
        <w:rPr>
          <w:rStyle w:val="CommentTok"/>
          <w:rFonts w:ascii="Menlo" w:hAnsi="Menlo" w:eastAsia="Noto Serif CJK SC" w:cs="Menlo"/>
          <w:color w:val="000000"/>
          <w:sz w:val="14"/>
        </w:rPr>
        <w:t xml:space="preserve">"""Shared publication plotting style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PALETTE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"#6B7280"</w:t>
      </w:r>
      <w:r>
        <w:rPr>
          <w:rFonts w:ascii="Menlo" w:hAnsi="Menlo" w:eastAsia="Noto Serif CJK SC" w:cs="Menlo"/>
          <w:color w:val="000000"/>
          <w:sz w:val="14"/>
        </w:rPr>
        <w:br/>
      </w:r>
      <w:r>
        <w:rPr>
          <w:rStyle w:val="NormalTok"/>
          <w:rFonts w:ascii="Menlo" w:hAnsi="Menlo" w:eastAsia="Noto Serif CJK SC" w:cs="Menlo"/>
          <w:color w:val="000000"/>
          <w:sz w:val="14"/>
        </w:rPr>
        <w:t xml:space="preserve">LIGHT_GRAY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"#D1D5DB"</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set_paper_style()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"font.family"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"sans-serif"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"Noto Sans CJK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"axes.labelsize"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"axes.titlesize"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"xtick.labelsize"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"ytick.labelsize"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"legend.fontsize"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"#E5E7EB"</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"grid.alpha"</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"savefig.bbox"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"ps.fonttype"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finish_axes(ax, grid_axis: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grid_axis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ax.grid(</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grid_axis)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ax.set_axisbelow(</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add_subpanel_label(ax, label: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 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"""Add a compact (a), (b), ... identifier to a multi-panel figure."""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Fonts w:ascii="Menlo" w:hAnsi="Menlo" w:eastAsia="Noto Serif CJK SC" w:cs="Menlo"/>
          <w:color w:val="000000"/>
          <w:sz w:val="14"/>
        </w:rPr>
        <w:br/>
      </w:r>
      <w:r>
        <w:rPr>
          <w:rStyle w:val="NormalTok"/>
          <w:rFonts w:ascii="Menlo" w:hAnsi="Menlo" w:eastAsia="Noto Serif CJK SC" w:cs="Menlo"/>
          <w:color w:val="000000"/>
          <w:sz w:val="14"/>
        </w:rPr>
        <w:t xml:space="preserve">        x,</w:t>
      </w:r>
      <w:r>
        <w:rPr>
          <w:rFonts w:ascii="Menlo" w:hAnsi="Menlo" w:eastAsia="Noto Serif CJK SC" w:cs="Menlo"/>
          <w:color w:val="000000"/>
          <w:sz w:val="14"/>
        </w:rPr>
        <w:br/>
      </w:r>
      <w:r>
        <w:rPr>
          <w:rStyle w:val="NormalTok"/>
          <w:rFonts w:ascii="Menlo" w:hAnsi="Menlo" w:eastAsia="Noto Serif CJK SC" w:cs="Menlo"/>
          <w:color w:val="000000"/>
          <w:sz w:val="14"/>
        </w:rPr>
        <w:t xml:space="preserve">        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w:t>
      </w:r>
      <w:r>
        <w:rPr>
          <w:rFonts w:ascii="Menlo" w:hAnsi="Menlo" w:eastAsia="Noto Serif CJK SC" w:cs="Menlo"/>
          <w:color w:val="000000"/>
          <w:sz w:val="14"/>
        </w:rPr>
        <w:br/>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"bottom"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save_figure(fig, out_dir: Path,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p>
    <w:bookmarkEnd w:id="115"/>
    <w:bookmarkStart w:id="116" w:name="d4-integrity_checkpy"/>
    <w:p>
      <w:pPr>
        <w:pStyle w:val="Heading3"/>
        <w:pageBreakBefore/>
        <w:ind w:firstLine="0"/>
        <w:jc w:val="left"/>
      </w:pPr>
      <w:r>
        <w:rPr>
          <w:rFonts w:ascii="Arial" w:hAnsi="Arial" w:eastAsia="Noto Sans CJK SC" w:cs="Arial"/>
          <w:b/>
          <w:color w:val="000000"/>
          <w:sz w:val="28"/>
        </w:rPr>
        <w:t xml:space="preserve">D.4 integrity_check.py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"""Deterministic integrity checks for manuscript numbers and artifacts."""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re</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_r2, _rmse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DATA_PACKAGE.exists():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PROJECT_ROOT.parent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"题目4"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"integrity"</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close(a: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b: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tol: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tol)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check(name: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passed: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actual: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expected: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checks.append({</w:t>
      </w:r>
      <w:r>
        <w:rPr>
          <w:rStyle w:val="StringTok"/>
          <w:rFonts w:ascii="Menlo" w:hAnsi="Menlo" w:eastAsia="Noto Serif CJK SC" w:cs="Menlo"/>
          <w:color w:val="000000"/>
          <w:sz w:val="14"/>
        </w:rPr>
        <w:t xml:space="preserve">"check"</w:t>
      </w:r>
      <w:r>
        <w:rPr>
          <w:rStyle w:val="NormalTok"/>
          <w:rFonts w:ascii="Menlo" w:hAnsi="Menlo" w:eastAsia="Noto Serif CJK SC" w:cs="Menlo"/>
          <w:color w:val="000000"/>
          <w:sz w:val="14"/>
        </w:rPr>
        <w:t xml:space="preserve">: name,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(passed), </w:t>
      </w:r>
      <w:r>
        <w:rPr>
          <w:rStyle w:val="StringTok"/>
          <w:rFonts w:ascii="Menlo" w:hAnsi="Menlo" w:eastAsia="Noto Serif CJK SC" w:cs="Menlo"/>
          <w:color w:val="000000"/>
          <w:sz w:val="14"/>
        </w:rPr>
        <w:t xml:space="preserve">"actual"</w:t>
      </w:r>
      <w:r>
        <w:rPr>
          <w:rStyle w:val="NormalTok"/>
          <w:rFonts w:ascii="Menlo" w:hAnsi="Menlo" w:eastAsia="Noto Serif CJK SC" w:cs="Menlo"/>
          <w:color w:val="000000"/>
          <w:sz w:val="14"/>
        </w:rPr>
        <w:t xml:space="preserve">: actual, </w:t>
      </w:r>
      <w:r>
        <w:rPr>
          <w:rStyle w:val="StringTok"/>
          <w:rFonts w:ascii="Menlo" w:hAnsi="Menlo" w:eastAsia="Noto Serif CJK SC" w:cs="Menlo"/>
          <w:color w:val="000000"/>
          <w:sz w:val="14"/>
        </w:rPr>
        <w:t xml:space="preserve">"expected"</w:t>
      </w:r>
      <w:r>
        <w:rPr>
          <w:rStyle w:val="NormalTok"/>
          <w:rFonts w:ascii="Menlo" w:hAnsi="Menlo" w:eastAsia="Noto Serif CJK SC" w:cs="Menlo"/>
          <w:color w:val="000000"/>
          <w:sz w:val="14"/>
        </w:rPr>
        <w:t xml:space="preserve">: expected})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"raw_row_count"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"outlet_missing_count"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"outlet_valid_count"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"outlet_min"</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"outlet_max"</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"outlet_cap50_count"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"outlet_le10_count"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"outlet_le5_count"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val,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vp, 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model.predict(val),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recomputed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key,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recomputed.items():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pecialStringTok"/>
          <w:rFonts w:ascii="Menlo" w:hAnsi="Menlo" w:eastAsia="Noto Serif CJK SC" w:cs="Menlo"/>
          <w:color w:val="000000"/>
          <w:sz w:val="14"/>
        </w:rPr>
        <w:t xml:space="preserve">f"power_metric_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key</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close(value,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(metrics[key]),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value, metrics[key])</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"validation_error_guard_q90"</w:t>
      </w:r>
      <w:r>
        <w:rPr>
          <w:rStyle w:val="NormalTok"/>
          <w:rFonts w:ascii="Menlo" w:hAnsi="Menlo" w:eastAsia="Noto Serif CJK SC" w:cs="Menlo"/>
          <w:color w:val="000000"/>
          <w:sz w:val="14"/>
        </w:rPr>
        <w:t xml:space="preserve">, close(guard,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guard, 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"reporting_guard_rule_named_consistently"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metrics.get(</w:t>
      </w:r>
      <w:r>
        <w:rPr>
          <w:rStyle w:val="StringTok"/>
          <w:rFonts w:ascii="Menlo" w:hAnsi="Menlo" w:eastAsia="Noto Serif CJK SC" w:cs="Menlo"/>
          <w:color w:val="000000"/>
          <w:sz w:val="14"/>
        </w:rPr>
        <w:t xml:space="preserve">"reporting_guard_rule"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"point_prediction_plus_validation_absolute_error_q90"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"conservative_reporting_rule"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metrics,</w:t>
      </w:r>
      <w:r>
        <w:rPr>
          <w:rFonts w:ascii="Menlo" w:hAnsi="Menlo" w:eastAsia="Noto Serif CJK SC" w:cs="Menlo"/>
          <w:color w:val="000000"/>
          <w:sz w:val="14"/>
        </w:rPr>
        <w:br/>
      </w:r>
      <w:r>
        <w:rPr>
          <w:rStyle w:val="NormalTok"/>
          <w:rFonts w:ascii="Menlo" w:hAnsi="Menlo" w:eastAsia="Noto Serif CJK SC" w:cs="Menlo"/>
          <w:color w:val="000000"/>
          <w:sz w:val="14"/>
        </w:rPr>
        <w:t xml:space="preserve">        {k: metrics[k]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metrics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"reporting"</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k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"guard"</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"reporting_guard_rule"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"point_prediction_plus_validation_absolute_error_q90"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"quadratic_beats_linear_validation"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"quadratic &lt; linear"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"linear_beats_mean_validation"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"linear &lt; mean"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"rolling_fold_count"</w:t>
      </w:r>
      <w:r>
        <w:rPr>
          <w:rStyle w:val="NormalTok"/>
          <w:rFonts w:ascii="Menlo" w:hAnsi="Menlo" w:eastAsia="Noto Serif CJK SC" w:cs="Menlo"/>
          <w:color w:val="000000"/>
          <w:sz w:val="14"/>
        </w:rPr>
        <w:t xml:space="preserve">, 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cluster[cluster[</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"selected_cluster_k"</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"silhouette_k4"</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"central_parameter_table_complete"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limit)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]].values.tolist(),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 conditions × 2 targets"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"validation_error_columns_named_consistently"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"validation_error_adjusted_power_kW"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"validation_error_guard_kW"</w:t>
      </w:r>
      <w:r>
        <w:rPr>
          <w:rStyle w:val="NormalTok"/>
          <w:rFonts w:ascii="Menlo" w:hAnsi="Menlo" w:eastAsia="Noto Serif CJK SC" w:cs="Menlo"/>
          <w:color w:val="000000"/>
          <w:sz w:val="14"/>
        </w:rPr>
        <w:t xml:space="preserve">}.issubset(optimum.columns)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}.isdisjoint(optimum.columns),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(optimum.columns),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"new validation-error names present; old conservative names absent"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"central_limits_respected"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"mahalanobis_respected"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].first().</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).tolist()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"empirical_support_thresholds"</w:t>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 thresholds,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increase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"weighted_power_10"</w:t>
      </w:r>
      <w:r>
        <w:rPr>
          <w:rStyle w:val="NormalTok"/>
          <w:rFonts w:ascii="Menlo" w:hAnsi="Menlo" w:eastAsia="Noto Serif CJK SC" w:cs="Menlo"/>
          <w:color w:val="000000"/>
          <w:sz w:val="14"/>
        </w:rPr>
        <w:t xml:space="preserve">, close(p10,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"weighted_power_5"</w:t>
      </w:r>
      <w:r>
        <w:rPr>
          <w:rStyle w:val="NormalTok"/>
          <w:rFonts w:ascii="Menlo" w:hAnsi="Menlo" w:eastAsia="Noto Serif CJK SC" w:cs="Menlo"/>
          <w:color w:val="000000"/>
          <w:sz w:val="14"/>
        </w:rPr>
        <w:t xml:space="preserve">, close(p5,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"weighted_increase"</w:t>
      </w:r>
      <w:r>
        <w:rPr>
          <w:rStyle w:val="NormalTok"/>
          <w:rFonts w:ascii="Menlo" w:hAnsi="Menlo" w:eastAsia="Noto Serif CJK SC" w:cs="Menlo"/>
          <w:color w:val="000000"/>
          <w:sz w:val="14"/>
        </w:rPr>
        <w:t xml:space="preserve">, close(increase,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"sensitivity_feasible_count"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"optimization_seed_count"</w:t>
      </w:r>
      <w:r>
        <w:rPr>
          <w:rStyle w:val="NormalTok"/>
          <w:rFonts w:ascii="Menlo" w:hAnsi="Menlo" w:eastAsia="Noto Serif CJK SC" w:cs="Menlo"/>
          <w:color w:val="000000"/>
          <w:sz w:val="14"/>
        </w:rPr>
        <w:t xml:space="preserve">, 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seeds.groupby([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"seed_max_cv"</w:t>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0.181</w:t>
      </w:r>
      <w:r>
        <w:rPr>
          <w:rStyle w:val="NormalTok"/>
          <w:rFonts w:ascii="Menlo" w:hAnsi="Menlo" w:eastAsia="Noto Serif CJK SC" w:cs="Menlo"/>
          <w:color w:val="000000"/>
          <w:sz w:val="14"/>
        </w:rPr>
        <w:t xml:space="preserve">, max_cv, </w:t>
      </w:r>
      <w:r>
        <w:rPr>
          <w:rStyle w:val="StringTok"/>
          <w:rFonts w:ascii="Menlo" w:hAnsi="Menlo" w:eastAsia="Noto Serif CJK SC" w:cs="Menlo"/>
          <w:color w:val="000000"/>
          <w:sz w:val="14"/>
        </w:rPr>
        <w:t xml:space="preserve">"&lt;=0.181%"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"seed_max_range"</w:t>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0.465</w:t>
      </w:r>
      <w:r>
        <w:rPr>
          <w:rStyle w:val="NormalTok"/>
          <w:rFonts w:ascii="Menlo" w:hAnsi="Menlo" w:eastAsia="Noto Serif CJK SC" w:cs="Menlo"/>
          <w:color w:val="000000"/>
          <w:sz w:val="14"/>
        </w:rPr>
        <w:t xml:space="preserve">, max_range, </w:t>
      </w:r>
      <w:r>
        <w:rPr>
          <w:rStyle w:val="StringTok"/>
          <w:rFonts w:ascii="Menlo" w:hAnsi="Menlo" w:eastAsia="Noto Serif CJK SC" w:cs="Menlo"/>
          <w:color w:val="000000"/>
          <w:sz w:val="14"/>
        </w:rPr>
        <w:t xml:space="preserve">"&lt;=0.465%"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"local_refinement_gain"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"&lt;=0.987%"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structural.loc[structural[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"structural_total_count"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"ablation_profiles"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].tolist()),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"ablation_front_share_range"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0.707</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0.738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"[0.707,0.738]"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"dynamic_schedule_conditions"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"dynamic_schedule_provisional"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.startswith(</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old_columns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"strict_mode_entry_upper_bound_mgNm3"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"strict_mode_exit_upper_bound_mgNm3"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"minimum_dwell_min"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"old_auto_switch_thresholds_removed"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old_columns.isdisjoint(dynamic.columns),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(dynamic.columns),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 legacy 4.0/4.5 threshold or dwell columns"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new_columns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"mode_selection_rule"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"available_modes"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"automatic_emission_threshold_switching"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"external_mode_selection_schema"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new_columns.issubset(dynamic.columns)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"mode_selection_rule"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"EXTERNAL_TARGET_SELECTION"</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"available_modes"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"TARGET-10/TARGET-5/FALLBACK"</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"automatic_emission_threshold_switching"</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any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 dynamic[c].unique().tolist()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new_columns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dynamic.columns},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"external target selection; automatic threshold switching disabled"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MANUSCRIPT.read_text(encoding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A final submission may print this verifier itself in Appendix D. Restrict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manuscript-content checks to the paper and non-code appendices so string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literals inside the printed source do not become false positives.</w:t>
      </w:r>
      <w:r>
        <w:rPr>
          <w:rFonts w:ascii="Menlo" w:hAnsi="Menlo" w:eastAsia="Noto Serif CJK SC" w:cs="Menlo"/>
          <w:color w:val="000000"/>
          <w:sz w:val="14"/>
        </w:rPr>
        <w:br/>
      </w:r>
      <w:r>
        <w:rPr>
          <w:rStyle w:val="NormalTok"/>
          <w:rFonts w:ascii="Menlo" w:hAnsi="Menlo" w:eastAsia="Noto Serif CJK SC" w:cs="Menlo"/>
          <w:color w:val="000000"/>
          <w:sz w:val="14"/>
        </w:rPr>
        <w:t xml:space="preserve">    review_manuscript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manuscript.split(</w:t>
      </w:r>
      <w:r>
        <w:rPr>
          <w:rStyle w:val="StringTok"/>
          <w:rFonts w:ascii="Menlo" w:hAnsi="Menlo" w:eastAsia="Noto Serif CJK SC" w:cs="Menlo"/>
          <w:color w:val="000000"/>
          <w:sz w:val="14"/>
        </w:rPr>
        <w:t xml:space="preserve">"## 附录D 完整源程序"</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ref_body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token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ref_body):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part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token.split(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part:</w:t>
      </w:r>
      <w:r>
        <w:rPr>
          <w:rFonts w:ascii="Menlo" w:hAnsi="Menlo" w:eastAsia="Noto Serif CJK SC" w:cs="Menlo"/>
          <w:color w:val="000000"/>
          <w:sz w:val="14"/>
        </w:rPr>
        <w:br/>
      </w:r>
      <w:r>
        <w:rPr>
          <w:rStyle w:val="NormalTok"/>
          <w:rFonts w:ascii="Menlo" w:hAnsi="Menlo" w:eastAsia="Noto Serif CJK SC" w:cs="Menlo"/>
          <w:color w:val="000000"/>
          <w:sz w:val="14"/>
        </w:rPr>
        <w:t xml:space="preserve">                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part.split(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cited.update(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cited.add(</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(part))</w:t>
      </w:r>
      <w:r>
        <w:rPr>
          <w:rFonts w:ascii="Menlo" w:hAnsi="Menlo" w:eastAsia="Noto Serif CJK SC" w:cs="Menlo"/>
          <w:color w:val="000000"/>
          <w:sz w:val="14"/>
        </w:rPr>
        <w:br/>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"all_references_cited"</w:t>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(cited),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"reference_list_complete"</w:t>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(listed),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clean_manuscript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re.sub(</w:t>
      </w:r>
      <w:r>
        <w:rPr>
          <w:rStyle w:val="VerbatimStringTok"/>
          <w:rFonts w:ascii="Menlo" w:hAnsi="Menlo" w:eastAsia="Noto Serif CJK SC" w:cs="Menlo"/>
          <w:color w:val="000000"/>
          <w:sz w:val="14"/>
        </w:rPr>
        <w:t xml:space="preserve">r"&lt;!--</w:t>
      </w:r>
      <w:r>
        <w:rPr>
          <w:rStyle w:val="DecV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--&gt;</w:t>
      </w:r>
      <w:r>
        <w:rPr>
          <w:rStyle w:val="CharTok"/>
          <w:rFonts w:ascii="Menlo" w:hAnsi="Menlo" w:eastAsia="Noto Serif CJK SC" w:cs="Menlo"/>
          <w:color w:val="000000"/>
          <w:sz w:val="14"/>
        </w:rPr>
        <w:t xml:space="preserve">\n</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w:t>
      </w:r>
      <w:r>
        <w:rPr>
          <w:rFonts w:ascii="Menlo" w:hAnsi="Menlo" w:eastAsia="Noto Serif CJK SC" w:cs="Menlo"/>
          <w:color w:val="000000"/>
          <w:sz w:val="14"/>
        </w:rPr>
        <w:br/>
      </w:r>
      <w:r>
        <w:rPr>
          <w:rStyle w:val="NormalTok"/>
          <w:rFonts w:ascii="Menlo" w:hAnsi="Menlo" w:eastAsia="Noto Serif CJK SC" w:cs="Menlo"/>
          <w:color w:val="000000"/>
          <w:sz w:val="14"/>
        </w:rPr>
        <w:t xml:space="preserve">    table6_segment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clean_manuscript.split(</w:t>
      </w:r>
      <w:r>
        <w:rPr>
          <w:rStyle w:val="StringTok"/>
          <w:rFonts w:ascii="Menlo" w:hAnsi="Menlo" w:eastAsia="Noto Serif CJK SC" w:cs="Menlo"/>
          <w:color w:val="000000"/>
          <w:sz w:val="14"/>
        </w:rPr>
        <w:t xml:space="preserve">"表6"</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].split(</w:t>
      </w:r>
      <w:r>
        <w:rPr>
          <w:rStyle w:val="StringTok"/>
          <w:rFonts w:ascii="Menlo" w:hAnsi="Menlo" w:eastAsia="Noto Serif CJK SC" w:cs="Menlo"/>
          <w:color w:val="000000"/>
          <w:sz w:val="14"/>
        </w:rPr>
        <w:t xml:space="preserve">"表7"</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table6_rows: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line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table6_segment.splitlines():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re.match(</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[1-4]</w:t>
      </w:r>
      <w:r>
        <w:rPr>
          <w:rStyle w:val="VerbatimStringTok"/>
          <w:rFonts w:ascii="Menlo" w:hAnsi="Menlo" w:eastAsia="Noto Serif CJK SC" w:cs="Menlo"/>
          <w:color w:val="000000"/>
          <w:sz w:val="14"/>
        </w:rPr>
        <w:t xml:space="preserve"> </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10</w:t>
      </w:r>
      <w:r>
        <w:rPr>
          <w:rStyle w:val="ControlFlow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continue</w:t>
      </w:r>
      <w:r>
        <w:rPr>
          <w:rFonts w:ascii="Menlo" w:hAnsi="Menlo" w:eastAsia="Noto Serif CJK SC" w:cs="Menlo"/>
          <w:color w:val="000000"/>
          <w:sz w:val="14"/>
        </w:rPr>
        <w:br/>
      </w:r>
      <w:r>
        <w:rPr>
          <w:rStyle w:val="NormalTok"/>
          <w:rFonts w:ascii="Menlo" w:hAnsi="Menlo" w:eastAsia="Noto Serif CJK SC" w:cs="Menlo"/>
          <w:color w:val="000000"/>
          <w:sz w:val="14"/>
        </w:rPr>
        <w:t xml:space="preserve">        cells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[cell.strip()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cell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line.strip().strip(</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table6_rows[(</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(cells[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(cells[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cells[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table6_matches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(table6_rows)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key, displayed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table6_rows.items():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expected_row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key[</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key[</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(expected_row)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table6_matches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continue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expected_row.iloc[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expected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pecialStringTok"/>
          <w:rFonts w:ascii="Menlo" w:hAnsi="Menlo" w:eastAsia="Noto Serif CJK SC" w:cs="Menlo"/>
          <w:color w:val="000000"/>
          <w:sz w:val="14"/>
        </w:rPr>
        <w:t xml:space="preserve">f"T</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table6_matches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(np.allclose(displayed, expected, atol</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"table6_complete_and_matches_results"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table6_matches,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f"condition_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key[</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_target_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key[</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:g}</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key,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table6_rows.items()},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 rows matching optimal_controls_central_scenario.csv after displayed rounding"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clean_manuscript.split(</w:t>
      </w:r>
      <w:r>
        <w:rPr>
          <w:rStyle w:val="StringTok"/>
          <w:rFonts w:ascii="Menlo" w:hAnsi="Menlo" w:eastAsia="Noto Serif CJK SC" w:cs="Menlo"/>
          <w:color w:val="000000"/>
          <w:sz w:val="14"/>
        </w:rPr>
        <w:t xml:space="preserve">"## 摘要"</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].split(</w:t>
      </w:r>
      <w:r>
        <w:rPr>
          <w:rStyle w:val="StringTok"/>
          <w:rFonts w:ascii="Menlo" w:hAnsi="Menlo" w:eastAsia="Noto Serif CJK SC" w:cs="Menlo"/>
          <w:color w:val="000000"/>
          <w:sz w:val="14"/>
        </w:rPr>
        <w:t xml:space="preserve">"**关键词"</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(re.sub(</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\s</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abstract))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"abstract_under_500_chars"</w:t>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abstract_chars, </w:t>
      </w:r>
      <w:r>
        <w:rPr>
          <w:rStyle w:val="StringTok"/>
          <w:rFonts w:ascii="Menlo" w:hAnsi="Menlo" w:eastAsia="Noto Serif CJK SC" w:cs="Menlo"/>
          <w:color w:val="000000"/>
          <w:sz w:val="14"/>
        </w:rPr>
        <w:t xml:space="preserve">"&lt;=500"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"anonymous_manuscript"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"no_english_abstract"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"old_point_estimate_removed"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"table_caption_count"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"manuscript_figure_count"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"ai_disclosure_present"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"support_list_exists"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"ai_detail_exists"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"figure_manifest_count"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DecVal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required_trace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"figure_trace_fields"</w:t>
      </w:r>
      <w:r>
        <w:rPr>
          <w:rStyle w:val="NormalTok"/>
          <w:rFonts w:ascii="Menlo" w:hAnsi="Menlo" w:eastAsia="Noto Serif CJK SC" w:cs="Menlo"/>
          <w:color w:val="000000"/>
          <w:sz w:val="14"/>
        </w:rPr>
        <w:t xml:space="preserve">, required_trace.issubset(manifest.columns),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(required_trace))</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manifest.iterrows():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Path(row[col])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artifact.is_absolute():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artifact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missing_artifacts.append(</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"figure_artifacts_and_sources_exist"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missing_artifacts, missing_artifacts,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OUT.mkdir(parents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failed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checks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x[</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report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failed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"checks"</w:t>
      </w:r>
      <w:r>
        <w:rPr>
          <w:rStyle w:val="NormalTok"/>
          <w:rFonts w:ascii="Menlo" w:hAnsi="Menlo" w:eastAsia="Noto Serif CJK SC" w:cs="Menlo"/>
          <w:color w:val="000000"/>
          <w:sz w:val="14"/>
        </w:rPr>
        <w:t xml:space="preserve">: checks}</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"deterministic_integrity_results.json"</w:t>
      </w:r>
      <w:r>
        <w:rPr>
          <w:rStyle w:val="NormalTok"/>
          <w:rFonts w:ascii="Menlo" w:hAnsi="Menlo" w:eastAsia="Noto Serif CJK SC" w:cs="Menlo"/>
          <w:color w:val="000000"/>
          <w:sz w:val="14"/>
        </w:rPr>
        <w:t xml:space="preserve">).write_text(json.dumps(report,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(json.dumps({k: report[k]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item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item)</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SystemExit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16"/>
    <w:bookmarkEnd w:id="117"/>
    <w:bookmarkEnd w:id="118"/>
    <w:sectPr>
      <w:headerReference w:type="default" r:id="rId9"/>
      <w:footerReference w:type="default" r:id="rId10"/>
      <w:footnotePr>
        <w:numRestart w:val="eachSect"/>
      </w:footnotePr>
      <w:pgSz w:w="11906" w:h="16838"/>
      <w:pgMar w:top="1417" w:bottom="1417" w:left="1417" w:right="1417" w:header="454"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color w:val="000000"/>
        <w:sz w:val="21"/>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ind w:firstLine="482"/>
      <w:jc w:val="both"/>
    </w:pPr>
    <w:rPr>
      <w:rFonts w:ascii="Times New Roman" w:hAnsi="Times New Roman" w:eastAsia="Noto Serif CJK SC" w:cs="Times New Roman"/>
      <w:b w:val="0"/>
      <w:color w:val="000000"/>
      <w:sz w:val="24"/>
    </w:rPr>
  </w:style>
  <w:style w:styleId="BodyText" w:type="paragraph">
    <w:name w:val="Body Text"/>
    <w:basedOn w:val="Normal"/>
    <w:link w:val="BodyTextChar"/>
    <w:qFormat/>
    <w:pPr>
      <w:spacing w:after="0" w:before="0" w:line="360" w:lineRule="auto"/>
      <w:ind w:firstLine="482"/>
      <w:jc w:val="both"/>
    </w:pPr>
    <w:rPr>
      <w:rFonts w:ascii="Times New Roman" w:hAnsi="Times New Roman" w:eastAsia="Noto Serif CJK SC" w:cs="Times New Roman"/>
      <w:b w:val="0"/>
      <w:color w:val="000000"/>
      <w:sz w:val="24"/>
    </w:rPr>
  </w:style>
  <w:style w:customStyle="1" w:styleId="FirstParagraph" w:type="paragraph">
    <w:name w:val="First Paragraph"/>
    <w:basedOn w:val="BodyText"/>
    <w:next w:val="BodyText"/>
    <w:qFormat/>
    <w:pPr>
      <w:spacing w:line="360" w:lineRule="auto" w:before="0" w:after="0"/>
      <w:ind w:firstLine="482"/>
      <w:jc w:val="both"/>
    </w:pPr>
    <w:rPr>
      <w:rFonts w:ascii="Times New Roman" w:hAnsi="Times New Roman" w:eastAsia="Noto Serif CJK SC" w:cs="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240"/>
      <w:ind w:firstLine="0"/>
      <w:jc w:val="center"/>
      <w:outlineLvl w:val="0"/>
    </w:pPr>
    <w:rPr>
      <w:rFonts w:asciiTheme="majorHAnsi" w:cstheme="majorBidi" w:eastAsiaTheme="majorEastAsia" w:hAnsiTheme="majorHAnsi" w:ascii="Arial" w:hAnsi="Arial" w:eastAsia="Noto Sans CJK SC" w:cs="Arial"/>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160" w:before="240"/>
      <w:ind w:firstLine="0"/>
      <w:jc w:val="center"/>
      <w:outlineLvl w:val="1"/>
    </w:pPr>
    <w:rPr>
      <w:rFonts w:asciiTheme="majorHAnsi" w:cstheme="majorBidi" w:eastAsiaTheme="majorEastAsia" w:hAnsiTheme="majorHAnsi" w:ascii="Arial" w:hAnsi="Arial" w:eastAsia="Noto Sans CJK SC" w:cs="Arial"/>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00"/>
      <w:ind w:firstLine="0"/>
      <w:jc w:val="left"/>
      <w:outlineLvl w:val="2"/>
    </w:pPr>
    <w:rPr>
      <w:rFonts w:cstheme="majorBidi" w:eastAsiaTheme="majorEastAsia" w:ascii="Arial" w:hAnsi="Arial" w:eastAsia="Noto Sans CJK SC" w:cs="Arial"/>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160"/>
      <w:ind w:firstLine="0"/>
      <w:jc w:val="left"/>
      <w:outlineLvl w:val="3"/>
    </w:pPr>
    <w:rPr>
      <w:rFonts w:cstheme="majorBidi" w:eastAsiaTheme="majorEastAsia" w:ascii="Arial" w:hAnsi="Arial" w:eastAsia="Noto Sans CJK SC" w:cs="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line="240" w:lineRule="auto" w:before="0" w:after="0"/>
      <w:ind w:left="0" w:firstLine="0"/>
      <w:jc w:val="left"/>
    </w:pPr>
    <w:rPr>
      <w:rFonts w:ascii="Menlo" w:hAnsi="Menlo" w:eastAsia="Noto Serif CJK SC" w:cs="Menlo"/>
      <w:b w:val="0"/>
      <w:color w:val="000000"/>
      <w:sz w:val="1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60" Type="http://schemas.openxmlformats.org/officeDocument/2006/relationships/image" Target="media/rId60.png"/><Relationship Id="rId24" Type="http://schemas.openxmlformats.org/officeDocument/2006/relationships/image" Target="media/rId24.png"/><Relationship Id="rId46" Type="http://schemas.openxmlformats.org/officeDocument/2006/relationships/image" Target="media/rId46.png"/><Relationship Id="rId52" Type="http://schemas.openxmlformats.org/officeDocument/2006/relationships/image" Target="media/rId52.png"/><Relationship Id="rId49" Type="http://schemas.openxmlformats.org/officeDocument/2006/relationships/image" Target="media/rId49.png"/><Relationship Id="rId55" Type="http://schemas.openxmlformats.org/officeDocument/2006/relationships/image" Target="media/rId55.png"/><Relationship Id="rId63" Type="http://schemas.openxmlformats.org/officeDocument/2006/relationships/image" Target="media/rId63.png"/><Relationship Id="rId68" Type="http://schemas.openxmlformats.org/officeDocument/2006/relationships/image" Target="media/rId68.png"/><Relationship Id="rId74" Type="http://schemas.openxmlformats.org/officeDocument/2006/relationships/image" Target="media/rId74.png"/><Relationship Id="rId71" Type="http://schemas.openxmlformats.org/officeDocument/2006/relationships/image" Target="media/rId71.png"/><Relationship Id="rId82" Type="http://schemas.openxmlformats.org/officeDocument/2006/relationships/image" Target="media/rId82.png"/><Relationship Id="rId30" Type="http://schemas.openxmlformats.org/officeDocument/2006/relationships/image" Target="media/rId30.png"/><Relationship Id="rId88" Type="http://schemas.openxmlformats.org/officeDocument/2006/relationships/image" Target="media/rId88.png"/><Relationship Id="rId92" Type="http://schemas.openxmlformats.org/officeDocument/2006/relationships/image" Target="media/rId92.png"/><Relationship Id="rId95" Type="http://schemas.openxmlformats.org/officeDocument/2006/relationships/image" Target="media/rId95.png"/><Relationship Id="rId78" Type="http://schemas.openxmlformats.org/officeDocument/2006/relationships/image" Target="media/rId78.png"/><Relationship Id="rId107" Type="http://schemas.openxmlformats.org/officeDocument/2006/relationships/hyperlink" Target="https://nepis.epa.gov/Exe/ZyPURL.cgi?Dockey=9101FJFA.TXT" TargetMode="External"/><Relationship Id="rId108" Type="http://schemas.openxmlformats.org/officeDocument/2006/relationships/hyperlink" Target="https://nepis.epa.gov/Exe/ZyPURL.cgi?Dockey=9400034C.TXT" TargetMode="External"/><Relationship Id="rId106" Type="http://schemas.openxmlformats.org/officeDocument/2006/relationships/hyperlink" Target="https://www.mee.gov.cn/ywgz/fgbz/bz/bzwb/dqhjbh/dqgdwrywrwpfbz/201312/t20131227_265765.ht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07" Type="http://schemas.openxmlformats.org/officeDocument/2006/relationships/hyperlink" Target="https://nepis.epa.gov/Exe/ZyPURL.cgi?Dockey=9101FJFA.TXT" TargetMode="External"/><Relationship Id="rId108" Type="http://schemas.openxmlformats.org/officeDocument/2006/relationships/hyperlink" Target="https://nepis.epa.gov/Exe/ZyPURL.cgi?Dockey=9400034C.TXT" TargetMode="External"/><Relationship Id="rId106" Type="http://schemas.openxmlformats.org/officeDocument/2006/relationships/hyperlink" Target="https://www.mee.gov.cn/ywgz/fgbz/bz/bzwb/dqhjbh/dqgdwrywrwpfbz/201312/t20131227_26576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水泥烧成系统电除尘器的协同优化控制</dc:title>
  <dc:creator/>
  <cp:keywords/>
  <dcterms:created xsi:type="dcterms:W3CDTF">2026-08-05T21:05:47Z</dcterms:created>
  <dcterms:modified xsi:type="dcterms:W3CDTF">2026-08-05T21:05:47Z</dcterms:modified>
  <dc:subject>全国大学生数学建模竞赛匿名论文</dc:subject>
  <cp:lastModifiedBy/>
  <dc:description/>
</cp:coreProperties>
</file>

<file path=docProps/custom.xml><?xml version="1.0" encoding="utf-8"?>
<Properties xmlns="http://schemas.openxmlformats.org/officeDocument/2006/custom-properties" xmlns:vt="http://schemas.openxmlformats.org/officeDocument/2006/docPropsVTypes"/>
</file>