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工具使用详情"/>
    <w:p>
      <w:pPr>
        <w:pStyle w:val="Heading1"/>
        <w:spacing w:before="0" w:after="240"/>
        <w:ind w:firstLine="0"/>
        <w:jc w:val="center"/>
      </w:pPr>
      <w:r>
        <w:rPr>
          <w:rFonts w:hint="eastAsia" w:ascii="Arial" w:hAnsi="Arial" w:eastAsia="Noto Sans CJK SC" w:cs="Arial"/>
          <w:b/>
          <w:color w:val="000000"/>
          <w:sz w:val="44"/>
        </w:rPr>
        <w:t xml:space="preserve">AI工具使用详情</w:t>
      </w:r>
    </w:p>
    <w:p>
      <w:pPr>
        <w:pStyle w:val="BlockText"/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本文件记录AI工具的用途、采纳范围和人工核验责任，随竞赛支撑材料提交。</w:t>
      </w:r>
    </w:p>
    <w:bookmarkStart w:id="9" w:name="X9ee65401325e127ec296e9012231653bc92f331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1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工具信息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项目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内容</w:t>
            </w:r>
          </w:p>
        </w:tc>
      </w:tr>
      <w:t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工具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OpenAI Codex</w:t>
            </w:r>
          </w:p>
        </w:tc>
      </w:tr>
      <w:t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使用日期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2026-08-05</w:t>
            </w:r>
          </w:p>
        </w:tc>
      </w:tr>
      <w:t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使用环境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Codex </w:t>
            </w: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Desktop，本地竞赛工作区</w:t>
            </w:r>
          </w:p>
        </w:tc>
      </w:tr>
      <w:tr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网络用途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核验竞赛格式、AI披露要求及个别参考文献的公开书目信息</w:t>
            </w:r>
          </w:p>
        </w:tc>
      </w:tr>
    </w:tbl>
    <w:bookmarkEnd w:id="9"/>
    <w:bookmarkStart w:id="10" w:name="X5050eb6201a63b92a20bce943d16b8a953883ef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2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使用目的与采纳范围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环节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人工主导内容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AI辅助边界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人工核验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题意与建模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参赛队分析四问关系，决定可识别性边界、模型结构、假设和参数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AI仅协助整理检查清单与表述，不替代建模判断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对照题目和原始数据逐项确认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编程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参赛队确定算法流程、公式实现、约束和随机种子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AI仅辅助个别报错定位、注释与可读性检查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阅读完整代码并独立运行、复算关键结果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图表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参赛队确定图表内容、指标口径、数据来源和结论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AI仅辅助绘图脚本排错与版式检查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核对坐标、单位、图注和正文对应关系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写作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参赛队完成论证逻辑、结果解释与最终定稿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AI仅辅助文字校对、压缩和格式一致性检查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逐句审阅，不直接提交AI输出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内部审查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参赛队判断问题严重程度并决定修改路线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AI仅提供检查清单和反向质疑角度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不把AI意见视为官方评委意见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文献与格式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参赛队选择、阅读并引用资料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AI仅核验个别公开书目信息和排版规范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回到官方页面或原始出版物复核</w:t>
            </w:r>
          </w:p>
        </w:tc>
      </w:tr>
    </w:tbl>
    <w:bookmarkEnd w:id="10"/>
    <w:bookmarkStart w:id="11" w:name="Xa5f6fc4a588d5ded7dd038867f96abe0402aca7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3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关键提示词、回复与采纳记录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序号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用户重要提示词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AI回复摘要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最终采纳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7E6E6"/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/>
                <w:color w:val="000000"/>
                <w:sz w:val="19"/>
              </w:rPr>
              <w:t xml:space="preserve">人工修改与核验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1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“按情景假设继续”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提供可识别性检查清单，并提示把数据可验证层与条件式情景层分开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仅作为检查意见；模型结构和系数由参赛队决定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核对出口缩放、灰箱系数及适用边界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2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“怎么没有编程环节”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提供程序模块和复现检查建议，并辅助定位个别代码问题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保留经人工审阅的排错和注释建议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独立运行源程序，核对公式、约束与随机种子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3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“图会不会太少了”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提供图表覆盖范围和版式检查建议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参赛队决定保留18幅图；AI不决定图中结论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逐图核对数据、单位、图注和正文引用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4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“进入评审”“路线修改”“进入复评”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提供检查清单与反向质疑角度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仅用于人工内部审查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参赛队决定修改项，不作为官方评审结论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5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“严格按照数学建模论文格式进行修改”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辅助检查标题层级、字体、行距和分页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采纳排版检查建议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Noto Serif CJK SC" w:cs="Times New Roman"/>
                <w:b w:val="0"/>
                <w:color w:val="000000"/>
                <w:sz w:val="19"/>
              </w:rPr>
              <w:t xml:space="preserve">在最终PDF中人工检查字体嵌入和页面布局</w:t>
            </w:r>
          </w:p>
        </w:tc>
      </w:tr>
    </w:tbl>
    <w:bookmarkEnd w:id="11"/>
    <w:bookmarkStart w:id="12" w:name="Xf71aa8e686ab542fa6bc294c43b2abc072f0171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4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重要的未采纳或受限内容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未把出口浓度记录当作5/10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mg/Nm³附近的可学习真实响应。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未把灰箱先验或情景数值称为实测因果效应。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未把五种子随机搜索称为数学全局最优。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未直接下发任何控制参数到生产设备。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未伪造实验、参考文献或现场安全边界。</w:t>
      </w:r>
    </w:p>
    <w:p>
      <w:pPr>
        <w:pStyle w:val="Compact"/>
        <w:numPr>
          <w:ilvl w:val="0"/>
          <w:numId w:val="1001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未声明参赛队已经完成人工复核；该确认只能由参赛队作出。</w:t>
      </w:r>
    </w:p>
    <w:bookmarkEnd w:id="12"/>
    <w:bookmarkStart w:id="13" w:name="Xa0aafab0e9bc27cdefda7d5297997229d25d452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5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人工修改与核验要求</w:t>
      </w:r>
    </w:p>
    <w:p>
      <w:pPr>
        <w:pStyle w:val="FirstParagraph"/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正式提交前，参赛队至少应完成：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对照题目附件逐列核对数据量纲、缺失和时间范围；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阅读scenario_model.py，确认每个情景系数、约束和随机种子；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复算关键表格与图16—18；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核对全部14条参考文献及访问链接；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确认动态控制中的4.5/4.0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mg/Nm³阈值、10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min驻留、0.5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kV/min和5</w:t>
      </w:r>
      <w:r>
        <w:rPr>
          <w:rFonts w:ascii="Times New Roman" w:hAnsi="Times New Roman" w:eastAsia="Noto Serif CJK SC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s/min仅为试运行情景，不是设备安全限值；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核对摘要、结论、AI声明和支撑材料清单；</w:t>
      </w:r>
    </w:p>
    <w:p>
      <w:pPr>
        <w:pStyle w:val="Compact"/>
        <w:numPr>
          <w:ilvl w:val="0"/>
          <w:numId w:val="1002"/>
        </w:numPr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在最终DOCX/PDF中删除所有工作锚点，并按赛事要求提交AI使用详情PDF。</w:t>
      </w:r>
    </w:p>
    <w:bookmarkEnd w:id="13"/>
    <w:bookmarkStart w:id="14" w:name="X1ca1fcf1cd3fe31ea86d77dff2a206301521f67"/>
    <w:p>
      <w:pPr>
        <w:pStyle w:val="Heading2"/>
        <w:ind w:firstLine="0"/>
        <w:jc w:val="left"/>
      </w:pPr>
      <w:r>
        <w:rPr>
          <w:rFonts w:ascii="Arial" w:hAnsi="Arial" w:eastAsia="Noto Sans CJK SC" w:cs="Arial"/>
          <w:b/>
          <w:color w:val="000000"/>
          <w:sz w:val="30"/>
        </w:rPr>
        <w:t xml:space="preserve">6 </w:t>
      </w:r>
      <w:r>
        <w:rPr>
          <w:rFonts w:hint="eastAsia" w:ascii="Arial" w:hAnsi="Arial" w:eastAsia="Noto Sans CJK SC" w:cs="Arial"/>
          <w:b/>
          <w:color w:val="000000"/>
          <w:sz w:val="30"/>
        </w:rPr>
        <w:t xml:space="preserve">责任声明模板</w:t>
      </w:r>
    </w:p>
    <w:p>
      <w:pPr>
        <w:pStyle w:val="FirstParagraph"/>
        <w:spacing w:line="360" w:lineRule="auto"/>
        <w:ind w:firstLine="482"/>
        <w:jc w:val="both"/>
      </w:pPr>
      <w:r>
        <w:rPr>
          <w:rFonts w:hint="eastAsia" w:ascii="Times New Roman" w:hAnsi="Times New Roman" w:eastAsia="Noto Serif CJK SC" w:cs="Times New Roman"/>
          <w:color w:val="000000"/>
          <w:sz w:val="24"/>
        </w:rPr>
        <w:t xml:space="preserve">参赛队确认：本作品以人工完成和人工决策为主；AI工具仅对少量代码排错、图表版式检查、文字校对、格式核验和内部检查清单提供辅助。参赛队已独立理解并核验最终提交作品中的模型、公式、程序、数据处理、图表、结论和引用，并对其真实性、原创性与合规性承担全部责任。</w:t>
      </w:r>
    </w:p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17" w:bottom="1417" w:left="1417" w:right="1417" w:header="454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 w:cs="Times New Roman"/>
        <w:color w:val="000000"/>
        <w:sz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ind w:firstLine="482"/>
      <w:jc w:val="both"/>
    </w:pPr>
    <w:rPr>
      <w:rFonts w:ascii="Times New Roman" w:hAnsi="Times New Roman" w:eastAsia="Noto Serif CJK SC" w:cs="Times New Roman"/>
      <w:b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482"/>
      <w:jc w:val="both"/>
    </w:pPr>
    <w:rPr>
      <w:rFonts w:ascii="Times New Roman" w:hAnsi="Times New Roman" w:eastAsia="Noto Serif CJK SC" w:cs="Times New Roman"/>
      <w:b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482"/>
      <w:jc w:val="both"/>
    </w:pPr>
    <w:rPr>
      <w:rFonts w:ascii="Times New Roman" w:hAnsi="Times New Roman" w:eastAsia="Noto Serif CJK SC" w:cs="Times New Roman"/>
      <w:b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240"/>
      <w:ind w:firstLine="0"/>
      <w:jc w:val="center"/>
      <w:outlineLvl w:val="0"/>
    </w:pPr>
    <w:rPr>
      <w:rFonts w:asciiTheme="majorHAnsi" w:cstheme="majorBidi" w:eastAsiaTheme="majorEastAsia" w:hAnsiTheme="majorHAnsi" w:ascii="Arial" w:hAnsi="Arial" w:eastAsia="Noto Sans CJK SC" w:cs="Arial"/>
      <w:b/>
      <w:color w:val="000000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240"/>
      <w:ind w:firstLine="0"/>
      <w:jc w:val="left"/>
      <w:outlineLvl w:val="1"/>
    </w:pPr>
    <w:rPr>
      <w:rFonts w:asciiTheme="majorHAnsi" w:cstheme="majorBidi" w:eastAsiaTheme="majorEastAsia" w:hAnsiTheme="majorHAnsi" w:ascii="Arial" w:hAnsi="Arial" w:eastAsia="Noto Sans CJK SC" w:cs="Arial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ind w:firstLine="0"/>
      <w:jc w:val="left"/>
      <w:outlineLvl w:val="2"/>
    </w:pPr>
    <w:rPr>
      <w:rFonts w:cstheme="majorBidi" w:eastAsiaTheme="majorEastAsia" w:ascii="Arial" w:hAnsi="Arial" w:eastAsia="Noto Sans CJK SC" w:cs="Arial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ind w:firstLine="0"/>
      <w:jc w:val="left"/>
      <w:outlineLvl w:val="3"/>
    </w:pPr>
    <w:rPr>
      <w:rFonts w:cstheme="majorBidi" w:eastAsiaTheme="majorEastAsia" w:ascii="Arial" w:hAnsi="Arial" w:eastAsia="Noto Sans CJK SC" w:cs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  <w:spacing w:line="240" w:lineRule="auto" w:before="0" w:after="0"/>
      <w:ind w:left="0" w:firstLine="0"/>
      <w:jc w:val="left"/>
    </w:pPr>
    <w:rPr>
      <w:rFonts w:ascii="Menlo" w:hAnsi="Menlo" w:eastAsia="Noto Serif CJK SC" w:cs="Menlo"/>
      <w:b w:val="0"/>
      <w:color w:val="000000"/>
      <w:sz w:val="1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AI工具使用详情</dc:title>
  <dc:creator/>
  <cp:keywords/>
  <dcterms:created xsi:type="dcterms:W3CDTF">2026-08-05T10:58:46Z</dcterms:created>
  <dcterms:modified xsi:type="dcterms:W3CDTF">2026-08-05T10:58:46Z</dcterms:modified>
  <dc:subject>全国大学生数学建模竞赛匿名论文</dc:subject>
  <cp:lastModifiedBy/>
  <dc:description/>
</cp:coreProperties>
</file>