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i工具使用详情"/>
    <w:p>
      <w:pPr>
        <w:pStyle w:val="Heading1"/>
        <w:spacing w:before="0" w:after="240"/>
        <w:ind w:firstLine="0"/>
        <w:jc w:val="center"/>
      </w:pPr>
      <w:r>
        <w:rPr>
          <w:rFonts w:hint="eastAsia" w:ascii="Arial" w:hAnsi="Arial" w:eastAsia="Noto Sans CJK SC" w:cs="Arial"/>
          <w:b/>
          <w:color w:val="000000"/>
          <w:sz w:val="44"/>
        </w:rPr>
        <w:t xml:space="preserve">AI工具使用详情</w:t>
      </w:r>
    </w:p>
    <w:p>
      <w:pPr>
        <w:pStyle w:val="BlockText"/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本文件记录AI工具的用途、采纳范围和人工核验责任，随竞赛支撑材料提交。</w:t>
      </w:r>
    </w:p>
    <w:bookmarkStart w:id="9" w:name="X9ee65401325e127ec296e9012231653bc92f331"/>
    <w:p>
      <w:pPr>
        <w:pStyle w:val="Heading2"/>
        <w:ind w:firstLine="0"/>
        <w:jc w:val="left"/>
      </w:pPr>
      <w:r>
        <w:rPr>
          <w:rFonts w:ascii="Arial" w:hAnsi="Arial" w:eastAsia="Noto Sans CJK SC" w:cs="Arial"/>
          <w:b/>
          <w:color w:val="000000"/>
          <w:sz w:val="30"/>
        </w:rPr>
        <w:t xml:space="preserve">1 </w:t>
      </w:r>
      <w:r>
        <w:rPr>
          <w:rFonts w:hint="eastAsia" w:ascii="Arial" w:hAnsi="Arial" w:eastAsia="Noto Sans CJK SC" w:cs="Arial"/>
          <w:b/>
          <w:color w:val="000000"/>
          <w:sz w:val="30"/>
        </w:rPr>
        <w:t xml:space="preserve">工具信息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项目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内容</w:t>
            </w:r>
          </w:p>
        </w:tc>
      </w:tr>
      <w:tr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工具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OpenAI Codex</w:t>
            </w:r>
          </w:p>
        </w:tc>
      </w:tr>
      <w:tr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使用日期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2026-08-05至2026-08-06</w:t>
            </w:r>
          </w:p>
        </w:tc>
      </w:tr>
      <w:tr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使用环境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Codex </w:t>
            </w: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Desktop，本地竞赛工作区</w:t>
            </w:r>
          </w:p>
        </w:tc>
      </w:tr>
      <w:tr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网络用途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核验竞赛格式、AI披露要求及个别参考文献的公开书目信息</w:t>
            </w:r>
          </w:p>
        </w:tc>
      </w:tr>
    </w:tbl>
    <w:bookmarkEnd w:id="9"/>
    <w:bookmarkStart w:id="10" w:name="X5050eb6201a63b92a20bce943d16b8a953883ef"/>
    <w:p>
      <w:pPr>
        <w:pStyle w:val="Heading2"/>
        <w:ind w:firstLine="0"/>
        <w:jc w:val="left"/>
      </w:pPr>
      <w:r>
        <w:rPr>
          <w:rFonts w:ascii="Arial" w:hAnsi="Arial" w:eastAsia="Noto Sans CJK SC" w:cs="Arial"/>
          <w:b/>
          <w:color w:val="000000"/>
          <w:sz w:val="30"/>
        </w:rPr>
        <w:t xml:space="preserve">2 </w:t>
      </w:r>
      <w:r>
        <w:rPr>
          <w:rFonts w:hint="eastAsia" w:ascii="Arial" w:hAnsi="Arial" w:eastAsia="Noto Sans CJK SC" w:cs="Arial"/>
          <w:b/>
          <w:color w:val="000000"/>
          <w:sz w:val="30"/>
        </w:rPr>
        <w:t xml:space="preserve">使用目的与采纳范围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环节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人工主导内容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AI辅助边界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人工核验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题意与建模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参赛队分析四问关系，决定可识别性边界、模型结构、假设和参数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AI仅协助整理检查清单与表述，不替代建模判断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对照题目和原始数据逐项确认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编程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参赛队确定算法流程、公式实现、约束和随机种子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AI仅辅助个别报错定位、注释与可读性检查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阅读完整代码并独立运行、复算关键结果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图表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参赛队确定图表内容、指标口径、数据来源和结论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AI仅辅助绘图脚本排错与版式检查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核对坐标、单位、图注和正文对应关系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写作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参赛队完成论证逻辑、结果解释与最终定稿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AI仅辅助文字校对、压缩和格式一致性检查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逐句审阅，不直接提交AI输出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内部审查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参赛队判断问题严重程度并决定修改路线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AI仅提供检查清单和反向质疑角度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不把AI意见视为官方评委意见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文献与格式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参赛队选择、阅读并引用资料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AI仅核验个别公开书目信息和排版规范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回到官方页面或原始出版物复核</w:t>
            </w:r>
          </w:p>
        </w:tc>
      </w:tr>
    </w:tbl>
    <w:bookmarkEnd w:id="10"/>
    <w:bookmarkStart w:id="11" w:name="Xa5f6fc4a588d5ded7dd038867f96abe0402aca7"/>
    <w:p>
      <w:pPr>
        <w:pStyle w:val="Heading2"/>
        <w:ind w:firstLine="0"/>
        <w:jc w:val="left"/>
      </w:pPr>
      <w:r>
        <w:rPr>
          <w:rFonts w:ascii="Arial" w:hAnsi="Arial" w:eastAsia="Noto Sans CJK SC" w:cs="Arial"/>
          <w:b/>
          <w:color w:val="000000"/>
          <w:sz w:val="30"/>
        </w:rPr>
        <w:t xml:space="preserve">3 </w:t>
      </w:r>
      <w:r>
        <w:rPr>
          <w:rFonts w:hint="eastAsia" w:ascii="Arial" w:hAnsi="Arial" w:eastAsia="Noto Sans CJK SC" w:cs="Arial"/>
          <w:b/>
          <w:color w:val="000000"/>
          <w:sz w:val="30"/>
        </w:rPr>
        <w:t xml:space="preserve">关键提示词、回复与采纳记录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序号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用户重要提示词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AI回复摘要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最终采纳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人工修改与核验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1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“按情景假设继续”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提供可识别性检查清单，并提示把数据可验证层与条件式情景层分开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仅作为检查意见；模型结构和系数由参赛队决定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核对出口缩放、灰箱系数及适用边界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2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“怎么没有编程环节”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提供程序模块和复现检查建议，并辅助定位个别代码问题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保留经人工审阅的排错和注释建议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独立运行源程序，核对公式、约束与随机种子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3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“图会不会太少了”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提供图表覆盖范围和版式检查建议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参赛队决定保留21幅图；AI不决定图中结论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逐图核对数据、单位、图注和正文引用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4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“进入评审”“路线修改”“进入复评”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提供检查清单与反向质疑角度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仅用于人工内部审查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参赛队决定修改项，不作为官方评审结论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5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“严格按照数学建模论文格式进行修改”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辅助检查标题层级、字体、行距和分页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采纳排版检查建议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在最终PDF中人工检查字体嵌入和页面布局</w:t>
            </w:r>
          </w:p>
        </w:tc>
      </w:tr>
    </w:tbl>
    <w:bookmarkEnd w:id="11"/>
    <w:bookmarkStart w:id="12" w:name="Xf71aa8e686ab542fa6bc294c43b2abc072f0171"/>
    <w:p>
      <w:pPr>
        <w:pStyle w:val="Heading2"/>
        <w:ind w:firstLine="0"/>
        <w:jc w:val="left"/>
      </w:pPr>
      <w:r>
        <w:rPr>
          <w:rFonts w:ascii="Arial" w:hAnsi="Arial" w:eastAsia="Noto Sans CJK SC" w:cs="Arial"/>
          <w:b/>
          <w:color w:val="000000"/>
          <w:sz w:val="30"/>
        </w:rPr>
        <w:t xml:space="preserve">4 </w:t>
      </w:r>
      <w:r>
        <w:rPr>
          <w:rFonts w:hint="eastAsia" w:ascii="Arial" w:hAnsi="Arial" w:eastAsia="Noto Sans CJK SC" w:cs="Arial"/>
          <w:b/>
          <w:color w:val="000000"/>
          <w:sz w:val="30"/>
        </w:rPr>
        <w:t xml:space="preserve">重要的未采纳或受限内容</w:t>
      </w:r>
    </w:p>
    <w:p>
      <w:pPr>
        <w:pStyle w:val="Compact"/>
        <w:numPr>
          <w:ilvl w:val="0"/>
          <w:numId w:val="1001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未把出口浓度记录当作5/10</w:t>
      </w:r>
      <w:r>
        <w:rPr>
          <w:rFonts w:ascii="Times New Roman" w:hAnsi="Times New Roman" w:eastAsia="Noto Serif CJK SC" w:cs="Times New Roman"/>
          <w:color w:val="000000"/>
          <w:sz w:val="24"/>
        </w:rPr>
        <w:t xml:space="preserve"> </w:t>
      </w: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mg/Nm³附近的可学习真实响应。</w:t>
      </w:r>
    </w:p>
    <w:p>
      <w:pPr>
        <w:pStyle w:val="Compact"/>
        <w:numPr>
          <w:ilvl w:val="0"/>
          <w:numId w:val="1001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未把灰箱先验或情景数值称为实测因果效应。</w:t>
      </w:r>
    </w:p>
    <w:p>
      <w:pPr>
        <w:pStyle w:val="Compact"/>
        <w:numPr>
          <w:ilvl w:val="0"/>
          <w:numId w:val="1001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未把五种子随机搜索称为数学全局最优。</w:t>
      </w:r>
    </w:p>
    <w:p>
      <w:pPr>
        <w:pStyle w:val="Compact"/>
        <w:numPr>
          <w:ilvl w:val="0"/>
          <w:numId w:val="1001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未直接下发任何控制参数到生产设备。</w:t>
      </w:r>
    </w:p>
    <w:p>
      <w:pPr>
        <w:pStyle w:val="Compact"/>
        <w:numPr>
          <w:ilvl w:val="0"/>
          <w:numId w:val="1001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未伪造实验、参考文献或现场安全边界。</w:t>
      </w:r>
    </w:p>
    <w:p>
      <w:pPr>
        <w:pStyle w:val="Compact"/>
        <w:numPr>
          <w:ilvl w:val="0"/>
          <w:numId w:val="1001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未声明参赛队已经完成人工复核；该确认只能由参赛队作出。</w:t>
      </w:r>
    </w:p>
    <w:bookmarkEnd w:id="12"/>
    <w:bookmarkStart w:id="13" w:name="Xa0aafab0e9bc27cdefda7d5297997229d25d452"/>
    <w:p>
      <w:pPr>
        <w:pStyle w:val="Heading2"/>
        <w:ind w:firstLine="0"/>
        <w:jc w:val="left"/>
      </w:pPr>
      <w:r>
        <w:rPr>
          <w:rFonts w:ascii="Arial" w:hAnsi="Arial" w:eastAsia="Noto Sans CJK SC" w:cs="Arial"/>
          <w:b/>
          <w:color w:val="000000"/>
          <w:sz w:val="30"/>
        </w:rPr>
        <w:t xml:space="preserve">5 </w:t>
      </w:r>
      <w:r>
        <w:rPr>
          <w:rFonts w:hint="eastAsia" w:ascii="Arial" w:hAnsi="Arial" w:eastAsia="Noto Sans CJK SC" w:cs="Arial"/>
          <w:b/>
          <w:color w:val="000000"/>
          <w:sz w:val="30"/>
        </w:rPr>
        <w:t xml:space="preserve">人工修改与核验要求</w:t>
      </w:r>
    </w:p>
    <w:p>
      <w:pPr>
        <w:pStyle w:val="FirstParagraph"/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正式提交前，参赛队至少应完成：</w:t>
      </w:r>
    </w:p>
    <w:p>
      <w:pPr>
        <w:pStyle w:val="Compact"/>
        <w:numPr>
          <w:ilvl w:val="0"/>
          <w:numId w:val="1002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对照题目附件逐列核对数据量纲、缺失和时间范围；</w:t>
      </w:r>
    </w:p>
    <w:p>
      <w:pPr>
        <w:pStyle w:val="Compact"/>
        <w:numPr>
          <w:ilvl w:val="0"/>
          <w:numId w:val="1002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阅读scenario_model.py，确认每个情景系数、约束和随机种子；</w:t>
      </w:r>
    </w:p>
    <w:p>
      <w:pPr>
        <w:pStyle w:val="Compact"/>
        <w:numPr>
          <w:ilvl w:val="0"/>
          <w:numId w:val="1002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复算关键表格与图16—18；</w:t>
      </w:r>
    </w:p>
    <w:p>
      <w:pPr>
        <w:pStyle w:val="Compact"/>
        <w:numPr>
          <w:ilvl w:val="0"/>
          <w:numId w:val="1002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核对全部13条参考文献及访问链接；</w:t>
      </w:r>
    </w:p>
    <w:p>
      <w:pPr>
        <w:pStyle w:val="Compact"/>
        <w:numPr>
          <w:ilvl w:val="0"/>
          <w:numId w:val="1002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确认动态控制由外部指令选择TARGET-10、TARGET-5或FALLBACK，不存在基于排放浓度的自动4.0/4.5</w:t>
      </w:r>
      <w:r>
        <w:rPr>
          <w:rFonts w:ascii="Times New Roman" w:hAnsi="Times New Roman" w:eastAsia="Noto Serif CJK SC" w:cs="Times New Roman"/>
          <w:color w:val="000000"/>
          <w:sz w:val="24"/>
        </w:rPr>
        <w:t xml:space="preserve"> </w:t>
      </w: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mg/Nm³切换阈值；0.5</w:t>
      </w:r>
      <w:r>
        <w:rPr>
          <w:rFonts w:ascii="Times New Roman" w:hAnsi="Times New Roman" w:eastAsia="Noto Serif CJK SC" w:cs="Times New Roman"/>
          <w:color w:val="000000"/>
          <w:sz w:val="24"/>
        </w:rPr>
        <w:t xml:space="preserve"> </w:t>
      </w: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kV/min和5</w:t>
      </w:r>
      <w:r>
        <w:rPr>
          <w:rFonts w:ascii="Times New Roman" w:hAnsi="Times New Roman" w:eastAsia="Noto Serif CJK SC" w:cs="Times New Roman"/>
          <w:color w:val="000000"/>
          <w:sz w:val="24"/>
        </w:rPr>
        <w:t xml:space="preserve"> </w:t>
      </w: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s/min仅为试运行情景，不是设备安全限值；</w:t>
      </w:r>
    </w:p>
    <w:p>
      <w:pPr>
        <w:pStyle w:val="Compact"/>
        <w:numPr>
          <w:ilvl w:val="0"/>
          <w:numId w:val="1002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核对摘要、结论、AI声明和支撑材料清单；</w:t>
      </w:r>
    </w:p>
    <w:p>
      <w:pPr>
        <w:pStyle w:val="Compact"/>
        <w:numPr>
          <w:ilvl w:val="0"/>
          <w:numId w:val="1002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在最终DOCX/PDF中删除所有工作锚点，并按赛事要求提交AI使用详情PDF。</w:t>
      </w:r>
    </w:p>
    <w:bookmarkEnd w:id="13"/>
    <w:bookmarkStart w:id="14" w:name="X1ca1fcf1cd3fe31ea86d77dff2a206301521f67"/>
    <w:p>
      <w:pPr>
        <w:pStyle w:val="Heading2"/>
        <w:ind w:firstLine="0"/>
        <w:jc w:val="left"/>
      </w:pPr>
      <w:r>
        <w:rPr>
          <w:rFonts w:ascii="Arial" w:hAnsi="Arial" w:eastAsia="Noto Sans CJK SC" w:cs="Arial"/>
          <w:b/>
          <w:color w:val="000000"/>
          <w:sz w:val="30"/>
        </w:rPr>
        <w:t xml:space="preserve">6 </w:t>
      </w:r>
      <w:r>
        <w:rPr>
          <w:rFonts w:hint="eastAsia" w:ascii="Arial" w:hAnsi="Arial" w:eastAsia="Noto Sans CJK SC" w:cs="Arial"/>
          <w:b/>
          <w:color w:val="000000"/>
          <w:sz w:val="30"/>
        </w:rPr>
        <w:t xml:space="preserve">责任声明模板</w:t>
      </w:r>
    </w:p>
    <w:p>
      <w:pPr>
        <w:pStyle w:val="FirstParagraph"/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参赛队确认：本作品以人工完成和人工决策为主；AI工具仅对少量代码排错、图表版式检查、文字校对、格式核验和内部检查清单提供辅助。参赛队已独立理解并核验最终提交作品中的模型、公式、程序、数据处理、图表、结论和引用，并对其真实性、原创性与合规性承担全部责任。</w:t>
      </w:r>
    </w:p>
    <w:bookmarkEnd w:id="14"/>
    <w:bookmarkEnd w:id="15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17" w:bottom="1417" w:left="1417" w:right="1417" w:header="454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erif CJK SC" w:cs="Times New Roman"/>
        <w:color w:val="000000"/>
        <w:sz w:val="21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before="0" w:after="0"/>
      <w:ind w:firstLine="482"/>
      <w:jc w:val="both"/>
    </w:pPr>
    <w:rPr>
      <w:rFonts w:ascii="Times New Roman" w:hAnsi="Times New Roman" w:eastAsia="Noto Serif CJK SC" w:cs="Times New Roman"/>
      <w:b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ind w:firstLine="482"/>
      <w:jc w:val="both"/>
    </w:pPr>
    <w:rPr>
      <w:rFonts w:ascii="Times New Roman" w:hAnsi="Times New Roman" w:eastAsia="Noto Serif CJK SC" w:cs="Times New Roman"/>
      <w:b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before="0" w:after="0"/>
      <w:ind w:firstLine="482"/>
      <w:jc w:val="both"/>
    </w:pPr>
    <w:rPr>
      <w:rFonts w:ascii="Times New Roman" w:hAnsi="Times New Roman" w:eastAsia="Noto Serif CJK SC" w:cs="Times New Roman"/>
      <w:b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240"/>
      <w:ind w:firstLine="0"/>
      <w:jc w:val="center"/>
      <w:outlineLvl w:val="0"/>
    </w:pPr>
    <w:rPr>
      <w:rFonts w:asciiTheme="majorHAnsi" w:cstheme="majorBidi" w:eastAsiaTheme="majorEastAsia" w:hAnsiTheme="majorHAnsi" w:ascii="Arial" w:hAnsi="Arial" w:eastAsia="Noto Sans CJK SC" w:cs="Arial"/>
      <w:b/>
      <w:color w:val="000000"/>
      <w:sz w:val="4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240"/>
      <w:ind w:firstLine="0"/>
      <w:jc w:val="left"/>
      <w:outlineLvl w:val="1"/>
    </w:pPr>
    <w:rPr>
      <w:rFonts w:asciiTheme="majorHAnsi" w:cstheme="majorBidi" w:eastAsiaTheme="majorEastAsia" w:hAnsiTheme="majorHAnsi" w:ascii="Arial" w:hAnsi="Arial" w:eastAsia="Noto Sans CJK SC" w:cs="Arial"/>
      <w:b/>
      <w:color w:val="000000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ind w:firstLine="0"/>
      <w:jc w:val="left"/>
      <w:outlineLvl w:val="2"/>
    </w:pPr>
    <w:rPr>
      <w:rFonts w:cstheme="majorBidi" w:eastAsiaTheme="majorEastAsia" w:ascii="Arial" w:hAnsi="Arial" w:eastAsia="Noto Sans CJK SC" w:cs="Arial"/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ind w:firstLine="0"/>
      <w:jc w:val="left"/>
      <w:outlineLvl w:val="3"/>
    </w:pPr>
    <w:rPr>
      <w:rFonts w:cstheme="majorBidi" w:eastAsiaTheme="majorEastAsia" w:ascii="Arial" w:hAnsi="Arial" w:eastAsia="Noto Sans CJK SC" w:cs="Arial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  <w:spacing w:line="240" w:lineRule="auto" w:before="0" w:after="0"/>
      <w:ind w:left="0" w:firstLine="0"/>
      <w:jc w:val="left"/>
    </w:pPr>
    <w:rPr>
      <w:rFonts w:ascii="Menlo" w:hAnsi="Menlo" w:eastAsia="Noto Serif CJK SC" w:cs="Menlo"/>
      <w:b w:val="0"/>
      <w:color w:val="000000"/>
      <w:sz w:val="1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AI工具使用详情</dc:title>
  <dc:creator/>
  <cp:keywords/>
  <dcterms:created xsi:type="dcterms:W3CDTF">2026-08-05T21:05:49Z</dcterms:created>
  <dcterms:modified xsi:type="dcterms:W3CDTF">2026-08-05T21:05:49Z</dcterms:modified>
  <dc:subject>全国大学生数学建模竞赛匿名论文</dc:subject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