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EndPr/>
      <w:sdtContent>
        <w:p w14:paraId="135B5E45" w14:textId="43735942" w:rsidR="008F570F" w:rsidRDefault="00227408">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f07f09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227408">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olor w:val="000000"/>
          <w:sz w:val="20"/>
          <w:szCs w:val="20"/>
          <w:lang w:eastAsia="en-AU"/>
        </w:rPr>
        <w:id w:val="-1566095549"/>
        <w:docPartObj>
          <w:docPartGallery w:val="Table of Contents"/>
          <w:docPartUnique/>
        </w:docPartObj>
      </w:sdtPr>
      <w:sdtEndPr>
        <w:rPr>
          <w:rFonts w:eastAsiaTheme="minorEastAsia" w:cstheme="minorBidi"/>
          <w:b/>
          <w:bCs/>
          <w:caps w:val="0"/>
          <w:noProof/>
          <w:color w:val="auto"/>
          <w:spacing w:val="0"/>
          <w:lang w:eastAsia="en-US"/>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227408">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227408">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227408">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F6C6F56" w:rsidR="00D933B2" w:rsidRDefault="00AA32CE" w:rsidP="006505CF">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lastRenderedPageBreak/>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w:t>
      </w:r>
      <w:proofErr w:type="gramStart"/>
      <w:r w:rsidRPr="001F0E05">
        <w:rPr>
          <w:bCs/>
          <w:color w:val="0E233D"/>
          <w:sz w:val="22"/>
        </w:rPr>
        <w:t>asked</w:t>
      </w:r>
      <w:proofErr w:type="gramEnd"/>
      <w:r w:rsidRPr="001F0E05">
        <w:rPr>
          <w:bCs/>
          <w:color w:val="0E233D"/>
          <w:sz w:val="22"/>
        </w:rPr>
        <w:t xml:space="preserve">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w:t>
      </w:r>
      <w:proofErr w:type="gramStart"/>
      <w:r w:rsidRPr="00C0583D">
        <w:rPr>
          <w:bCs/>
          <w:color w:val="0E233D"/>
          <w:sz w:val="22"/>
        </w:rPr>
        <w:t>relate</w:t>
      </w:r>
      <w:proofErr w:type="gramEnd"/>
      <w:r w:rsidRPr="00C0583D">
        <w:rPr>
          <w:bCs/>
          <w:color w:val="0E233D"/>
          <w:sz w:val="22"/>
        </w:rPr>
        <w:t xml:space="preserv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020C" w14:textId="77777777" w:rsidR="0041261B" w:rsidRDefault="0041261B" w:rsidP="005B6EEF">
      <w:r>
        <w:separator/>
      </w:r>
    </w:p>
  </w:endnote>
  <w:endnote w:type="continuationSeparator" w:id="0">
    <w:p w14:paraId="35704368" w14:textId="77777777" w:rsidR="0041261B" w:rsidRDefault="0041261B"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227408"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D1B4" w14:textId="77777777" w:rsidR="0041261B" w:rsidRDefault="0041261B" w:rsidP="005B6EEF">
      <w:r>
        <w:separator/>
      </w:r>
    </w:p>
  </w:footnote>
  <w:footnote w:type="continuationSeparator" w:id="0">
    <w:p w14:paraId="3962B3A8" w14:textId="77777777" w:rsidR="0041261B" w:rsidRDefault="0041261B"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227408"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27408"/>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505CF"/>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John Ye</cp:lastModifiedBy>
  <cp:revision>25</cp:revision>
  <cp:lastPrinted>2016-01-11T00:00:00Z</cp:lastPrinted>
  <dcterms:created xsi:type="dcterms:W3CDTF">2016-02-21T23:48:00Z</dcterms:created>
  <dcterms:modified xsi:type="dcterms:W3CDTF">2023-05-22T23:52:00Z</dcterms:modified>
</cp:coreProperties>
</file>