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8450" w14:textId="77777777" w:rsidR="00266C60" w:rsidRDefault="00266C60" w:rsidP="004A55CA">
      <w:pPr>
        <w:spacing w:line="480" w:lineRule="auto"/>
        <w:rPr>
          <w:rFonts w:ascii="Times New Roman" w:hAnsi="Times New Roman" w:cs="Times New Roman"/>
          <w:b/>
          <w:bCs/>
        </w:rPr>
      </w:pPr>
    </w:p>
    <w:p w14:paraId="49091A92" w14:textId="0D1D4CBB" w:rsidR="00266C60" w:rsidRPr="00CA0494" w:rsidRDefault="00266C60" w:rsidP="00266C60">
      <w:pPr>
        <w:spacing w:line="480" w:lineRule="auto"/>
        <w:rPr>
          <w:rFonts w:ascii="Times New Roman" w:hAnsi="Times New Roman" w:cs="Times New Roman"/>
          <w:bCs/>
        </w:rPr>
      </w:pPr>
      <w:bookmarkStart w:id="0" w:name="_GoBack"/>
      <w:bookmarkEnd w:id="0"/>
      <w:r>
        <w:rPr>
          <w:rFonts w:ascii="Times New Roman" w:hAnsi="Times New Roman" w:cs="Times New Roman"/>
          <w:bCs/>
        </w:rPr>
        <w:t>CODEX MENDOZA</w:t>
      </w:r>
    </w:p>
    <w:p w14:paraId="7D4D2382" w14:textId="77777777" w:rsidR="00266C60" w:rsidRPr="00C76E47" w:rsidRDefault="00266C60" w:rsidP="00266C60">
      <w:pPr>
        <w:spacing w:line="480" w:lineRule="auto"/>
        <w:rPr>
          <w:rFonts w:ascii="Times New Roman" w:hAnsi="Times New Roman" w:cs="Times New Roman"/>
        </w:rPr>
      </w:pPr>
      <w:r w:rsidRPr="00C76E47">
        <w:rPr>
          <w:rFonts w:ascii="Times New Roman" w:hAnsi="Times New Roman" w:cs="Times New Roman"/>
        </w:rPr>
        <w:t xml:space="preserve">Daniela </w:t>
      </w:r>
      <w:proofErr w:type="spellStart"/>
      <w:r w:rsidRPr="00C76E47">
        <w:rPr>
          <w:rFonts w:ascii="Times New Roman" w:hAnsi="Times New Roman" w:cs="Times New Roman"/>
        </w:rPr>
        <w:t>Bleichmar</w:t>
      </w:r>
      <w:proofErr w:type="spellEnd"/>
    </w:p>
    <w:p w14:paraId="19075308" w14:textId="77777777" w:rsidR="00266C60" w:rsidRDefault="00266C60" w:rsidP="004A55CA">
      <w:pPr>
        <w:spacing w:line="480" w:lineRule="auto"/>
        <w:rPr>
          <w:rFonts w:ascii="Times New Roman" w:hAnsi="Times New Roman" w:cs="Times New Roman"/>
          <w:b/>
          <w:bCs/>
        </w:rPr>
      </w:pPr>
    </w:p>
    <w:p w14:paraId="72A840E5" w14:textId="0435A4FE" w:rsidR="00BB51CB" w:rsidRDefault="00AF03A0" w:rsidP="004A55CA">
      <w:pPr>
        <w:spacing w:line="480" w:lineRule="auto"/>
        <w:rPr>
          <w:rFonts w:ascii="Times New Roman" w:hAnsi="Times New Roman" w:cs="Times New Roman"/>
          <w:b/>
          <w:bCs/>
        </w:rPr>
      </w:pPr>
      <w:r w:rsidRPr="00C76E47">
        <w:rPr>
          <w:rFonts w:ascii="Times New Roman" w:hAnsi="Times New Roman" w:cs="Times New Roman"/>
          <w:noProof/>
        </w:rPr>
        <w:drawing>
          <wp:anchor distT="0" distB="0" distL="114300" distR="114300" simplePos="0" relativeHeight="251658240" behindDoc="0" locked="0" layoutInCell="1" allowOverlap="1" wp14:anchorId="35067E80" wp14:editId="0C47A2DF">
            <wp:simplePos x="914400" y="914400"/>
            <wp:positionH relativeFrom="column">
              <wp:align>left</wp:align>
            </wp:positionH>
            <wp:positionV relativeFrom="paragraph">
              <wp:align>top</wp:align>
            </wp:positionV>
            <wp:extent cx="3882789" cy="58166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2789" cy="5816600"/>
                    </a:xfrm>
                    <a:prstGeom prst="rect">
                      <a:avLst/>
                    </a:prstGeom>
                  </pic:spPr>
                </pic:pic>
              </a:graphicData>
            </a:graphic>
          </wp:anchor>
        </w:drawing>
      </w:r>
    </w:p>
    <w:p w14:paraId="468DA797" w14:textId="77777777" w:rsidR="00BB51CB" w:rsidRPr="00BB51CB" w:rsidRDefault="00BB51CB" w:rsidP="00BB51CB">
      <w:pPr>
        <w:rPr>
          <w:rFonts w:ascii="Times New Roman" w:hAnsi="Times New Roman" w:cs="Times New Roman"/>
        </w:rPr>
      </w:pPr>
    </w:p>
    <w:p w14:paraId="4CF1F79D" w14:textId="77777777" w:rsidR="00BB51CB" w:rsidRPr="00BB51CB" w:rsidRDefault="00BB51CB" w:rsidP="00BB51CB">
      <w:pPr>
        <w:rPr>
          <w:rFonts w:ascii="Times New Roman" w:hAnsi="Times New Roman" w:cs="Times New Roman"/>
        </w:rPr>
      </w:pPr>
    </w:p>
    <w:p w14:paraId="3331FB1A" w14:textId="77777777" w:rsidR="00BB51CB" w:rsidRPr="00BB51CB" w:rsidRDefault="00BB51CB" w:rsidP="00BB51CB">
      <w:pPr>
        <w:rPr>
          <w:rFonts w:ascii="Times New Roman" w:hAnsi="Times New Roman" w:cs="Times New Roman"/>
        </w:rPr>
      </w:pPr>
    </w:p>
    <w:p w14:paraId="473FD8C8" w14:textId="77777777" w:rsidR="00BB51CB" w:rsidRPr="00BB51CB" w:rsidRDefault="00BB51CB" w:rsidP="00BB51CB">
      <w:pPr>
        <w:rPr>
          <w:rFonts w:ascii="Times New Roman" w:hAnsi="Times New Roman" w:cs="Times New Roman"/>
        </w:rPr>
      </w:pPr>
    </w:p>
    <w:p w14:paraId="10C8F7EF" w14:textId="77777777" w:rsidR="00BB51CB" w:rsidRPr="00BB51CB" w:rsidRDefault="00BB51CB" w:rsidP="00BB51CB">
      <w:pPr>
        <w:rPr>
          <w:rFonts w:ascii="Times New Roman" w:hAnsi="Times New Roman" w:cs="Times New Roman"/>
        </w:rPr>
      </w:pPr>
    </w:p>
    <w:p w14:paraId="031C4E2B" w14:textId="77777777" w:rsidR="00BB51CB" w:rsidRPr="00BB51CB" w:rsidRDefault="00BB51CB" w:rsidP="00BB51CB">
      <w:pPr>
        <w:rPr>
          <w:rFonts w:ascii="Times New Roman" w:hAnsi="Times New Roman" w:cs="Times New Roman"/>
        </w:rPr>
      </w:pPr>
    </w:p>
    <w:p w14:paraId="50A007C6" w14:textId="77777777" w:rsidR="00BB51CB" w:rsidRPr="00BB51CB" w:rsidRDefault="00BB51CB" w:rsidP="00BB51CB">
      <w:pPr>
        <w:rPr>
          <w:rFonts w:ascii="Times New Roman" w:hAnsi="Times New Roman" w:cs="Times New Roman"/>
        </w:rPr>
      </w:pPr>
    </w:p>
    <w:p w14:paraId="769B16AE" w14:textId="77777777" w:rsidR="00BB51CB" w:rsidRPr="00BB51CB" w:rsidRDefault="00BB51CB" w:rsidP="00BB51CB">
      <w:pPr>
        <w:rPr>
          <w:rFonts w:ascii="Times New Roman" w:hAnsi="Times New Roman" w:cs="Times New Roman"/>
        </w:rPr>
      </w:pPr>
    </w:p>
    <w:p w14:paraId="4F81917A" w14:textId="77777777" w:rsidR="00BB51CB" w:rsidRPr="00BB51CB" w:rsidRDefault="00BB51CB" w:rsidP="00BB51CB">
      <w:pPr>
        <w:rPr>
          <w:rFonts w:ascii="Times New Roman" w:hAnsi="Times New Roman" w:cs="Times New Roman"/>
        </w:rPr>
      </w:pPr>
    </w:p>
    <w:p w14:paraId="5895054C" w14:textId="77777777" w:rsidR="00BB51CB" w:rsidRPr="00BB51CB" w:rsidRDefault="00BB51CB" w:rsidP="00BB51CB">
      <w:pPr>
        <w:rPr>
          <w:rFonts w:ascii="Times New Roman" w:hAnsi="Times New Roman" w:cs="Times New Roman"/>
        </w:rPr>
      </w:pPr>
    </w:p>
    <w:p w14:paraId="5B38A617" w14:textId="77777777" w:rsidR="00BB51CB" w:rsidRPr="00BB51CB" w:rsidRDefault="00BB51CB" w:rsidP="00BB51CB">
      <w:pPr>
        <w:rPr>
          <w:rFonts w:ascii="Times New Roman" w:hAnsi="Times New Roman" w:cs="Times New Roman"/>
        </w:rPr>
      </w:pPr>
    </w:p>
    <w:p w14:paraId="2AC879E0" w14:textId="77777777" w:rsidR="00BB51CB" w:rsidRPr="00BB51CB" w:rsidRDefault="00BB51CB" w:rsidP="00BB51CB">
      <w:pPr>
        <w:rPr>
          <w:rFonts w:ascii="Times New Roman" w:hAnsi="Times New Roman" w:cs="Times New Roman"/>
        </w:rPr>
      </w:pPr>
    </w:p>
    <w:p w14:paraId="3D621D3B" w14:textId="77777777" w:rsidR="00BB51CB" w:rsidRPr="00BB51CB" w:rsidRDefault="00BB51CB" w:rsidP="00BB51CB">
      <w:pPr>
        <w:rPr>
          <w:rFonts w:ascii="Times New Roman" w:hAnsi="Times New Roman" w:cs="Times New Roman"/>
        </w:rPr>
      </w:pPr>
    </w:p>
    <w:p w14:paraId="703A2F62" w14:textId="77777777" w:rsidR="00BB51CB" w:rsidRPr="00BB51CB" w:rsidRDefault="00BB51CB" w:rsidP="00BB51CB">
      <w:pPr>
        <w:rPr>
          <w:rFonts w:ascii="Times New Roman" w:hAnsi="Times New Roman" w:cs="Times New Roman"/>
        </w:rPr>
      </w:pPr>
    </w:p>
    <w:p w14:paraId="2F68DAB1" w14:textId="77777777" w:rsidR="00BB51CB" w:rsidRPr="00BB51CB" w:rsidRDefault="00BB51CB" w:rsidP="00BB51CB">
      <w:pPr>
        <w:rPr>
          <w:rFonts w:ascii="Times New Roman" w:hAnsi="Times New Roman" w:cs="Times New Roman"/>
        </w:rPr>
      </w:pPr>
    </w:p>
    <w:p w14:paraId="19A5EF17" w14:textId="77777777" w:rsidR="00BB51CB" w:rsidRPr="00BB51CB" w:rsidRDefault="00BB51CB" w:rsidP="00BB51CB">
      <w:pPr>
        <w:rPr>
          <w:rFonts w:ascii="Times New Roman" w:hAnsi="Times New Roman" w:cs="Times New Roman"/>
        </w:rPr>
      </w:pPr>
    </w:p>
    <w:p w14:paraId="4E743052" w14:textId="77777777" w:rsidR="00BB51CB" w:rsidRPr="00BB51CB" w:rsidRDefault="00BB51CB" w:rsidP="00BB51CB">
      <w:pPr>
        <w:rPr>
          <w:rFonts w:ascii="Times New Roman" w:hAnsi="Times New Roman" w:cs="Times New Roman"/>
        </w:rPr>
      </w:pPr>
    </w:p>
    <w:p w14:paraId="77FC84E6" w14:textId="5A6EA60F" w:rsidR="00BB51CB" w:rsidRDefault="00BB51CB" w:rsidP="004A55CA">
      <w:pPr>
        <w:spacing w:line="480" w:lineRule="auto"/>
        <w:rPr>
          <w:rFonts w:ascii="Times New Roman" w:hAnsi="Times New Roman" w:cs="Times New Roman"/>
          <w:b/>
          <w:bCs/>
        </w:rPr>
      </w:pPr>
    </w:p>
    <w:p w14:paraId="238BDB2D" w14:textId="7B70928A" w:rsidR="00D43273" w:rsidRDefault="00BB51CB" w:rsidP="00D43273">
      <w:pPr>
        <w:spacing w:line="480" w:lineRule="auto"/>
        <w:ind w:firstLine="720"/>
        <w:rPr>
          <w:rFonts w:ascii="Times New Roman" w:hAnsi="Times New Roman" w:cs="Times New Roman"/>
          <w:bCs/>
        </w:rPr>
      </w:pPr>
      <w:r>
        <w:rPr>
          <w:rFonts w:ascii="Times New Roman" w:hAnsi="Times New Roman" w:cs="Times New Roman"/>
          <w:b/>
          <w:bCs/>
        </w:rPr>
        <w:br w:type="textWrapping" w:clear="all"/>
      </w:r>
      <w:r w:rsidR="00D43273" w:rsidRPr="00D43273">
        <w:rPr>
          <w:rFonts w:ascii="Times New Roman" w:hAnsi="Times New Roman" w:cs="Times New Roman"/>
          <w:bCs/>
        </w:rPr>
        <w:t xml:space="preserve">Figure 1. </w:t>
      </w:r>
      <w:r w:rsidR="00D43273">
        <w:rPr>
          <w:rFonts w:ascii="Times New Roman" w:hAnsi="Times New Roman" w:cs="Times New Roman"/>
          <w:bCs/>
        </w:rPr>
        <w:t>The Codex Mendoza</w:t>
      </w:r>
    </w:p>
    <w:p w14:paraId="5B1A27EB" w14:textId="77777777" w:rsidR="00E54932" w:rsidRPr="00C76E47" w:rsidRDefault="00E54932" w:rsidP="004A55CA">
      <w:pPr>
        <w:spacing w:line="480" w:lineRule="auto"/>
        <w:rPr>
          <w:rFonts w:ascii="Times New Roman" w:hAnsi="Times New Roman" w:cs="Times New Roman"/>
        </w:rPr>
      </w:pPr>
    </w:p>
    <w:p w14:paraId="6066C105" w14:textId="515BA270" w:rsidR="003A2C0D" w:rsidRPr="00C76E47" w:rsidRDefault="0033753C" w:rsidP="004A55CA">
      <w:pPr>
        <w:spacing w:line="480" w:lineRule="auto"/>
        <w:rPr>
          <w:rFonts w:ascii="Times New Roman" w:hAnsi="Times New Roman" w:cs="Times New Roman"/>
        </w:rPr>
      </w:pPr>
      <w:r>
        <w:rPr>
          <w:rFonts w:ascii="Times New Roman" w:hAnsi="Times New Roman" w:cs="Times New Roman"/>
        </w:rPr>
        <w:lastRenderedPageBreak/>
        <w:t>M</w:t>
      </w:r>
      <w:r w:rsidR="003A2C0D" w:rsidRPr="00C76E47">
        <w:rPr>
          <w:rFonts w:ascii="Times New Roman" w:hAnsi="Times New Roman" w:cs="Times New Roman"/>
        </w:rPr>
        <w:t xml:space="preserve">any objects </w:t>
      </w:r>
      <w:r>
        <w:rPr>
          <w:rFonts w:ascii="Times New Roman" w:hAnsi="Times New Roman" w:cs="Times New Roman"/>
        </w:rPr>
        <w:t xml:space="preserve">from the Americas </w:t>
      </w:r>
      <w:r w:rsidR="003A2C0D" w:rsidRPr="00C76E47">
        <w:rPr>
          <w:rFonts w:ascii="Times New Roman" w:hAnsi="Times New Roman" w:cs="Times New Roman"/>
        </w:rPr>
        <w:t xml:space="preserve">that moved across distances and cultures </w:t>
      </w:r>
      <w:r>
        <w:rPr>
          <w:rFonts w:ascii="Times New Roman" w:hAnsi="Times New Roman" w:cs="Times New Roman"/>
        </w:rPr>
        <w:t xml:space="preserve">in the early modern period </w:t>
      </w:r>
      <w:r w:rsidR="003A2C0D" w:rsidRPr="00C76E47">
        <w:rPr>
          <w:rFonts w:ascii="Times New Roman" w:hAnsi="Times New Roman" w:cs="Times New Roman"/>
        </w:rPr>
        <w:t>left tenuous traces in the do</w:t>
      </w:r>
      <w:r w:rsidR="001E2C9D" w:rsidRPr="00C76E47">
        <w:rPr>
          <w:rFonts w:ascii="Times New Roman" w:hAnsi="Times New Roman" w:cs="Times New Roman"/>
        </w:rPr>
        <w:t>cumentary record, making it difficult</w:t>
      </w:r>
      <w:r w:rsidR="003A2C0D" w:rsidRPr="00C76E47">
        <w:rPr>
          <w:rFonts w:ascii="Times New Roman" w:hAnsi="Times New Roman" w:cs="Times New Roman"/>
        </w:rPr>
        <w:t xml:space="preserve"> for scholars to reconstruct what </w:t>
      </w:r>
      <w:r w:rsidR="001E2C9D" w:rsidRPr="00C76E47">
        <w:rPr>
          <w:rFonts w:ascii="Times New Roman" w:hAnsi="Times New Roman" w:cs="Times New Roman"/>
        </w:rPr>
        <w:t>was</w:t>
      </w:r>
      <w:r w:rsidR="003A2C0D" w:rsidRPr="00C76E47">
        <w:rPr>
          <w:rFonts w:ascii="Times New Roman" w:hAnsi="Times New Roman" w:cs="Times New Roman"/>
        </w:rPr>
        <w:t xml:space="preserve"> made of them in the p</w:t>
      </w:r>
      <w:r w:rsidR="001E2C9D" w:rsidRPr="00C76E47">
        <w:rPr>
          <w:rFonts w:ascii="Times New Roman" w:hAnsi="Times New Roman" w:cs="Times New Roman"/>
        </w:rPr>
        <w:t>ast</w:t>
      </w:r>
      <w:r>
        <w:rPr>
          <w:rFonts w:ascii="Times New Roman" w:hAnsi="Times New Roman" w:cs="Times New Roman"/>
        </w:rPr>
        <w:t xml:space="preserve">. An exception is </w:t>
      </w:r>
      <w:r w:rsidR="003A2C0D" w:rsidRPr="00C76E47">
        <w:rPr>
          <w:rFonts w:ascii="Times New Roman" w:hAnsi="Times New Roman" w:cs="Times New Roman"/>
        </w:rPr>
        <w:t xml:space="preserve">the </w:t>
      </w:r>
      <w:r>
        <w:rPr>
          <w:rFonts w:ascii="Times New Roman" w:hAnsi="Times New Roman" w:cs="Times New Roman"/>
        </w:rPr>
        <w:t xml:space="preserve">pictorial manuscript known as the </w:t>
      </w:r>
      <w:r w:rsidR="003A2C0D" w:rsidRPr="00C76E47">
        <w:rPr>
          <w:rFonts w:ascii="Times New Roman" w:hAnsi="Times New Roman" w:cs="Times New Roman"/>
          <w:i/>
        </w:rPr>
        <w:t>Codex Mendoza</w:t>
      </w:r>
      <w:r>
        <w:rPr>
          <w:rFonts w:ascii="Times New Roman" w:hAnsi="Times New Roman" w:cs="Times New Roman"/>
          <w:iCs/>
        </w:rPr>
        <w:t>, which</w:t>
      </w:r>
      <w:r w:rsidR="003A2C0D" w:rsidRPr="00C76E47">
        <w:rPr>
          <w:rFonts w:ascii="Times New Roman" w:hAnsi="Times New Roman" w:cs="Times New Roman"/>
          <w:i/>
        </w:rPr>
        <w:t xml:space="preserve"> </w:t>
      </w:r>
      <w:r w:rsidR="003A2C0D" w:rsidRPr="00C76E47">
        <w:rPr>
          <w:rFonts w:ascii="Times New Roman" w:hAnsi="Times New Roman" w:cs="Times New Roman"/>
        </w:rPr>
        <w:t xml:space="preserve">produced a stunning wealth of documented </w:t>
      </w:r>
      <w:r>
        <w:rPr>
          <w:rFonts w:ascii="Times New Roman" w:hAnsi="Times New Roman" w:cs="Times New Roman"/>
        </w:rPr>
        <w:t>responses</w:t>
      </w:r>
      <w:r w:rsidR="003A2C0D" w:rsidRPr="00C76E47">
        <w:rPr>
          <w:rFonts w:ascii="Times New Roman" w:hAnsi="Times New Roman" w:cs="Times New Roman"/>
        </w:rPr>
        <w:t xml:space="preserve">. From the mid-sixteenth to the </w:t>
      </w:r>
      <w:r>
        <w:rPr>
          <w:rFonts w:ascii="Times New Roman" w:hAnsi="Times New Roman" w:cs="Times New Roman"/>
        </w:rPr>
        <w:t>mid-nineteenth</w:t>
      </w:r>
      <w:r w:rsidR="003A2C0D" w:rsidRPr="00C76E47">
        <w:rPr>
          <w:rFonts w:ascii="Times New Roman" w:hAnsi="Times New Roman" w:cs="Times New Roman"/>
        </w:rPr>
        <w:t xml:space="preserve"> century (and beyond), the codex </w:t>
      </w:r>
      <w:r>
        <w:rPr>
          <w:rFonts w:ascii="Times New Roman" w:hAnsi="Times New Roman" w:cs="Times New Roman"/>
        </w:rPr>
        <w:t>provoked</w:t>
      </w:r>
      <w:r w:rsidRPr="00C76E47">
        <w:rPr>
          <w:rFonts w:ascii="Times New Roman" w:hAnsi="Times New Roman" w:cs="Times New Roman"/>
        </w:rPr>
        <w:t xml:space="preserve"> </w:t>
      </w:r>
      <w:r w:rsidR="003A2C0D" w:rsidRPr="00C76E47">
        <w:rPr>
          <w:rFonts w:ascii="Times New Roman" w:hAnsi="Times New Roman" w:cs="Times New Roman"/>
        </w:rPr>
        <w:t>descriptions, comments, questions, and numerous reproductions that in their selective rendition of material created different versions of the document itself. Th</w:t>
      </w:r>
      <w:r>
        <w:rPr>
          <w:rFonts w:ascii="Times New Roman" w:hAnsi="Times New Roman" w:cs="Times New Roman"/>
        </w:rPr>
        <w:t>us</w:t>
      </w:r>
      <w:r w:rsidR="001119D6">
        <w:rPr>
          <w:rFonts w:ascii="Times New Roman" w:hAnsi="Times New Roman" w:cs="Times New Roman"/>
        </w:rPr>
        <w:t>,</w:t>
      </w:r>
      <w:r>
        <w:rPr>
          <w:rFonts w:ascii="Times New Roman" w:hAnsi="Times New Roman" w:cs="Times New Roman"/>
        </w:rPr>
        <w:t xml:space="preserve"> th</w:t>
      </w:r>
      <w:r w:rsidR="003A2C0D" w:rsidRPr="00C76E47">
        <w:rPr>
          <w:rFonts w:ascii="Times New Roman" w:hAnsi="Times New Roman" w:cs="Times New Roman"/>
        </w:rPr>
        <w:t xml:space="preserve">e </w:t>
      </w:r>
      <w:r w:rsidR="003A2C0D" w:rsidRPr="00C76E47">
        <w:rPr>
          <w:rFonts w:ascii="Times New Roman" w:hAnsi="Times New Roman" w:cs="Times New Roman"/>
          <w:i/>
        </w:rPr>
        <w:t xml:space="preserve">Codex Mendoza </w:t>
      </w:r>
      <w:r w:rsidR="003A2C0D" w:rsidRPr="00C76E47">
        <w:rPr>
          <w:rFonts w:ascii="Times New Roman" w:hAnsi="Times New Roman" w:cs="Times New Roman"/>
        </w:rPr>
        <w:t xml:space="preserve">moved </w:t>
      </w:r>
      <w:r w:rsidR="002D3A78">
        <w:rPr>
          <w:rFonts w:ascii="Times New Roman" w:hAnsi="Times New Roman" w:cs="Times New Roman"/>
        </w:rPr>
        <w:t xml:space="preserve">not only </w:t>
      </w:r>
      <w:r w:rsidR="003A2C0D" w:rsidRPr="00C76E47">
        <w:rPr>
          <w:rFonts w:ascii="Times New Roman" w:hAnsi="Times New Roman" w:cs="Times New Roman"/>
        </w:rPr>
        <w:t xml:space="preserve">across </w:t>
      </w:r>
      <w:r w:rsidR="002D3A78">
        <w:rPr>
          <w:rFonts w:ascii="Times New Roman" w:hAnsi="Times New Roman" w:cs="Times New Roman"/>
        </w:rPr>
        <w:t xml:space="preserve">space and time but also across </w:t>
      </w:r>
      <w:r w:rsidR="003A2C0D" w:rsidRPr="00C76E47">
        <w:rPr>
          <w:rFonts w:ascii="Times New Roman" w:hAnsi="Times New Roman" w:cs="Times New Roman"/>
        </w:rPr>
        <w:t xml:space="preserve">languages, cultural categories, media, </w:t>
      </w:r>
      <w:r w:rsidR="002D3A78">
        <w:rPr>
          <w:rFonts w:ascii="Times New Roman" w:hAnsi="Times New Roman" w:cs="Times New Roman"/>
        </w:rPr>
        <w:t xml:space="preserve">knowledge economies, </w:t>
      </w:r>
      <w:r w:rsidR="003A2C0D" w:rsidRPr="00C76E47">
        <w:rPr>
          <w:rFonts w:ascii="Times New Roman" w:hAnsi="Times New Roman" w:cs="Times New Roman"/>
        </w:rPr>
        <w:t xml:space="preserve">and interpretive horizons. Mobility made the </w:t>
      </w:r>
      <w:r w:rsidR="003A2C0D" w:rsidRPr="00C76E47">
        <w:rPr>
          <w:rFonts w:ascii="Times New Roman" w:hAnsi="Times New Roman" w:cs="Times New Roman"/>
          <w:i/>
        </w:rPr>
        <w:t xml:space="preserve">Codex Mendoza </w:t>
      </w:r>
      <w:r w:rsidR="003A2C0D" w:rsidRPr="00C76E47">
        <w:rPr>
          <w:rFonts w:ascii="Times New Roman" w:hAnsi="Times New Roman" w:cs="Times New Roman"/>
        </w:rPr>
        <w:t xml:space="preserve">flexible, unstable, and prone to mutability—as was the case with other objects that moved across space and </w:t>
      </w:r>
      <w:r w:rsidR="001E2C9D" w:rsidRPr="00C76E47">
        <w:rPr>
          <w:rFonts w:ascii="Times New Roman" w:hAnsi="Times New Roman" w:cs="Times New Roman"/>
        </w:rPr>
        <w:t>time</w:t>
      </w:r>
      <w:r w:rsidR="003A2C0D" w:rsidRPr="00C76E47">
        <w:rPr>
          <w:rFonts w:ascii="Times New Roman" w:hAnsi="Times New Roman" w:cs="Times New Roman"/>
        </w:rPr>
        <w:t xml:space="preserve">. In </w:t>
      </w:r>
      <w:r w:rsidR="001E2C9D" w:rsidRPr="00C76E47">
        <w:rPr>
          <w:rFonts w:ascii="Times New Roman" w:hAnsi="Times New Roman" w:cs="Times New Roman"/>
        </w:rPr>
        <w:t>various places and moments, read</w:t>
      </w:r>
      <w:r w:rsidR="003A2C0D" w:rsidRPr="00C76E47">
        <w:rPr>
          <w:rFonts w:ascii="Times New Roman" w:hAnsi="Times New Roman" w:cs="Times New Roman"/>
        </w:rPr>
        <w:t>ers turned the pages and poured over the images and the words, creating their own</w:t>
      </w:r>
      <w:r>
        <w:rPr>
          <w:rFonts w:ascii="Times New Roman" w:hAnsi="Times New Roman" w:cs="Times New Roman"/>
        </w:rPr>
        <w:t xml:space="preserve"> versions of the</w:t>
      </w:r>
      <w:r w:rsidR="003A2C0D" w:rsidRPr="00C76E47">
        <w:rPr>
          <w:rFonts w:ascii="Times New Roman" w:hAnsi="Times New Roman" w:cs="Times New Roman"/>
        </w:rPr>
        <w:t xml:space="preserve"> </w:t>
      </w:r>
      <w:r w:rsidR="003A2C0D" w:rsidRPr="00C76E47">
        <w:rPr>
          <w:rFonts w:ascii="Times New Roman" w:hAnsi="Times New Roman" w:cs="Times New Roman"/>
          <w:i/>
        </w:rPr>
        <w:t>Codex Mendoza</w:t>
      </w:r>
      <w:r w:rsidR="003A2C0D" w:rsidRPr="00C76E47">
        <w:rPr>
          <w:rFonts w:ascii="Times New Roman" w:hAnsi="Times New Roman" w:cs="Times New Roman"/>
        </w:rPr>
        <w:t>.</w:t>
      </w:r>
    </w:p>
    <w:p w14:paraId="6BAA0694" w14:textId="73ABF5EC" w:rsidR="001E2C9D" w:rsidRPr="00C76E47" w:rsidRDefault="001E2C9D" w:rsidP="004A55CA">
      <w:pPr>
        <w:spacing w:line="480" w:lineRule="auto"/>
        <w:rPr>
          <w:rFonts w:ascii="Times New Roman" w:hAnsi="Times New Roman" w:cs="Times New Roman"/>
        </w:rPr>
      </w:pPr>
    </w:p>
    <w:p w14:paraId="6C866FAE" w14:textId="5BE43355" w:rsidR="00EE5A6A" w:rsidRPr="00C76E47" w:rsidRDefault="00B02B76" w:rsidP="004A55CA">
      <w:pPr>
        <w:spacing w:line="480" w:lineRule="auto"/>
        <w:rPr>
          <w:rFonts w:ascii="Times New Roman" w:hAnsi="Times New Roman" w:cs="Times New Roman"/>
        </w:rPr>
      </w:pPr>
      <w:r>
        <w:rPr>
          <w:rFonts w:ascii="Times New Roman" w:hAnsi="Times New Roman" w:cs="Times New Roman"/>
        </w:rPr>
        <w:t>T</w:t>
      </w:r>
      <w:r w:rsidR="000F2D78">
        <w:rPr>
          <w:rFonts w:ascii="Times New Roman" w:hAnsi="Times New Roman" w:cs="Times New Roman"/>
        </w:rPr>
        <w:t>he</w:t>
      </w:r>
      <w:r w:rsidR="000F2D78" w:rsidRPr="000F2D78">
        <w:rPr>
          <w:rFonts w:ascii="Times New Roman" w:hAnsi="Times New Roman" w:cs="Times New Roman"/>
        </w:rPr>
        <w:t xml:space="preserve"> </w:t>
      </w:r>
      <w:r w:rsidR="000F2D78">
        <w:rPr>
          <w:rFonts w:ascii="Times New Roman" w:hAnsi="Times New Roman" w:cs="Times New Roman"/>
          <w:i/>
          <w:iCs/>
        </w:rPr>
        <w:t>Codex Mendoza</w:t>
      </w:r>
      <w:r w:rsidR="00F86C21">
        <w:rPr>
          <w:rFonts w:ascii="Times New Roman" w:hAnsi="Times New Roman" w:cs="Times New Roman"/>
          <w:i/>
          <w:iCs/>
        </w:rPr>
        <w:t xml:space="preserve"> </w:t>
      </w:r>
      <w:r w:rsidR="00F86C21">
        <w:rPr>
          <w:rFonts w:ascii="Times New Roman" w:hAnsi="Times New Roman" w:cs="Times New Roman"/>
        </w:rPr>
        <w:t xml:space="preserve">is one of the earliest known post-conquest </w:t>
      </w:r>
      <w:r w:rsidR="000F2D78">
        <w:rPr>
          <w:rFonts w:ascii="Times New Roman" w:hAnsi="Times New Roman" w:cs="Times New Roman"/>
        </w:rPr>
        <w:t>manuscripts</w:t>
      </w:r>
      <w:r w:rsidR="00F86C21">
        <w:rPr>
          <w:rFonts w:ascii="Times New Roman" w:hAnsi="Times New Roman" w:cs="Times New Roman"/>
        </w:rPr>
        <w:t xml:space="preserve"> created </w:t>
      </w:r>
      <w:r w:rsidR="004F6FAF">
        <w:rPr>
          <w:rFonts w:ascii="Times New Roman" w:hAnsi="Times New Roman" w:cs="Times New Roman"/>
        </w:rPr>
        <w:t>in New Spain</w:t>
      </w:r>
      <w:r w:rsidR="000F2D78">
        <w:rPr>
          <w:rFonts w:ascii="Times New Roman" w:hAnsi="Times New Roman" w:cs="Times New Roman"/>
        </w:rPr>
        <w:t xml:space="preserve">. </w:t>
      </w:r>
      <w:r w:rsidR="00552C01">
        <w:rPr>
          <w:rFonts w:ascii="Times New Roman" w:hAnsi="Times New Roman" w:cs="Times New Roman"/>
        </w:rPr>
        <w:t>Produced</w:t>
      </w:r>
      <w:r>
        <w:rPr>
          <w:rFonts w:ascii="Times New Roman" w:hAnsi="Times New Roman" w:cs="Times New Roman"/>
        </w:rPr>
        <w:t xml:space="preserve"> in Mexico City likely in the 1540s, it </w:t>
      </w:r>
      <w:r w:rsidR="00F86C21">
        <w:rPr>
          <w:rFonts w:ascii="Times New Roman" w:hAnsi="Times New Roman" w:cs="Times New Roman"/>
        </w:rPr>
        <w:t>consists of a collection of paintings c</w:t>
      </w:r>
      <w:r w:rsidR="00976A29" w:rsidRPr="00C76E47">
        <w:rPr>
          <w:rFonts w:ascii="Times New Roman" w:hAnsi="Times New Roman" w:cs="Times New Roman"/>
        </w:rPr>
        <w:t>rafted</w:t>
      </w:r>
      <w:r w:rsidR="000F2D78">
        <w:rPr>
          <w:rFonts w:ascii="Times New Roman" w:hAnsi="Times New Roman" w:cs="Times New Roman"/>
        </w:rPr>
        <w:t xml:space="preserve"> </w:t>
      </w:r>
      <w:r w:rsidR="005F1D81" w:rsidRPr="00C76E47">
        <w:rPr>
          <w:rFonts w:ascii="Times New Roman" w:hAnsi="Times New Roman" w:cs="Times New Roman"/>
        </w:rPr>
        <w:t xml:space="preserve">by Aztec </w:t>
      </w:r>
      <w:r w:rsidR="00976A29" w:rsidRPr="00C76E47">
        <w:rPr>
          <w:rFonts w:ascii="Times New Roman" w:hAnsi="Times New Roman" w:cs="Times New Roman"/>
        </w:rPr>
        <w:t xml:space="preserve">or Nahua </w:t>
      </w:r>
      <w:r w:rsidR="00D13AAA" w:rsidRPr="00C76E47">
        <w:rPr>
          <w:rFonts w:ascii="Times New Roman" w:hAnsi="Times New Roman" w:cs="Times New Roman"/>
        </w:rPr>
        <w:t xml:space="preserve">painter-scribes (Nahuatl </w:t>
      </w:r>
      <w:proofErr w:type="spellStart"/>
      <w:r w:rsidR="00B173B1" w:rsidRPr="00C76E47">
        <w:rPr>
          <w:rFonts w:ascii="Times New Roman" w:hAnsi="Times New Roman" w:cs="Times New Roman"/>
          <w:i/>
          <w:iCs/>
        </w:rPr>
        <w:t>tlacuilo</w:t>
      </w:r>
      <w:proofErr w:type="spellEnd"/>
      <w:r w:rsidR="00B173B1" w:rsidRPr="00C76E47">
        <w:rPr>
          <w:rFonts w:ascii="Times New Roman" w:hAnsi="Times New Roman" w:cs="Times New Roman"/>
        </w:rPr>
        <w:t>,</w:t>
      </w:r>
      <w:r w:rsidR="00B173B1" w:rsidRPr="00C76E47">
        <w:rPr>
          <w:rFonts w:ascii="Times New Roman" w:hAnsi="Times New Roman" w:cs="Times New Roman"/>
          <w:i/>
          <w:iCs/>
        </w:rPr>
        <w:t xml:space="preserve"> </w:t>
      </w:r>
      <w:r w:rsidR="00B173B1" w:rsidRPr="00C76E47">
        <w:rPr>
          <w:rFonts w:ascii="Times New Roman" w:hAnsi="Times New Roman" w:cs="Times New Roman"/>
        </w:rPr>
        <w:t xml:space="preserve">pl. </w:t>
      </w:r>
      <w:proofErr w:type="spellStart"/>
      <w:r w:rsidR="00D13AAA" w:rsidRPr="00C76E47">
        <w:rPr>
          <w:rFonts w:ascii="Times New Roman" w:hAnsi="Times New Roman" w:cs="Times New Roman"/>
          <w:i/>
          <w:iCs/>
        </w:rPr>
        <w:t>tlacuiloque</w:t>
      </w:r>
      <w:proofErr w:type="spellEnd"/>
      <w:r w:rsidR="00D13AAA" w:rsidRPr="00C76E47">
        <w:rPr>
          <w:rFonts w:ascii="Times New Roman" w:hAnsi="Times New Roman" w:cs="Times New Roman"/>
        </w:rPr>
        <w:t xml:space="preserve">) </w:t>
      </w:r>
      <w:r w:rsidR="00F86C21">
        <w:rPr>
          <w:rFonts w:ascii="Times New Roman" w:hAnsi="Times New Roman" w:cs="Times New Roman"/>
        </w:rPr>
        <w:t xml:space="preserve">that were then glossed in detail and </w:t>
      </w:r>
      <w:r w:rsidR="001D57D7" w:rsidRPr="00C76E47">
        <w:rPr>
          <w:rFonts w:ascii="Times New Roman" w:hAnsi="Times New Roman" w:cs="Times New Roman"/>
        </w:rPr>
        <w:t xml:space="preserve">supplemented </w:t>
      </w:r>
      <w:r w:rsidR="00976A29" w:rsidRPr="00C76E47">
        <w:rPr>
          <w:rFonts w:ascii="Times New Roman" w:hAnsi="Times New Roman" w:cs="Times New Roman"/>
        </w:rPr>
        <w:t xml:space="preserve">by a </w:t>
      </w:r>
      <w:r w:rsidR="00F86C21">
        <w:rPr>
          <w:rFonts w:ascii="Times New Roman" w:hAnsi="Times New Roman" w:cs="Times New Roman"/>
        </w:rPr>
        <w:t xml:space="preserve">lengthy text written in </w:t>
      </w:r>
      <w:r w:rsidR="00976A29" w:rsidRPr="00C76E47">
        <w:rPr>
          <w:rFonts w:ascii="Times New Roman" w:hAnsi="Times New Roman" w:cs="Times New Roman"/>
        </w:rPr>
        <w:t>Spanish</w:t>
      </w:r>
      <w:r w:rsidR="00F86C21">
        <w:rPr>
          <w:rFonts w:ascii="Times New Roman" w:hAnsi="Times New Roman" w:cs="Times New Roman"/>
        </w:rPr>
        <w:t xml:space="preserve"> by a legal </w:t>
      </w:r>
      <w:r w:rsidR="00976A29" w:rsidRPr="00C76E47">
        <w:rPr>
          <w:rFonts w:ascii="Times New Roman" w:hAnsi="Times New Roman" w:cs="Times New Roman"/>
        </w:rPr>
        <w:t>scribe</w:t>
      </w:r>
      <w:r w:rsidR="000F2D78">
        <w:rPr>
          <w:rFonts w:ascii="Times New Roman" w:hAnsi="Times New Roman" w:cs="Times New Roman"/>
        </w:rPr>
        <w:t>.</w:t>
      </w:r>
      <w:r w:rsidR="001E2C9D" w:rsidRPr="00C76E47">
        <w:rPr>
          <w:rFonts w:ascii="Times New Roman" w:hAnsi="Times New Roman" w:cs="Times New Roman"/>
        </w:rPr>
        <w:t xml:space="preserve"> </w:t>
      </w:r>
      <w:r w:rsidR="004F6FAF">
        <w:rPr>
          <w:rFonts w:ascii="Times New Roman" w:hAnsi="Times New Roman" w:cs="Times New Roman"/>
        </w:rPr>
        <w:t>The manuscript</w:t>
      </w:r>
      <w:r w:rsidR="000F2D78">
        <w:rPr>
          <w:rFonts w:ascii="Times New Roman" w:hAnsi="Times New Roman" w:cs="Times New Roman"/>
        </w:rPr>
        <w:t xml:space="preserve"> </w:t>
      </w:r>
      <w:r w:rsidR="001E2C9D" w:rsidRPr="00C76E47">
        <w:rPr>
          <w:rFonts w:ascii="Times New Roman" w:hAnsi="Times New Roman" w:cs="Times New Roman"/>
        </w:rPr>
        <w:t>crossed the Atlantic</w:t>
      </w:r>
      <w:r w:rsidR="000F2D78">
        <w:rPr>
          <w:rFonts w:ascii="Times New Roman" w:hAnsi="Times New Roman" w:cs="Times New Roman"/>
        </w:rPr>
        <w:t xml:space="preserve"> soon after, perhaps </w:t>
      </w:r>
      <w:r w:rsidR="00700285" w:rsidRPr="00C76E47">
        <w:rPr>
          <w:rFonts w:ascii="Times New Roman" w:hAnsi="Times New Roman" w:cs="Times New Roman"/>
        </w:rPr>
        <w:t xml:space="preserve">as early as the 1550s. </w:t>
      </w:r>
      <w:r w:rsidR="00781BA3" w:rsidRPr="00C76E47">
        <w:rPr>
          <w:rFonts w:ascii="Times New Roman" w:hAnsi="Times New Roman" w:cs="Times New Roman"/>
        </w:rPr>
        <w:t xml:space="preserve">Ever since, </w:t>
      </w:r>
      <w:r w:rsidR="00700285" w:rsidRPr="00C76E47">
        <w:rPr>
          <w:rFonts w:ascii="Times New Roman" w:hAnsi="Times New Roman" w:cs="Times New Roman"/>
        </w:rPr>
        <w:t xml:space="preserve">it has </w:t>
      </w:r>
      <w:r w:rsidR="00EE5A6A" w:rsidRPr="00C76E47">
        <w:rPr>
          <w:rFonts w:ascii="Times New Roman" w:hAnsi="Times New Roman" w:cs="Times New Roman"/>
        </w:rPr>
        <w:t>been admired, cherished, coveted, and pored over by scholars, collectors, and enthusiasts</w:t>
      </w:r>
      <w:r w:rsidR="00DD6F10" w:rsidRPr="00C76E47">
        <w:rPr>
          <w:rFonts w:ascii="Times New Roman" w:hAnsi="Times New Roman" w:cs="Times New Roman"/>
        </w:rPr>
        <w:t xml:space="preserve">. It </w:t>
      </w:r>
      <w:r w:rsidR="00B9415C" w:rsidRPr="00C76E47">
        <w:rPr>
          <w:rFonts w:ascii="Times New Roman" w:hAnsi="Times New Roman" w:cs="Times New Roman"/>
        </w:rPr>
        <w:t xml:space="preserve">was perhaps </w:t>
      </w:r>
      <w:r w:rsidR="00EE5A6A" w:rsidRPr="00C76E47">
        <w:rPr>
          <w:rFonts w:ascii="Times New Roman" w:hAnsi="Times New Roman" w:cs="Times New Roman"/>
        </w:rPr>
        <w:t>the best known and most studied</w:t>
      </w:r>
      <w:r w:rsidR="008C4381">
        <w:rPr>
          <w:rFonts w:ascii="Times New Roman" w:hAnsi="Times New Roman" w:cs="Times New Roman"/>
        </w:rPr>
        <w:t xml:space="preserve"> Mexican manuscript</w:t>
      </w:r>
      <w:r w:rsidR="00F3635E" w:rsidRPr="00C76E47">
        <w:rPr>
          <w:rFonts w:ascii="Times New Roman" w:hAnsi="Times New Roman" w:cs="Times New Roman"/>
        </w:rPr>
        <w:t xml:space="preserve"> </w:t>
      </w:r>
      <w:r w:rsidR="00EE5A6A" w:rsidRPr="00C76E47">
        <w:rPr>
          <w:rFonts w:ascii="Times New Roman" w:hAnsi="Times New Roman" w:cs="Times New Roman"/>
        </w:rPr>
        <w:t xml:space="preserve">in </w:t>
      </w:r>
      <w:r w:rsidR="000F2D78">
        <w:rPr>
          <w:rFonts w:ascii="Times New Roman" w:hAnsi="Times New Roman" w:cs="Times New Roman"/>
        </w:rPr>
        <w:t xml:space="preserve">early modern </w:t>
      </w:r>
      <w:r w:rsidR="00EE5A6A" w:rsidRPr="00C76E47">
        <w:rPr>
          <w:rFonts w:ascii="Times New Roman" w:hAnsi="Times New Roman" w:cs="Times New Roman"/>
        </w:rPr>
        <w:t xml:space="preserve">Europe </w:t>
      </w:r>
      <w:r w:rsidR="000F2D78">
        <w:rPr>
          <w:rFonts w:ascii="Times New Roman" w:hAnsi="Times New Roman" w:cs="Times New Roman"/>
        </w:rPr>
        <w:t>and, until the 1830s, the only Mexican document widely available for study through printed versions</w:t>
      </w:r>
      <w:r w:rsidR="00C648EC" w:rsidRPr="00C76E47">
        <w:rPr>
          <w:rFonts w:ascii="Times New Roman" w:hAnsi="Times New Roman" w:cs="Times New Roman"/>
        </w:rPr>
        <w:t>.</w:t>
      </w:r>
      <w:r w:rsidR="00EE5A6A" w:rsidRPr="00C76E47">
        <w:rPr>
          <w:rFonts w:ascii="Times New Roman" w:hAnsi="Times New Roman" w:cs="Times New Roman"/>
        </w:rPr>
        <w:t xml:space="preserve"> </w:t>
      </w:r>
      <w:r w:rsidR="000F2D78">
        <w:rPr>
          <w:rFonts w:ascii="Times New Roman" w:hAnsi="Times New Roman" w:cs="Times New Roman"/>
        </w:rPr>
        <w:t xml:space="preserve">It has functioned </w:t>
      </w:r>
      <w:r w:rsidR="00700285" w:rsidRPr="00C76E47">
        <w:rPr>
          <w:rFonts w:ascii="Times New Roman" w:hAnsi="Times New Roman" w:cs="Times New Roman"/>
        </w:rPr>
        <w:t xml:space="preserve">since the seventeenth </w:t>
      </w:r>
      <w:r w:rsidR="004C713A" w:rsidRPr="00C76E47">
        <w:rPr>
          <w:rFonts w:ascii="Times New Roman" w:hAnsi="Times New Roman" w:cs="Times New Roman"/>
        </w:rPr>
        <w:t xml:space="preserve">century </w:t>
      </w:r>
      <w:r w:rsidR="00EE5A6A" w:rsidRPr="00C76E47">
        <w:rPr>
          <w:rFonts w:ascii="Times New Roman" w:hAnsi="Times New Roman" w:cs="Times New Roman"/>
        </w:rPr>
        <w:t xml:space="preserve">as a sort of </w:t>
      </w:r>
      <w:r w:rsidR="001119D6">
        <w:rPr>
          <w:rFonts w:ascii="Times New Roman" w:hAnsi="Times New Roman" w:cs="Times New Roman"/>
        </w:rPr>
        <w:t>‘</w:t>
      </w:r>
      <w:r w:rsidR="00EE5A6A" w:rsidRPr="00C76E47">
        <w:rPr>
          <w:rFonts w:ascii="Times New Roman" w:hAnsi="Times New Roman" w:cs="Times New Roman"/>
        </w:rPr>
        <w:t>Rosetta Stone</w:t>
      </w:r>
      <w:r w:rsidR="001119D6">
        <w:rPr>
          <w:rFonts w:ascii="Times New Roman" w:hAnsi="Times New Roman" w:cs="Times New Roman"/>
        </w:rPr>
        <w:t>’</w:t>
      </w:r>
      <w:r w:rsidR="00EE5A6A" w:rsidRPr="00C76E47">
        <w:rPr>
          <w:rFonts w:ascii="Times New Roman" w:hAnsi="Times New Roman" w:cs="Times New Roman"/>
        </w:rPr>
        <w:t xml:space="preserve"> for </w:t>
      </w:r>
      <w:r w:rsidR="002000C5" w:rsidRPr="00C76E47">
        <w:rPr>
          <w:rFonts w:ascii="Times New Roman" w:hAnsi="Times New Roman" w:cs="Times New Roman"/>
        </w:rPr>
        <w:t xml:space="preserve">Mexican pictorial </w:t>
      </w:r>
      <w:r w:rsidR="002000C5" w:rsidRPr="00C76E47">
        <w:rPr>
          <w:rFonts w:ascii="Times New Roman" w:hAnsi="Times New Roman" w:cs="Times New Roman"/>
        </w:rPr>
        <w:lastRenderedPageBreak/>
        <w:t>writing</w:t>
      </w:r>
      <w:r w:rsidR="00EE5A6A" w:rsidRPr="00C76E47">
        <w:rPr>
          <w:rFonts w:ascii="Times New Roman" w:hAnsi="Times New Roman" w:cs="Times New Roman"/>
        </w:rPr>
        <w:t xml:space="preserve">. </w:t>
      </w:r>
      <w:r w:rsidR="004C713A" w:rsidRPr="00C76E47">
        <w:rPr>
          <w:rFonts w:ascii="Times New Roman" w:hAnsi="Times New Roman" w:cs="Times New Roman"/>
        </w:rPr>
        <w:t xml:space="preserve">Recent exhibitions have described it as one of the most important </w:t>
      </w:r>
      <w:r w:rsidR="001119D6">
        <w:rPr>
          <w:rFonts w:ascii="Times New Roman" w:hAnsi="Times New Roman" w:cs="Times New Roman"/>
        </w:rPr>
        <w:t>‘</w:t>
      </w:r>
      <w:r w:rsidR="004C713A" w:rsidRPr="00C76E47">
        <w:rPr>
          <w:rFonts w:ascii="Times New Roman" w:hAnsi="Times New Roman" w:cs="Times New Roman"/>
        </w:rPr>
        <w:t>treasures</w:t>
      </w:r>
      <w:r w:rsidR="001119D6">
        <w:rPr>
          <w:rFonts w:ascii="Times New Roman" w:hAnsi="Times New Roman" w:cs="Times New Roman"/>
        </w:rPr>
        <w:t>’</w:t>
      </w:r>
      <w:r w:rsidR="004C713A" w:rsidRPr="00C76E47">
        <w:rPr>
          <w:rFonts w:ascii="Times New Roman" w:hAnsi="Times New Roman" w:cs="Times New Roman"/>
        </w:rPr>
        <w:t xml:space="preserve"> among the magnificent collections of the </w:t>
      </w:r>
      <w:r w:rsidR="00EE5A6A" w:rsidRPr="00C76E47">
        <w:rPr>
          <w:rFonts w:ascii="Times New Roman" w:hAnsi="Times New Roman" w:cs="Times New Roman"/>
        </w:rPr>
        <w:t xml:space="preserve">Bodleian Library at Oxford, </w:t>
      </w:r>
      <w:r w:rsidR="004C713A" w:rsidRPr="00C76E47">
        <w:rPr>
          <w:rFonts w:ascii="Times New Roman" w:hAnsi="Times New Roman" w:cs="Times New Roman"/>
        </w:rPr>
        <w:t>where it has been held since 1659.</w:t>
      </w:r>
    </w:p>
    <w:p w14:paraId="5350F5F2" w14:textId="77777777" w:rsidR="004A55CA" w:rsidRPr="00C76E47" w:rsidRDefault="004A55CA" w:rsidP="004A55CA">
      <w:pPr>
        <w:spacing w:line="480" w:lineRule="auto"/>
        <w:rPr>
          <w:rFonts w:ascii="Times New Roman" w:hAnsi="Times New Roman" w:cs="Times New Roman"/>
        </w:rPr>
      </w:pPr>
    </w:p>
    <w:p w14:paraId="0E3DBC6C" w14:textId="587B0FAF" w:rsidR="004C713A" w:rsidRPr="00C76E47" w:rsidRDefault="00BC47B9" w:rsidP="004A55CA">
      <w:pPr>
        <w:spacing w:line="480" w:lineRule="auto"/>
        <w:rPr>
          <w:rFonts w:ascii="Times New Roman" w:hAnsi="Times New Roman" w:cs="Times New Roman"/>
        </w:rPr>
      </w:pPr>
      <w:r w:rsidRPr="00C76E47">
        <w:rPr>
          <w:rFonts w:ascii="Times New Roman" w:hAnsi="Times New Roman" w:cs="Times New Roman"/>
        </w:rPr>
        <w:t xml:space="preserve">The manuscript </w:t>
      </w:r>
      <w:r w:rsidR="00EE1BC9" w:rsidRPr="00C76E47">
        <w:rPr>
          <w:rFonts w:ascii="Times New Roman" w:hAnsi="Times New Roman" w:cs="Times New Roman"/>
        </w:rPr>
        <w:t xml:space="preserve">is </w:t>
      </w:r>
      <w:r w:rsidRPr="00C76E47">
        <w:rPr>
          <w:rFonts w:ascii="Times New Roman" w:hAnsi="Times New Roman" w:cs="Times New Roman"/>
        </w:rPr>
        <w:t xml:space="preserve">composed of seventy-one folios </w:t>
      </w:r>
      <w:r w:rsidR="00CD027D" w:rsidRPr="00C76E47">
        <w:rPr>
          <w:rFonts w:ascii="Times New Roman" w:hAnsi="Times New Roman" w:cs="Times New Roman"/>
        </w:rPr>
        <w:t xml:space="preserve">(leaves) </w:t>
      </w:r>
      <w:r w:rsidRPr="00C76E47">
        <w:rPr>
          <w:rFonts w:ascii="Times New Roman" w:hAnsi="Times New Roman" w:cs="Times New Roman"/>
        </w:rPr>
        <w:t xml:space="preserve">of European paper </w:t>
      </w:r>
      <w:r w:rsidR="005A13A0" w:rsidRPr="00C76E47">
        <w:rPr>
          <w:rFonts w:ascii="Times New Roman" w:hAnsi="Times New Roman" w:cs="Times New Roman"/>
        </w:rPr>
        <w:t>and measures</w:t>
      </w:r>
      <w:r w:rsidRPr="00C76E47">
        <w:rPr>
          <w:rFonts w:ascii="Times New Roman" w:hAnsi="Times New Roman" w:cs="Times New Roman"/>
        </w:rPr>
        <w:t xml:space="preserve"> roughly 30 x 21 cm (12 x 8 ¼ in). It consists of seventy-two pages of </w:t>
      </w:r>
      <w:r w:rsidR="005A13A0" w:rsidRPr="00C76E47">
        <w:rPr>
          <w:rFonts w:ascii="Times New Roman" w:hAnsi="Times New Roman" w:cs="Times New Roman"/>
        </w:rPr>
        <w:t xml:space="preserve">images </w:t>
      </w:r>
      <w:r w:rsidRPr="00C76E47">
        <w:rPr>
          <w:rFonts w:ascii="Times New Roman" w:hAnsi="Times New Roman" w:cs="Times New Roman"/>
        </w:rPr>
        <w:t>annotated with Spanish glosses</w:t>
      </w:r>
      <w:r w:rsidR="00566A01" w:rsidRPr="00C76E47">
        <w:rPr>
          <w:rFonts w:ascii="Times New Roman" w:hAnsi="Times New Roman" w:cs="Times New Roman"/>
        </w:rPr>
        <w:t xml:space="preserve"> </w:t>
      </w:r>
      <w:r w:rsidRPr="00C76E47">
        <w:rPr>
          <w:rFonts w:ascii="Times New Roman" w:hAnsi="Times New Roman" w:cs="Times New Roman"/>
        </w:rPr>
        <w:t xml:space="preserve">and sixty-three pages of textual commentary in Spanish. </w:t>
      </w:r>
      <w:r w:rsidR="005A13A0" w:rsidRPr="00C76E47">
        <w:rPr>
          <w:rFonts w:ascii="Times New Roman" w:hAnsi="Times New Roman" w:cs="Times New Roman"/>
        </w:rPr>
        <w:t xml:space="preserve">It is organized </w:t>
      </w:r>
      <w:r w:rsidRPr="00C76E47">
        <w:rPr>
          <w:rFonts w:ascii="Times New Roman" w:hAnsi="Times New Roman" w:cs="Times New Roman"/>
        </w:rPr>
        <w:t xml:space="preserve">into three </w:t>
      </w:r>
      <w:r w:rsidR="00633D1D" w:rsidRPr="00C76E47">
        <w:rPr>
          <w:rFonts w:ascii="Times New Roman" w:hAnsi="Times New Roman" w:cs="Times New Roman"/>
        </w:rPr>
        <w:t xml:space="preserve">distinct </w:t>
      </w:r>
      <w:r w:rsidRPr="00C76E47">
        <w:rPr>
          <w:rFonts w:ascii="Times New Roman" w:hAnsi="Times New Roman" w:cs="Times New Roman"/>
        </w:rPr>
        <w:t xml:space="preserve">sections. The first, in sixteen folios, presents a </w:t>
      </w:r>
      <w:r w:rsidR="00AF4716" w:rsidRPr="00C76E47">
        <w:rPr>
          <w:rFonts w:ascii="Times New Roman" w:hAnsi="Times New Roman" w:cs="Times New Roman"/>
        </w:rPr>
        <w:t xml:space="preserve">political and military </w:t>
      </w:r>
      <w:r w:rsidRPr="00C76E47">
        <w:rPr>
          <w:rFonts w:ascii="Times New Roman" w:hAnsi="Times New Roman" w:cs="Times New Roman"/>
        </w:rPr>
        <w:t>history of the Aztecs from the founding of the capital city of Tenochtitlan in 1325 to its fall in 1521</w:t>
      </w:r>
      <w:r w:rsidR="00AF4716" w:rsidRPr="00C76E47">
        <w:rPr>
          <w:rFonts w:ascii="Times New Roman" w:hAnsi="Times New Roman" w:cs="Times New Roman"/>
        </w:rPr>
        <w:t xml:space="preserve">. It is </w:t>
      </w:r>
      <w:r w:rsidRPr="00C76E47">
        <w:rPr>
          <w:rFonts w:ascii="Times New Roman" w:hAnsi="Times New Roman" w:cs="Times New Roman"/>
        </w:rPr>
        <w:t xml:space="preserve">organized chronologically according to the reign of each emperor or </w:t>
      </w:r>
      <w:r w:rsidRPr="00C76E47">
        <w:rPr>
          <w:rFonts w:ascii="Times New Roman" w:hAnsi="Times New Roman" w:cs="Times New Roman"/>
          <w:i/>
        </w:rPr>
        <w:t>tlatoani</w:t>
      </w:r>
      <w:r w:rsidRPr="00C76E47">
        <w:rPr>
          <w:rFonts w:ascii="Times New Roman" w:hAnsi="Times New Roman" w:cs="Times New Roman"/>
        </w:rPr>
        <w:t xml:space="preserve">, providing the dates of his rule through </w:t>
      </w:r>
      <w:r w:rsidR="003C6866" w:rsidRPr="00C76E47">
        <w:rPr>
          <w:rFonts w:ascii="Times New Roman" w:hAnsi="Times New Roman" w:cs="Times New Roman"/>
        </w:rPr>
        <w:t>turquoise</w:t>
      </w:r>
      <w:r w:rsidRPr="00C76E47">
        <w:rPr>
          <w:rFonts w:ascii="Times New Roman" w:hAnsi="Times New Roman" w:cs="Times New Roman"/>
        </w:rPr>
        <w:t>-colored year glyphs and the names of the towns he brought into the imperial fold. The second and longest section, in thirty-nine folios, relates Aztec imperial geography to economics</w:t>
      </w:r>
      <w:r w:rsidR="00BA5142" w:rsidRPr="00C76E47">
        <w:rPr>
          <w:rFonts w:ascii="Times New Roman" w:hAnsi="Times New Roman" w:cs="Times New Roman"/>
        </w:rPr>
        <w:t>.</w:t>
      </w:r>
      <w:r w:rsidR="0061036F">
        <w:rPr>
          <w:rFonts w:ascii="Times New Roman" w:hAnsi="Times New Roman" w:cs="Times New Roman"/>
        </w:rPr>
        <w:t xml:space="preserve"> </w:t>
      </w:r>
      <w:r w:rsidR="00BA5142" w:rsidRPr="00C76E47">
        <w:rPr>
          <w:rFonts w:ascii="Times New Roman" w:hAnsi="Times New Roman" w:cs="Times New Roman"/>
        </w:rPr>
        <w:t xml:space="preserve">It details </w:t>
      </w:r>
      <w:r w:rsidR="003E0067" w:rsidRPr="00C76E47">
        <w:rPr>
          <w:rFonts w:ascii="Times New Roman" w:hAnsi="Times New Roman" w:cs="Times New Roman"/>
        </w:rPr>
        <w:t xml:space="preserve">the tax </w:t>
      </w:r>
      <w:r w:rsidRPr="00C76E47">
        <w:rPr>
          <w:rFonts w:ascii="Times New Roman" w:hAnsi="Times New Roman" w:cs="Times New Roman"/>
        </w:rPr>
        <w:t xml:space="preserve">obligations of towns </w:t>
      </w:r>
      <w:r w:rsidR="00987A97" w:rsidRPr="00C76E47">
        <w:rPr>
          <w:rFonts w:ascii="Times New Roman" w:hAnsi="Times New Roman" w:cs="Times New Roman"/>
        </w:rPr>
        <w:t xml:space="preserve">subjected to Aztec rule, </w:t>
      </w:r>
      <w:r w:rsidRPr="00C76E47">
        <w:rPr>
          <w:rFonts w:ascii="Times New Roman" w:hAnsi="Times New Roman" w:cs="Times New Roman"/>
        </w:rPr>
        <w:t xml:space="preserve">organized by region and specifying </w:t>
      </w:r>
      <w:r w:rsidR="00E37ADE" w:rsidRPr="00C76E47">
        <w:rPr>
          <w:rFonts w:ascii="Times New Roman" w:hAnsi="Times New Roman" w:cs="Times New Roman"/>
        </w:rPr>
        <w:t>the</w:t>
      </w:r>
      <w:r w:rsidRPr="00C76E47">
        <w:rPr>
          <w:rFonts w:ascii="Times New Roman" w:hAnsi="Times New Roman" w:cs="Times New Roman"/>
        </w:rPr>
        <w:t xml:space="preserve"> items </w:t>
      </w:r>
      <w:r w:rsidR="00E37ADE" w:rsidRPr="00C76E47">
        <w:rPr>
          <w:rFonts w:ascii="Times New Roman" w:hAnsi="Times New Roman" w:cs="Times New Roman"/>
        </w:rPr>
        <w:t xml:space="preserve">they contributed, among them </w:t>
      </w:r>
      <w:r w:rsidRPr="00C76E47">
        <w:rPr>
          <w:rFonts w:ascii="Times New Roman" w:hAnsi="Times New Roman" w:cs="Times New Roman"/>
        </w:rPr>
        <w:t>fine feathers, animal skins, precious stones, gold, mantles, liquidambar, and cacao beans.</w:t>
      </w:r>
      <w:r w:rsidR="00956728" w:rsidRPr="00C76E47">
        <w:rPr>
          <w:rStyle w:val="EndnoteReference"/>
          <w:rFonts w:ascii="Times New Roman" w:hAnsi="Times New Roman" w:cs="Times New Roman"/>
        </w:rPr>
        <w:t xml:space="preserve"> </w:t>
      </w:r>
      <w:r w:rsidR="004C713A" w:rsidRPr="00C76E47">
        <w:rPr>
          <w:rFonts w:ascii="Times New Roman" w:hAnsi="Times New Roman" w:cs="Times New Roman"/>
        </w:rPr>
        <w:t>T</w:t>
      </w:r>
      <w:r w:rsidRPr="00C76E47">
        <w:rPr>
          <w:rFonts w:ascii="Times New Roman" w:hAnsi="Times New Roman" w:cs="Times New Roman"/>
        </w:rPr>
        <w:t xml:space="preserve">he third </w:t>
      </w:r>
      <w:r w:rsidR="004C713A" w:rsidRPr="00C76E47">
        <w:rPr>
          <w:rFonts w:ascii="Times New Roman" w:hAnsi="Times New Roman" w:cs="Times New Roman"/>
        </w:rPr>
        <w:t>section,</w:t>
      </w:r>
      <w:r w:rsidR="00406364" w:rsidRPr="00C76E47">
        <w:rPr>
          <w:rFonts w:ascii="Times New Roman" w:hAnsi="Times New Roman" w:cs="Times New Roman"/>
        </w:rPr>
        <w:t xml:space="preserve"> which occupies</w:t>
      </w:r>
      <w:r w:rsidRPr="00C76E47">
        <w:rPr>
          <w:rFonts w:ascii="Times New Roman" w:hAnsi="Times New Roman" w:cs="Times New Roman"/>
        </w:rPr>
        <w:t xml:space="preserve"> sixteen folios</w:t>
      </w:r>
      <w:r w:rsidR="00406364" w:rsidRPr="00C76E47">
        <w:rPr>
          <w:rFonts w:ascii="Times New Roman" w:hAnsi="Times New Roman" w:cs="Times New Roman"/>
        </w:rPr>
        <w:t>,</w:t>
      </w:r>
      <w:r w:rsidRPr="00C76E47">
        <w:rPr>
          <w:rFonts w:ascii="Times New Roman" w:hAnsi="Times New Roman" w:cs="Times New Roman"/>
        </w:rPr>
        <w:t xml:space="preserve"> describes </w:t>
      </w:r>
      <w:r w:rsidR="006615CD" w:rsidRPr="00C76E47">
        <w:rPr>
          <w:rFonts w:ascii="Times New Roman" w:hAnsi="Times New Roman" w:cs="Times New Roman"/>
        </w:rPr>
        <w:t xml:space="preserve">life in the </w:t>
      </w:r>
      <w:r w:rsidRPr="00C76E47">
        <w:rPr>
          <w:rFonts w:ascii="Times New Roman" w:hAnsi="Times New Roman" w:cs="Times New Roman"/>
        </w:rPr>
        <w:t xml:space="preserve">Aztec </w:t>
      </w:r>
      <w:r w:rsidR="006615CD" w:rsidRPr="00C76E47">
        <w:rPr>
          <w:rFonts w:ascii="Times New Roman" w:hAnsi="Times New Roman" w:cs="Times New Roman"/>
        </w:rPr>
        <w:t>world</w:t>
      </w:r>
      <w:r w:rsidRPr="00C76E47">
        <w:rPr>
          <w:rFonts w:ascii="Times New Roman" w:hAnsi="Times New Roman" w:cs="Times New Roman"/>
        </w:rPr>
        <w:t>: the upbringing of boys and girls from birth until age fifteen; various occupations</w:t>
      </w:r>
      <w:r w:rsidR="000E00D4" w:rsidRPr="00C76E47">
        <w:rPr>
          <w:rFonts w:ascii="Times New Roman" w:hAnsi="Times New Roman" w:cs="Times New Roman"/>
        </w:rPr>
        <w:t xml:space="preserve"> and trades</w:t>
      </w:r>
      <w:r w:rsidRPr="00C76E47">
        <w:rPr>
          <w:rFonts w:ascii="Times New Roman" w:hAnsi="Times New Roman" w:cs="Times New Roman"/>
        </w:rPr>
        <w:t xml:space="preserve">, including detailed depictions of military orders and their uniforms; </w:t>
      </w:r>
      <w:r w:rsidR="00A101FE" w:rsidRPr="00C76E47">
        <w:rPr>
          <w:rFonts w:ascii="Times New Roman" w:hAnsi="Times New Roman" w:cs="Times New Roman"/>
        </w:rPr>
        <w:t xml:space="preserve">and </w:t>
      </w:r>
      <w:r w:rsidRPr="00C76E47">
        <w:rPr>
          <w:rFonts w:ascii="Times New Roman" w:hAnsi="Times New Roman" w:cs="Times New Roman"/>
        </w:rPr>
        <w:t xml:space="preserve">information about governance and </w:t>
      </w:r>
      <w:r w:rsidR="00A101FE" w:rsidRPr="00C76E47">
        <w:rPr>
          <w:rFonts w:ascii="Times New Roman" w:hAnsi="Times New Roman" w:cs="Times New Roman"/>
        </w:rPr>
        <w:t>customs</w:t>
      </w:r>
      <w:r w:rsidRPr="00C76E47">
        <w:rPr>
          <w:rFonts w:ascii="Times New Roman" w:hAnsi="Times New Roman" w:cs="Times New Roman"/>
        </w:rPr>
        <w:t xml:space="preserve">. </w:t>
      </w:r>
      <w:r w:rsidR="0061036F">
        <w:rPr>
          <w:rFonts w:ascii="Times New Roman" w:hAnsi="Times New Roman" w:cs="Times New Roman"/>
        </w:rPr>
        <w:t>The manuscript</w:t>
      </w:r>
      <w:r w:rsidR="0061036F" w:rsidRPr="00C76E47">
        <w:rPr>
          <w:rFonts w:ascii="Times New Roman" w:hAnsi="Times New Roman" w:cs="Times New Roman"/>
        </w:rPr>
        <w:t xml:space="preserve"> </w:t>
      </w:r>
      <w:r w:rsidRPr="00C76E47">
        <w:rPr>
          <w:rFonts w:ascii="Times New Roman" w:hAnsi="Times New Roman" w:cs="Times New Roman"/>
        </w:rPr>
        <w:t xml:space="preserve">provides </w:t>
      </w:r>
      <w:r w:rsidR="00B02B76">
        <w:rPr>
          <w:rFonts w:ascii="Times New Roman" w:hAnsi="Times New Roman" w:cs="Times New Roman"/>
        </w:rPr>
        <w:t>a trove of details about pre-</w:t>
      </w:r>
      <w:r w:rsidR="0017473F">
        <w:rPr>
          <w:rFonts w:ascii="Times New Roman" w:hAnsi="Times New Roman" w:cs="Times New Roman"/>
        </w:rPr>
        <w:t xml:space="preserve">contact </w:t>
      </w:r>
      <w:r w:rsidR="00B02B76">
        <w:rPr>
          <w:rFonts w:ascii="Times New Roman" w:hAnsi="Times New Roman" w:cs="Times New Roman"/>
        </w:rPr>
        <w:t>Aztec</w:t>
      </w:r>
      <w:r w:rsidR="00D3491C" w:rsidRPr="00C76E47">
        <w:rPr>
          <w:rFonts w:ascii="Times New Roman" w:hAnsi="Times New Roman" w:cs="Times New Roman"/>
        </w:rPr>
        <w:t xml:space="preserve"> </w:t>
      </w:r>
      <w:r w:rsidR="00B02B76">
        <w:rPr>
          <w:rFonts w:ascii="Times New Roman" w:hAnsi="Times New Roman" w:cs="Times New Roman"/>
        </w:rPr>
        <w:t>life</w:t>
      </w:r>
      <w:r w:rsidR="003B0AB4">
        <w:rPr>
          <w:rFonts w:ascii="Times New Roman" w:hAnsi="Times New Roman" w:cs="Times New Roman"/>
        </w:rPr>
        <w:t>.</w:t>
      </w:r>
    </w:p>
    <w:p w14:paraId="449D774C" w14:textId="77777777" w:rsidR="004A55CA" w:rsidRPr="00C76E47" w:rsidRDefault="004A55CA" w:rsidP="004A55CA">
      <w:pPr>
        <w:spacing w:line="480" w:lineRule="auto"/>
        <w:rPr>
          <w:rFonts w:ascii="Times New Roman" w:hAnsi="Times New Roman" w:cs="Times New Roman"/>
        </w:rPr>
      </w:pPr>
    </w:p>
    <w:p w14:paraId="523E1192" w14:textId="46D8E2CE" w:rsidR="004A55CA" w:rsidRPr="00C76E47" w:rsidRDefault="00462ACF" w:rsidP="004A55CA">
      <w:pPr>
        <w:spacing w:line="480" w:lineRule="auto"/>
        <w:rPr>
          <w:rFonts w:ascii="Times New Roman" w:hAnsi="Times New Roman" w:cs="Times New Roman"/>
        </w:rPr>
      </w:pPr>
      <w:r w:rsidRPr="00C76E47">
        <w:rPr>
          <w:rFonts w:ascii="Times New Roman" w:hAnsi="Times New Roman" w:cs="Times New Roman"/>
        </w:rPr>
        <w:t xml:space="preserve">The </w:t>
      </w:r>
      <w:r w:rsidR="00E861D4" w:rsidRPr="00C76E47">
        <w:rPr>
          <w:rFonts w:ascii="Times New Roman" w:hAnsi="Times New Roman" w:cs="Times New Roman"/>
          <w:i/>
          <w:iCs/>
        </w:rPr>
        <w:t>Codex Mendoza</w:t>
      </w:r>
      <w:r w:rsidRPr="00C76E47">
        <w:rPr>
          <w:rFonts w:ascii="Times New Roman" w:hAnsi="Times New Roman" w:cs="Times New Roman"/>
          <w:i/>
          <w:iCs/>
        </w:rPr>
        <w:t xml:space="preserve"> </w:t>
      </w:r>
      <w:r w:rsidR="00365AB0" w:rsidRPr="00C76E47">
        <w:rPr>
          <w:rFonts w:ascii="Times New Roman" w:hAnsi="Times New Roman" w:cs="Times New Roman"/>
        </w:rPr>
        <w:t xml:space="preserve">was produced through a complex process that involved </w:t>
      </w:r>
      <w:r w:rsidR="001269C4">
        <w:rPr>
          <w:rFonts w:ascii="Times New Roman" w:hAnsi="Times New Roman" w:cs="Times New Roman"/>
        </w:rPr>
        <w:t>multiple</w:t>
      </w:r>
      <w:r w:rsidR="00365AB0" w:rsidRPr="00C76E47">
        <w:rPr>
          <w:rFonts w:ascii="Times New Roman" w:hAnsi="Times New Roman" w:cs="Times New Roman"/>
        </w:rPr>
        <w:t xml:space="preserve"> </w:t>
      </w:r>
      <w:r w:rsidR="00FC4572" w:rsidRPr="00C76E47">
        <w:rPr>
          <w:rFonts w:ascii="Times New Roman" w:hAnsi="Times New Roman" w:cs="Times New Roman"/>
        </w:rPr>
        <w:t xml:space="preserve">makers </w:t>
      </w:r>
      <w:r w:rsidR="00F8136B" w:rsidRPr="00C76E47">
        <w:rPr>
          <w:rFonts w:ascii="Times New Roman" w:hAnsi="Times New Roman" w:cs="Times New Roman"/>
        </w:rPr>
        <w:t xml:space="preserve">and </w:t>
      </w:r>
      <w:r w:rsidR="00365AB0" w:rsidRPr="00C76E47">
        <w:rPr>
          <w:rFonts w:ascii="Times New Roman" w:hAnsi="Times New Roman" w:cs="Times New Roman"/>
        </w:rPr>
        <w:t xml:space="preserve">a sequence of steps. </w:t>
      </w:r>
      <w:r w:rsidR="00F8136B" w:rsidRPr="00C76E47">
        <w:rPr>
          <w:rFonts w:ascii="Times New Roman" w:hAnsi="Times New Roman" w:cs="Times New Roman"/>
        </w:rPr>
        <w:t>F</w:t>
      </w:r>
      <w:r w:rsidR="00365AB0" w:rsidRPr="00C76E47">
        <w:rPr>
          <w:rFonts w:ascii="Times New Roman" w:hAnsi="Times New Roman" w:cs="Times New Roman"/>
        </w:rPr>
        <w:t xml:space="preserve">irst, </w:t>
      </w:r>
      <w:r w:rsidR="0061036F">
        <w:rPr>
          <w:rFonts w:ascii="Times New Roman" w:hAnsi="Times New Roman" w:cs="Times New Roman"/>
        </w:rPr>
        <w:t>Nahua</w:t>
      </w:r>
      <w:r w:rsidR="0061036F" w:rsidRPr="00C76E47">
        <w:rPr>
          <w:rFonts w:ascii="Times New Roman" w:hAnsi="Times New Roman" w:cs="Times New Roman"/>
        </w:rPr>
        <w:t xml:space="preserve"> </w:t>
      </w:r>
      <w:r w:rsidR="00C05AE3" w:rsidRPr="00C76E47">
        <w:rPr>
          <w:rFonts w:ascii="Times New Roman" w:hAnsi="Times New Roman" w:cs="Times New Roman"/>
        </w:rPr>
        <w:t>painter</w:t>
      </w:r>
      <w:r w:rsidR="006E745B" w:rsidRPr="00C76E47">
        <w:rPr>
          <w:rFonts w:ascii="Times New Roman" w:hAnsi="Times New Roman" w:cs="Times New Roman"/>
        </w:rPr>
        <w:t xml:space="preserve">-scribes </w:t>
      </w:r>
      <w:r w:rsidRPr="00C76E47">
        <w:rPr>
          <w:rFonts w:ascii="Times New Roman" w:hAnsi="Times New Roman" w:cs="Times New Roman"/>
        </w:rPr>
        <w:t xml:space="preserve">created the </w:t>
      </w:r>
      <w:r w:rsidR="00DE373D" w:rsidRPr="00C76E47">
        <w:rPr>
          <w:rFonts w:ascii="Times New Roman" w:hAnsi="Times New Roman" w:cs="Times New Roman"/>
        </w:rPr>
        <w:t>pictorial</w:t>
      </w:r>
      <w:r w:rsidR="004C713A" w:rsidRPr="00C76E47">
        <w:rPr>
          <w:rFonts w:ascii="Times New Roman" w:hAnsi="Times New Roman" w:cs="Times New Roman"/>
        </w:rPr>
        <w:t xml:space="preserve"> </w:t>
      </w:r>
      <w:r w:rsidRPr="00C76E47">
        <w:rPr>
          <w:rFonts w:ascii="Times New Roman" w:hAnsi="Times New Roman" w:cs="Times New Roman"/>
        </w:rPr>
        <w:t>content</w:t>
      </w:r>
      <w:r w:rsidR="00781126" w:rsidRPr="00C76E47">
        <w:rPr>
          <w:rFonts w:ascii="Times New Roman" w:hAnsi="Times New Roman" w:cs="Times New Roman"/>
        </w:rPr>
        <w:t xml:space="preserve">. They used for the most part </w:t>
      </w:r>
      <w:r w:rsidR="00507013" w:rsidRPr="00C76E47">
        <w:rPr>
          <w:rFonts w:ascii="Times New Roman" w:hAnsi="Times New Roman" w:cs="Times New Roman"/>
        </w:rPr>
        <w:t>pre-Hispanic pictorial conventions</w:t>
      </w:r>
      <w:r w:rsidR="00781126" w:rsidRPr="00C76E47">
        <w:rPr>
          <w:rFonts w:ascii="Times New Roman" w:hAnsi="Times New Roman" w:cs="Times New Roman"/>
        </w:rPr>
        <w:t>,</w:t>
      </w:r>
      <w:r w:rsidR="00507013" w:rsidRPr="00C76E47">
        <w:rPr>
          <w:rFonts w:ascii="Times New Roman" w:hAnsi="Times New Roman" w:cs="Times New Roman"/>
        </w:rPr>
        <w:t xml:space="preserve"> though some of the images </w:t>
      </w:r>
      <w:r w:rsidR="00552C01">
        <w:rPr>
          <w:rFonts w:ascii="Times New Roman" w:hAnsi="Times New Roman" w:cs="Times New Roman"/>
        </w:rPr>
        <w:t xml:space="preserve">employ </w:t>
      </w:r>
      <w:r w:rsidR="0061036F">
        <w:rPr>
          <w:rFonts w:ascii="Times New Roman" w:hAnsi="Times New Roman" w:cs="Times New Roman"/>
        </w:rPr>
        <w:t>European elements</w:t>
      </w:r>
      <w:r w:rsidR="004C713A" w:rsidRPr="00C76E47">
        <w:rPr>
          <w:rFonts w:ascii="Times New Roman" w:hAnsi="Times New Roman" w:cs="Times New Roman"/>
        </w:rPr>
        <w:t xml:space="preserve">. </w:t>
      </w:r>
      <w:r w:rsidR="00CB3941" w:rsidRPr="00C76E47">
        <w:rPr>
          <w:rFonts w:ascii="Times New Roman" w:hAnsi="Times New Roman" w:cs="Times New Roman"/>
        </w:rPr>
        <w:t>Then, following</w:t>
      </w:r>
      <w:r w:rsidR="004C713A" w:rsidRPr="00C76E47">
        <w:rPr>
          <w:rFonts w:ascii="Times New Roman" w:hAnsi="Times New Roman" w:cs="Times New Roman"/>
        </w:rPr>
        <w:t xml:space="preserve"> </w:t>
      </w:r>
      <w:r w:rsidR="007210FA">
        <w:rPr>
          <w:rFonts w:ascii="Times New Roman" w:hAnsi="Times New Roman" w:cs="Times New Roman"/>
        </w:rPr>
        <w:t xml:space="preserve">local </w:t>
      </w:r>
      <w:r w:rsidR="004C713A" w:rsidRPr="00C76E47">
        <w:rPr>
          <w:rFonts w:ascii="Times New Roman" w:hAnsi="Times New Roman" w:cs="Times New Roman"/>
        </w:rPr>
        <w:t>custom, these figures provided the b</w:t>
      </w:r>
      <w:r w:rsidR="009E3D59" w:rsidRPr="00C76E47">
        <w:rPr>
          <w:rFonts w:ascii="Times New Roman" w:hAnsi="Times New Roman" w:cs="Times New Roman"/>
        </w:rPr>
        <w:t xml:space="preserve">asis for a spoken </w:t>
      </w:r>
      <w:r w:rsidR="004C713A" w:rsidRPr="00C76E47">
        <w:rPr>
          <w:rFonts w:ascii="Times New Roman" w:hAnsi="Times New Roman" w:cs="Times New Roman"/>
        </w:rPr>
        <w:t xml:space="preserve">account in </w:t>
      </w:r>
      <w:r w:rsidR="004C713A" w:rsidRPr="00C76E47">
        <w:rPr>
          <w:rFonts w:ascii="Times New Roman" w:hAnsi="Times New Roman" w:cs="Times New Roman"/>
        </w:rPr>
        <w:lastRenderedPageBreak/>
        <w:t>Nahuatl</w:t>
      </w:r>
      <w:r w:rsidR="00F8136B" w:rsidRPr="00C76E47">
        <w:rPr>
          <w:rFonts w:ascii="Times New Roman" w:hAnsi="Times New Roman" w:cs="Times New Roman"/>
        </w:rPr>
        <w:t xml:space="preserve"> that </w:t>
      </w:r>
      <w:r w:rsidR="00845EF2" w:rsidRPr="00C76E47">
        <w:rPr>
          <w:rFonts w:ascii="Times New Roman" w:hAnsi="Times New Roman" w:cs="Times New Roman"/>
        </w:rPr>
        <w:t>explained</w:t>
      </w:r>
      <w:r w:rsidR="00F91A8B" w:rsidRPr="00C76E47">
        <w:rPr>
          <w:rFonts w:ascii="Times New Roman" w:hAnsi="Times New Roman" w:cs="Times New Roman"/>
        </w:rPr>
        <w:t xml:space="preserve"> their meaning and augmented their content</w:t>
      </w:r>
      <w:r w:rsidR="007F4CBF" w:rsidRPr="00C76E47">
        <w:rPr>
          <w:rFonts w:ascii="Times New Roman" w:hAnsi="Times New Roman" w:cs="Times New Roman"/>
        </w:rPr>
        <w:t xml:space="preserve"> by providing details </w:t>
      </w:r>
      <w:r w:rsidR="001520EC" w:rsidRPr="00C76E47">
        <w:rPr>
          <w:rFonts w:ascii="Times New Roman" w:hAnsi="Times New Roman" w:cs="Times New Roman"/>
        </w:rPr>
        <w:t xml:space="preserve">that went beyond </w:t>
      </w:r>
      <w:r w:rsidR="007F4CBF" w:rsidRPr="00C76E47">
        <w:rPr>
          <w:rFonts w:ascii="Times New Roman" w:hAnsi="Times New Roman" w:cs="Times New Roman"/>
        </w:rPr>
        <w:t>the pictures</w:t>
      </w:r>
      <w:r w:rsidR="00F91A8B" w:rsidRPr="00C76E47">
        <w:rPr>
          <w:rFonts w:ascii="Times New Roman" w:hAnsi="Times New Roman" w:cs="Times New Roman"/>
        </w:rPr>
        <w:t xml:space="preserve">. </w:t>
      </w:r>
      <w:r w:rsidR="0061036F">
        <w:rPr>
          <w:rFonts w:ascii="Times New Roman" w:hAnsi="Times New Roman" w:cs="Times New Roman"/>
        </w:rPr>
        <w:t>In a</w:t>
      </w:r>
      <w:r w:rsidR="00F91A8B" w:rsidRPr="00C76E47">
        <w:rPr>
          <w:rFonts w:ascii="Times New Roman" w:hAnsi="Times New Roman" w:cs="Times New Roman"/>
        </w:rPr>
        <w:t xml:space="preserve"> third step</w:t>
      </w:r>
      <w:r w:rsidR="0061036F">
        <w:rPr>
          <w:rFonts w:ascii="Times New Roman" w:hAnsi="Times New Roman" w:cs="Times New Roman"/>
        </w:rPr>
        <w:t xml:space="preserve">, </w:t>
      </w:r>
      <w:r w:rsidR="00BF5626" w:rsidRPr="00C76E47">
        <w:rPr>
          <w:rFonts w:ascii="Times New Roman" w:hAnsi="Times New Roman" w:cs="Times New Roman"/>
        </w:rPr>
        <w:t xml:space="preserve">Spaniards </w:t>
      </w:r>
      <w:r w:rsidR="0061036F">
        <w:rPr>
          <w:rFonts w:ascii="Times New Roman" w:hAnsi="Times New Roman" w:cs="Times New Roman"/>
        </w:rPr>
        <w:t xml:space="preserve">entered </w:t>
      </w:r>
      <w:r w:rsidR="00287479" w:rsidRPr="00C76E47">
        <w:rPr>
          <w:rFonts w:ascii="Times New Roman" w:hAnsi="Times New Roman" w:cs="Times New Roman"/>
        </w:rPr>
        <w:t xml:space="preserve">the process: a Spanish interpreter fluent in Nahuatl </w:t>
      </w:r>
      <w:r w:rsidR="0093147B" w:rsidRPr="00C76E47">
        <w:rPr>
          <w:rFonts w:ascii="Times New Roman" w:hAnsi="Times New Roman" w:cs="Times New Roman"/>
        </w:rPr>
        <w:t>(</w:t>
      </w:r>
      <w:proofErr w:type="spellStart"/>
      <w:r w:rsidR="00287479" w:rsidRPr="00C76E47">
        <w:rPr>
          <w:rFonts w:ascii="Times New Roman" w:hAnsi="Times New Roman" w:cs="Times New Roman"/>
          <w:i/>
          <w:iCs/>
        </w:rPr>
        <w:t>nahuatlato</w:t>
      </w:r>
      <w:proofErr w:type="spellEnd"/>
      <w:r w:rsidR="00287479" w:rsidRPr="00C76E47">
        <w:rPr>
          <w:rFonts w:ascii="Times New Roman" w:hAnsi="Times New Roman" w:cs="Times New Roman"/>
        </w:rPr>
        <w:t xml:space="preserve">) provided a Spanish-language oral interpretation of the indigenous speech. Then, a Spanish scribe </w:t>
      </w:r>
      <w:r w:rsidR="00845EF2" w:rsidRPr="00C76E47">
        <w:rPr>
          <w:rFonts w:ascii="Times New Roman" w:hAnsi="Times New Roman" w:cs="Times New Roman"/>
        </w:rPr>
        <w:t>took down the Spanish recitation to compose the</w:t>
      </w:r>
      <w:r w:rsidR="007F4CBF" w:rsidRPr="00C76E47">
        <w:rPr>
          <w:rFonts w:ascii="Times New Roman" w:hAnsi="Times New Roman" w:cs="Times New Roman"/>
        </w:rPr>
        <w:t xml:space="preserve"> </w:t>
      </w:r>
      <w:r w:rsidR="00CA6C23" w:rsidRPr="00C76E47">
        <w:rPr>
          <w:rFonts w:ascii="Times New Roman" w:hAnsi="Times New Roman" w:cs="Times New Roman"/>
        </w:rPr>
        <w:t xml:space="preserve">lengthy textual </w:t>
      </w:r>
      <w:r w:rsidR="00795E96" w:rsidRPr="00C76E47">
        <w:rPr>
          <w:rFonts w:ascii="Times New Roman" w:hAnsi="Times New Roman" w:cs="Times New Roman"/>
        </w:rPr>
        <w:t>passages</w:t>
      </w:r>
      <w:r w:rsidR="007F4CBF" w:rsidRPr="00C76E47">
        <w:rPr>
          <w:rFonts w:ascii="Times New Roman" w:hAnsi="Times New Roman" w:cs="Times New Roman"/>
        </w:rPr>
        <w:t xml:space="preserve">. At some point, the scribe annotated every individual figure with a brief Spanish gloss </w:t>
      </w:r>
      <w:r w:rsidR="001129CF" w:rsidRPr="00C76E47">
        <w:rPr>
          <w:rFonts w:ascii="Times New Roman" w:hAnsi="Times New Roman" w:cs="Times New Roman"/>
        </w:rPr>
        <w:t xml:space="preserve">that translated image into text and, often, </w:t>
      </w:r>
      <w:r w:rsidR="0061036F">
        <w:rPr>
          <w:rFonts w:ascii="Times New Roman" w:hAnsi="Times New Roman" w:cs="Times New Roman"/>
        </w:rPr>
        <w:t>Nahua</w:t>
      </w:r>
      <w:r w:rsidR="0061036F" w:rsidRPr="00C76E47">
        <w:rPr>
          <w:rFonts w:ascii="Times New Roman" w:hAnsi="Times New Roman" w:cs="Times New Roman"/>
        </w:rPr>
        <w:t xml:space="preserve"> </w:t>
      </w:r>
      <w:r w:rsidR="001129CF" w:rsidRPr="00C76E47">
        <w:rPr>
          <w:rFonts w:ascii="Times New Roman" w:hAnsi="Times New Roman" w:cs="Times New Roman"/>
        </w:rPr>
        <w:t xml:space="preserve">concepts into </w:t>
      </w:r>
      <w:r w:rsidR="007210FA">
        <w:rPr>
          <w:rFonts w:ascii="Times New Roman" w:hAnsi="Times New Roman" w:cs="Times New Roman"/>
        </w:rPr>
        <w:t>Hispanic</w:t>
      </w:r>
      <w:r w:rsidR="001129CF" w:rsidRPr="00C76E47">
        <w:rPr>
          <w:rFonts w:ascii="Times New Roman" w:hAnsi="Times New Roman" w:cs="Times New Roman"/>
        </w:rPr>
        <w:t xml:space="preserve"> ones. Finally, the scribe composed a closing statement that reveals details about this process and highlights the complexities of translation. </w:t>
      </w:r>
      <w:r w:rsidR="00795E96" w:rsidRPr="00C76E47">
        <w:rPr>
          <w:rFonts w:ascii="Times New Roman" w:hAnsi="Times New Roman" w:cs="Times New Roman"/>
        </w:rPr>
        <w:t xml:space="preserve">Thus, while the work is customarily described as an illustrated manuscript, it </w:t>
      </w:r>
      <w:r w:rsidR="0061036F">
        <w:rPr>
          <w:rFonts w:ascii="Times New Roman" w:hAnsi="Times New Roman" w:cs="Times New Roman"/>
        </w:rPr>
        <w:t>can</w:t>
      </w:r>
      <w:r w:rsidR="0061036F" w:rsidRPr="00C76E47">
        <w:rPr>
          <w:rFonts w:ascii="Times New Roman" w:hAnsi="Times New Roman" w:cs="Times New Roman"/>
        </w:rPr>
        <w:t xml:space="preserve"> </w:t>
      </w:r>
      <w:r w:rsidR="00795E96" w:rsidRPr="00C76E47">
        <w:rPr>
          <w:rFonts w:ascii="Times New Roman" w:hAnsi="Times New Roman" w:cs="Times New Roman"/>
        </w:rPr>
        <w:t xml:space="preserve">more accurately be </w:t>
      </w:r>
      <w:r w:rsidR="0061036F">
        <w:rPr>
          <w:rFonts w:ascii="Times New Roman" w:hAnsi="Times New Roman" w:cs="Times New Roman"/>
        </w:rPr>
        <w:t>considered</w:t>
      </w:r>
      <w:r w:rsidR="0061036F" w:rsidRPr="00C76E47">
        <w:rPr>
          <w:rFonts w:ascii="Times New Roman" w:hAnsi="Times New Roman" w:cs="Times New Roman"/>
        </w:rPr>
        <w:t xml:space="preserve"> </w:t>
      </w:r>
      <w:r w:rsidR="00795E96" w:rsidRPr="00C76E47">
        <w:rPr>
          <w:rFonts w:ascii="Times New Roman" w:hAnsi="Times New Roman" w:cs="Times New Roman"/>
        </w:rPr>
        <w:t xml:space="preserve">an extensively annotated collection of </w:t>
      </w:r>
      <w:r w:rsidR="00EC1C54" w:rsidRPr="00C76E47">
        <w:rPr>
          <w:rFonts w:ascii="Times New Roman" w:hAnsi="Times New Roman" w:cs="Times New Roman"/>
        </w:rPr>
        <w:t>drawings</w:t>
      </w:r>
      <w:r w:rsidR="00795E96" w:rsidRPr="00C76E47">
        <w:rPr>
          <w:rFonts w:ascii="Times New Roman" w:hAnsi="Times New Roman" w:cs="Times New Roman"/>
        </w:rPr>
        <w:t>.</w:t>
      </w:r>
    </w:p>
    <w:p w14:paraId="339F09AD" w14:textId="77777777" w:rsidR="004A55CA" w:rsidRPr="00C76E47" w:rsidRDefault="004A55CA" w:rsidP="004A55CA">
      <w:pPr>
        <w:spacing w:line="480" w:lineRule="auto"/>
        <w:rPr>
          <w:rFonts w:ascii="Times New Roman" w:hAnsi="Times New Roman" w:cs="Times New Roman"/>
        </w:rPr>
      </w:pPr>
    </w:p>
    <w:p w14:paraId="67B86D69" w14:textId="6909DBE8" w:rsidR="004A55CA" w:rsidRPr="00C76E47" w:rsidRDefault="001129CF" w:rsidP="004A55CA">
      <w:pPr>
        <w:spacing w:line="480" w:lineRule="auto"/>
        <w:rPr>
          <w:rFonts w:ascii="Times New Roman" w:hAnsi="Times New Roman" w:cs="Times New Roman"/>
        </w:rPr>
      </w:pPr>
      <w:r w:rsidRPr="00C76E47">
        <w:rPr>
          <w:rFonts w:ascii="Times New Roman" w:hAnsi="Times New Roman" w:cs="Times New Roman"/>
        </w:rPr>
        <w:t xml:space="preserve">As a result of </w:t>
      </w:r>
      <w:r w:rsidR="00BF4202" w:rsidRPr="00C76E47">
        <w:rPr>
          <w:rFonts w:ascii="Times New Roman" w:hAnsi="Times New Roman" w:cs="Times New Roman"/>
        </w:rPr>
        <w:t>the</w:t>
      </w:r>
      <w:r w:rsidRPr="00C76E47">
        <w:rPr>
          <w:rFonts w:ascii="Times New Roman" w:hAnsi="Times New Roman" w:cs="Times New Roman"/>
        </w:rPr>
        <w:t xml:space="preserve"> </w:t>
      </w:r>
      <w:r w:rsidR="004C713A" w:rsidRPr="00C76E47">
        <w:rPr>
          <w:rFonts w:ascii="Times New Roman" w:hAnsi="Times New Roman" w:cs="Times New Roman"/>
        </w:rPr>
        <w:t>complex</w:t>
      </w:r>
      <w:r w:rsidR="006D69C2" w:rsidRPr="00C76E47">
        <w:rPr>
          <w:rFonts w:ascii="Times New Roman" w:hAnsi="Times New Roman" w:cs="Times New Roman"/>
        </w:rPr>
        <w:t>,</w:t>
      </w:r>
      <w:r w:rsidR="004C713A" w:rsidRPr="00C76E47">
        <w:rPr>
          <w:rFonts w:ascii="Times New Roman" w:hAnsi="Times New Roman" w:cs="Times New Roman"/>
        </w:rPr>
        <w:t xml:space="preserve"> multi-step process </w:t>
      </w:r>
      <w:r w:rsidR="00BF4202" w:rsidRPr="00C76E47">
        <w:rPr>
          <w:rFonts w:ascii="Times New Roman" w:hAnsi="Times New Roman" w:cs="Times New Roman"/>
        </w:rPr>
        <w:t xml:space="preserve">of manufacture, which </w:t>
      </w:r>
      <w:r w:rsidR="004C713A" w:rsidRPr="00C76E47">
        <w:rPr>
          <w:rFonts w:ascii="Times New Roman" w:hAnsi="Times New Roman" w:cs="Times New Roman"/>
        </w:rPr>
        <w:t xml:space="preserve">engaged </w:t>
      </w:r>
      <w:r w:rsidR="00CD5304" w:rsidRPr="00C76E47">
        <w:rPr>
          <w:rFonts w:ascii="Times New Roman" w:hAnsi="Times New Roman" w:cs="Times New Roman"/>
        </w:rPr>
        <w:t>Nahua</w:t>
      </w:r>
      <w:r w:rsidR="0061036F">
        <w:rPr>
          <w:rFonts w:ascii="Times New Roman" w:hAnsi="Times New Roman" w:cs="Times New Roman"/>
        </w:rPr>
        <w:t xml:space="preserve"> </w:t>
      </w:r>
      <w:r w:rsidR="004C713A" w:rsidRPr="00C76E47">
        <w:rPr>
          <w:rFonts w:ascii="Times New Roman" w:hAnsi="Times New Roman" w:cs="Times New Roman"/>
        </w:rPr>
        <w:t xml:space="preserve">and </w:t>
      </w:r>
      <w:r w:rsidRPr="00C76E47">
        <w:rPr>
          <w:rFonts w:ascii="Times New Roman" w:hAnsi="Times New Roman" w:cs="Times New Roman"/>
        </w:rPr>
        <w:t>Spanish</w:t>
      </w:r>
      <w:r w:rsidR="0061036F">
        <w:rPr>
          <w:rFonts w:ascii="Times New Roman" w:hAnsi="Times New Roman" w:cs="Times New Roman"/>
        </w:rPr>
        <w:t xml:space="preserve"> participants, concepts, and elements</w:t>
      </w:r>
      <w:r w:rsidRPr="00C76E47">
        <w:rPr>
          <w:rFonts w:ascii="Times New Roman" w:hAnsi="Times New Roman" w:cs="Times New Roman"/>
        </w:rPr>
        <w:t xml:space="preserve">, the </w:t>
      </w:r>
      <w:r w:rsidRPr="00C76E47">
        <w:rPr>
          <w:rFonts w:ascii="Times New Roman" w:hAnsi="Times New Roman" w:cs="Times New Roman"/>
          <w:i/>
          <w:iCs/>
        </w:rPr>
        <w:t xml:space="preserve">Codex Mendoza </w:t>
      </w:r>
      <w:r w:rsidR="00551648" w:rsidRPr="00C76E47">
        <w:rPr>
          <w:rFonts w:ascii="Times New Roman" w:hAnsi="Times New Roman" w:cs="Times New Roman"/>
          <w:iCs/>
        </w:rPr>
        <w:t>is a</w:t>
      </w:r>
      <w:r w:rsidR="00066DCE">
        <w:rPr>
          <w:rFonts w:ascii="Times New Roman" w:hAnsi="Times New Roman" w:cs="Times New Roman"/>
          <w:iCs/>
        </w:rPr>
        <w:t>n inherently</w:t>
      </w:r>
      <w:r w:rsidR="0061036F">
        <w:rPr>
          <w:rFonts w:ascii="Times New Roman" w:hAnsi="Times New Roman" w:cs="Times New Roman"/>
          <w:iCs/>
        </w:rPr>
        <w:t xml:space="preserve"> trans</w:t>
      </w:r>
      <w:r w:rsidR="00551648" w:rsidRPr="00C76E47">
        <w:rPr>
          <w:rFonts w:ascii="Times New Roman" w:hAnsi="Times New Roman" w:cs="Times New Roman"/>
          <w:iCs/>
        </w:rPr>
        <w:t xml:space="preserve">cultural </w:t>
      </w:r>
      <w:r w:rsidR="0061036F">
        <w:rPr>
          <w:rFonts w:ascii="Times New Roman" w:hAnsi="Times New Roman" w:cs="Times New Roman"/>
          <w:iCs/>
        </w:rPr>
        <w:t>object</w:t>
      </w:r>
      <w:r w:rsidR="00066DCE">
        <w:rPr>
          <w:rFonts w:ascii="Times New Roman" w:hAnsi="Times New Roman" w:cs="Times New Roman"/>
          <w:iCs/>
        </w:rPr>
        <w:t xml:space="preserve">. It </w:t>
      </w:r>
      <w:r w:rsidR="0061036F">
        <w:rPr>
          <w:rFonts w:ascii="Times New Roman" w:hAnsi="Times New Roman" w:cs="Times New Roman"/>
        </w:rPr>
        <w:t xml:space="preserve">combines </w:t>
      </w:r>
      <w:r w:rsidRPr="00C76E47">
        <w:rPr>
          <w:rFonts w:ascii="Times New Roman" w:hAnsi="Times New Roman" w:cs="Times New Roman"/>
        </w:rPr>
        <w:t xml:space="preserve">elements from </w:t>
      </w:r>
      <w:r w:rsidR="00AA3920" w:rsidRPr="00C76E47">
        <w:rPr>
          <w:rFonts w:ascii="Times New Roman" w:hAnsi="Times New Roman" w:cs="Times New Roman"/>
        </w:rPr>
        <w:t>at least two</w:t>
      </w:r>
      <w:r w:rsidRPr="00C76E47">
        <w:rPr>
          <w:rFonts w:ascii="Times New Roman" w:hAnsi="Times New Roman" w:cs="Times New Roman"/>
        </w:rPr>
        <w:t xml:space="preserve"> </w:t>
      </w:r>
      <w:r w:rsidR="00AA3920" w:rsidRPr="00C76E47">
        <w:rPr>
          <w:rFonts w:ascii="Times New Roman" w:hAnsi="Times New Roman" w:cs="Times New Roman"/>
        </w:rPr>
        <w:t xml:space="preserve">distinct </w:t>
      </w:r>
      <w:r w:rsidRPr="00C76E47">
        <w:rPr>
          <w:rFonts w:ascii="Times New Roman" w:hAnsi="Times New Roman" w:cs="Times New Roman"/>
        </w:rPr>
        <w:t>traditions</w:t>
      </w:r>
      <w:r w:rsidR="00AA3920" w:rsidRPr="00C76E47">
        <w:rPr>
          <w:rFonts w:ascii="Times New Roman" w:hAnsi="Times New Roman" w:cs="Times New Roman"/>
        </w:rPr>
        <w:t xml:space="preserve"> of the writing and representation of history</w:t>
      </w:r>
      <w:r w:rsidR="004C713A" w:rsidRPr="00C76E47">
        <w:rPr>
          <w:rFonts w:ascii="Times New Roman" w:hAnsi="Times New Roman" w:cs="Times New Roman"/>
        </w:rPr>
        <w:t xml:space="preserve">. </w:t>
      </w:r>
      <w:r w:rsidR="00CD5304" w:rsidRPr="00C76E47">
        <w:rPr>
          <w:rFonts w:ascii="Times New Roman" w:hAnsi="Times New Roman" w:cs="Times New Roman"/>
        </w:rPr>
        <w:t xml:space="preserve">Nahua </w:t>
      </w:r>
      <w:r w:rsidR="004C713A" w:rsidRPr="00C76E47">
        <w:rPr>
          <w:rFonts w:ascii="Times New Roman" w:hAnsi="Times New Roman" w:cs="Times New Roman"/>
        </w:rPr>
        <w:t xml:space="preserve">aspects include the pictographic writing and oral account, the artists and </w:t>
      </w:r>
      <w:r w:rsidR="00147E0E" w:rsidRPr="00C76E47">
        <w:rPr>
          <w:rFonts w:ascii="Times New Roman" w:hAnsi="Times New Roman" w:cs="Times New Roman"/>
        </w:rPr>
        <w:t>narrator</w:t>
      </w:r>
      <w:r w:rsidR="004C713A" w:rsidRPr="00C76E47">
        <w:rPr>
          <w:rFonts w:ascii="Times New Roman" w:hAnsi="Times New Roman" w:cs="Times New Roman"/>
        </w:rPr>
        <w:t xml:space="preserve">, the pigments used in the figures, and the information </w:t>
      </w:r>
      <w:r w:rsidR="00CF1A35" w:rsidRPr="00C76E47">
        <w:rPr>
          <w:rFonts w:ascii="Times New Roman" w:hAnsi="Times New Roman" w:cs="Times New Roman"/>
        </w:rPr>
        <w:t xml:space="preserve">contained in </w:t>
      </w:r>
      <w:r w:rsidR="004C713A" w:rsidRPr="00C76E47">
        <w:rPr>
          <w:rFonts w:ascii="Times New Roman" w:hAnsi="Times New Roman" w:cs="Times New Roman"/>
        </w:rPr>
        <w:t xml:space="preserve">the document. </w:t>
      </w:r>
      <w:r w:rsidR="00EB0E1A">
        <w:rPr>
          <w:rFonts w:ascii="Times New Roman" w:hAnsi="Times New Roman" w:cs="Times New Roman"/>
        </w:rPr>
        <w:t>Old World</w:t>
      </w:r>
      <w:r w:rsidR="004C713A" w:rsidRPr="00C76E47">
        <w:rPr>
          <w:rFonts w:ascii="Times New Roman" w:hAnsi="Times New Roman" w:cs="Times New Roman"/>
        </w:rPr>
        <w:t xml:space="preserve"> aspects include the </w:t>
      </w:r>
      <w:r w:rsidR="0025692F">
        <w:rPr>
          <w:rFonts w:ascii="Times New Roman" w:hAnsi="Times New Roman" w:cs="Times New Roman"/>
        </w:rPr>
        <w:t xml:space="preserve">imported Spanish </w:t>
      </w:r>
      <w:r w:rsidR="004C713A" w:rsidRPr="00C76E47">
        <w:rPr>
          <w:rFonts w:ascii="Times New Roman" w:hAnsi="Times New Roman" w:cs="Times New Roman"/>
        </w:rPr>
        <w:t>paper</w:t>
      </w:r>
      <w:r w:rsidR="00972676" w:rsidRPr="00C76E47">
        <w:rPr>
          <w:rFonts w:ascii="Times New Roman" w:hAnsi="Times New Roman" w:cs="Times New Roman"/>
        </w:rPr>
        <w:t xml:space="preserve"> and </w:t>
      </w:r>
      <w:r w:rsidR="004C713A" w:rsidRPr="00C76E47">
        <w:rPr>
          <w:rFonts w:ascii="Times New Roman" w:hAnsi="Times New Roman" w:cs="Times New Roman"/>
        </w:rPr>
        <w:t xml:space="preserve">ink; the book format and adherence to </w:t>
      </w:r>
      <w:r w:rsidR="008E4822" w:rsidRPr="00C76E47">
        <w:rPr>
          <w:rFonts w:ascii="Times New Roman" w:hAnsi="Times New Roman" w:cs="Times New Roman"/>
        </w:rPr>
        <w:t xml:space="preserve">the page </w:t>
      </w:r>
      <w:r w:rsidR="004C713A" w:rsidRPr="00C76E47">
        <w:rPr>
          <w:rFonts w:ascii="Times New Roman" w:hAnsi="Times New Roman" w:cs="Times New Roman"/>
        </w:rPr>
        <w:t xml:space="preserve">as the </w:t>
      </w:r>
      <w:r w:rsidR="00F8562D" w:rsidRPr="00C76E47">
        <w:rPr>
          <w:rFonts w:ascii="Times New Roman" w:hAnsi="Times New Roman" w:cs="Times New Roman"/>
        </w:rPr>
        <w:t xml:space="preserve">dominant structural </w:t>
      </w:r>
      <w:r w:rsidR="00B62C1E" w:rsidRPr="00C76E47">
        <w:rPr>
          <w:rFonts w:ascii="Times New Roman" w:hAnsi="Times New Roman" w:cs="Times New Roman"/>
        </w:rPr>
        <w:t xml:space="preserve">unit (as opposed to the </w:t>
      </w:r>
      <w:r w:rsidR="00F7422E" w:rsidRPr="00C76E47">
        <w:rPr>
          <w:rFonts w:ascii="Times New Roman" w:hAnsi="Times New Roman" w:cs="Times New Roman"/>
        </w:rPr>
        <w:t xml:space="preserve">use of a </w:t>
      </w:r>
      <w:r w:rsidR="004C713A" w:rsidRPr="00C76E47">
        <w:rPr>
          <w:rFonts w:ascii="Times New Roman" w:hAnsi="Times New Roman" w:cs="Times New Roman"/>
        </w:rPr>
        <w:t>pre-</w:t>
      </w:r>
      <w:r w:rsidR="00B62C1E" w:rsidRPr="00C76E47">
        <w:rPr>
          <w:rFonts w:ascii="Times New Roman" w:hAnsi="Times New Roman" w:cs="Times New Roman"/>
        </w:rPr>
        <w:t>H</w:t>
      </w:r>
      <w:r w:rsidR="00F7422E" w:rsidRPr="00C76E47">
        <w:rPr>
          <w:rFonts w:ascii="Times New Roman" w:hAnsi="Times New Roman" w:cs="Times New Roman"/>
        </w:rPr>
        <w:t>ispanic format, such as the</w:t>
      </w:r>
      <w:r w:rsidR="00B62C1E" w:rsidRPr="00C76E47">
        <w:rPr>
          <w:rFonts w:ascii="Times New Roman" w:hAnsi="Times New Roman" w:cs="Times New Roman"/>
        </w:rPr>
        <w:t xml:space="preserve"> </w:t>
      </w:r>
      <w:proofErr w:type="spellStart"/>
      <w:r w:rsidR="004C713A" w:rsidRPr="00C76E47">
        <w:rPr>
          <w:rFonts w:ascii="Times New Roman" w:hAnsi="Times New Roman" w:cs="Times New Roman"/>
        </w:rPr>
        <w:t>screenfold</w:t>
      </w:r>
      <w:proofErr w:type="spellEnd"/>
      <w:r w:rsidR="004C713A" w:rsidRPr="00C76E47">
        <w:rPr>
          <w:rFonts w:ascii="Times New Roman" w:hAnsi="Times New Roman" w:cs="Times New Roman"/>
        </w:rPr>
        <w:t xml:space="preserve">, scroll, or </w:t>
      </w:r>
      <w:r w:rsidR="00F7422E" w:rsidRPr="00C76E47">
        <w:rPr>
          <w:rFonts w:ascii="Times New Roman" w:hAnsi="Times New Roman" w:cs="Times New Roman"/>
        </w:rPr>
        <w:t xml:space="preserve">painted </w:t>
      </w:r>
      <w:r w:rsidR="004C713A" w:rsidRPr="00C76E47">
        <w:rPr>
          <w:rFonts w:ascii="Times New Roman" w:hAnsi="Times New Roman" w:cs="Times New Roman"/>
        </w:rPr>
        <w:t>cloth</w:t>
      </w:r>
      <w:r w:rsidR="00F7422E" w:rsidRPr="00C76E47">
        <w:rPr>
          <w:rFonts w:ascii="Times New Roman" w:hAnsi="Times New Roman" w:cs="Times New Roman"/>
        </w:rPr>
        <w:t>)</w:t>
      </w:r>
      <w:r w:rsidR="004C713A" w:rsidRPr="00C76E47">
        <w:rPr>
          <w:rFonts w:ascii="Times New Roman" w:hAnsi="Times New Roman" w:cs="Times New Roman"/>
        </w:rPr>
        <w:t xml:space="preserve">; the alphabetic writing; the scribes; and the intended audience, as </w:t>
      </w:r>
      <w:r w:rsidR="00F7422E" w:rsidRPr="00C76E47">
        <w:rPr>
          <w:rFonts w:ascii="Times New Roman" w:hAnsi="Times New Roman" w:cs="Times New Roman"/>
        </w:rPr>
        <w:t xml:space="preserve">the document </w:t>
      </w:r>
      <w:r w:rsidR="00066DCE">
        <w:rPr>
          <w:rFonts w:ascii="Times New Roman" w:hAnsi="Times New Roman" w:cs="Times New Roman"/>
        </w:rPr>
        <w:t>is believed to have been</w:t>
      </w:r>
      <w:r w:rsidR="00066DCE" w:rsidRPr="00C76E47">
        <w:rPr>
          <w:rFonts w:ascii="Times New Roman" w:hAnsi="Times New Roman" w:cs="Times New Roman"/>
        </w:rPr>
        <w:t xml:space="preserve"> </w:t>
      </w:r>
      <w:r w:rsidR="00F7422E" w:rsidRPr="00C76E47">
        <w:rPr>
          <w:rFonts w:ascii="Times New Roman" w:hAnsi="Times New Roman" w:cs="Times New Roman"/>
        </w:rPr>
        <w:t xml:space="preserve">created </w:t>
      </w:r>
      <w:r w:rsidR="004C713A" w:rsidRPr="00C76E47">
        <w:rPr>
          <w:rFonts w:ascii="Times New Roman" w:hAnsi="Times New Roman" w:cs="Times New Roman"/>
        </w:rPr>
        <w:t xml:space="preserve">for </w:t>
      </w:r>
      <w:r w:rsidR="00EA22EB" w:rsidRPr="00C76E47">
        <w:rPr>
          <w:rFonts w:ascii="Times New Roman" w:hAnsi="Times New Roman" w:cs="Times New Roman"/>
        </w:rPr>
        <w:t xml:space="preserve">readers beyond the shores of New Spain </w:t>
      </w:r>
      <w:r w:rsidR="004C713A" w:rsidRPr="00C76E47">
        <w:rPr>
          <w:rFonts w:ascii="Times New Roman" w:hAnsi="Times New Roman" w:cs="Times New Roman"/>
        </w:rPr>
        <w:t>.</w:t>
      </w:r>
      <w:r w:rsidR="000D1D3A" w:rsidRPr="00C76E47">
        <w:rPr>
          <w:rFonts w:ascii="Times New Roman" w:hAnsi="Times New Roman" w:cs="Times New Roman"/>
        </w:rPr>
        <w:t xml:space="preserve"> The </w:t>
      </w:r>
      <w:r w:rsidR="00BC47B9" w:rsidRPr="00C76E47">
        <w:rPr>
          <w:rFonts w:ascii="Times New Roman" w:hAnsi="Times New Roman" w:cs="Times New Roman"/>
          <w:i/>
        </w:rPr>
        <w:t>Codex Mendoza</w:t>
      </w:r>
      <w:r w:rsidR="000D1D3A" w:rsidRPr="00C76E47">
        <w:rPr>
          <w:rFonts w:ascii="Times New Roman" w:hAnsi="Times New Roman" w:cs="Times New Roman"/>
          <w:i/>
        </w:rPr>
        <w:t xml:space="preserve"> </w:t>
      </w:r>
      <w:r w:rsidR="000D1D3A" w:rsidRPr="00C76E47">
        <w:rPr>
          <w:rFonts w:ascii="Times New Roman" w:hAnsi="Times New Roman" w:cs="Times New Roman"/>
          <w:iCs/>
        </w:rPr>
        <w:t xml:space="preserve">can be understood as the product of a </w:t>
      </w:r>
      <w:r w:rsidR="00BC47B9" w:rsidRPr="00C76E47">
        <w:rPr>
          <w:rFonts w:ascii="Times New Roman" w:hAnsi="Times New Roman" w:cs="Times New Roman"/>
        </w:rPr>
        <w:t xml:space="preserve">series of translations: rendering </w:t>
      </w:r>
      <w:r w:rsidR="003F3817" w:rsidRPr="00C76E47">
        <w:rPr>
          <w:rFonts w:ascii="Times New Roman" w:hAnsi="Times New Roman" w:cs="Times New Roman"/>
        </w:rPr>
        <w:t xml:space="preserve">images into words, </w:t>
      </w:r>
      <w:r w:rsidR="00BC47B9" w:rsidRPr="00C76E47">
        <w:rPr>
          <w:rFonts w:ascii="Times New Roman" w:hAnsi="Times New Roman" w:cs="Times New Roman"/>
        </w:rPr>
        <w:t xml:space="preserve">Nahuatl into Spanish, oral interpretation into alphabetic writing, </w:t>
      </w:r>
      <w:r w:rsidR="003F3817" w:rsidRPr="00C76E47">
        <w:rPr>
          <w:rFonts w:ascii="Times New Roman" w:hAnsi="Times New Roman" w:cs="Times New Roman"/>
        </w:rPr>
        <w:lastRenderedPageBreak/>
        <w:t xml:space="preserve">and pre-conquest indigenous history into </w:t>
      </w:r>
      <w:r w:rsidR="00047727" w:rsidRPr="00C76E47">
        <w:rPr>
          <w:rFonts w:ascii="Times New Roman" w:hAnsi="Times New Roman" w:cs="Times New Roman"/>
        </w:rPr>
        <w:t xml:space="preserve">a version framed within the context of post-conquest viceregal society and produced expressly for </w:t>
      </w:r>
      <w:r w:rsidR="001B4E9A" w:rsidRPr="00C76E47">
        <w:rPr>
          <w:rFonts w:ascii="Times New Roman" w:hAnsi="Times New Roman" w:cs="Times New Roman"/>
        </w:rPr>
        <w:t>European viewers and readers.</w:t>
      </w:r>
    </w:p>
    <w:p w14:paraId="1EB702B0" w14:textId="77777777" w:rsidR="004A55CA" w:rsidRPr="00C76E47" w:rsidRDefault="004A55CA" w:rsidP="004A55CA">
      <w:pPr>
        <w:spacing w:line="480" w:lineRule="auto"/>
        <w:rPr>
          <w:rFonts w:ascii="Times New Roman" w:hAnsi="Times New Roman" w:cs="Times New Roman"/>
        </w:rPr>
      </w:pPr>
    </w:p>
    <w:p w14:paraId="273583F2" w14:textId="440D8A1F" w:rsidR="004A55CA" w:rsidRPr="00C76E47" w:rsidRDefault="003537EB" w:rsidP="004A55CA">
      <w:pPr>
        <w:spacing w:line="480" w:lineRule="auto"/>
        <w:rPr>
          <w:rFonts w:ascii="Times New Roman" w:hAnsi="Times New Roman" w:cs="Times New Roman"/>
        </w:rPr>
      </w:pPr>
      <w:r w:rsidRPr="00C76E47">
        <w:rPr>
          <w:rFonts w:ascii="Times New Roman" w:hAnsi="Times New Roman" w:cs="Times New Roman"/>
        </w:rPr>
        <w:t xml:space="preserve">Once the codex was completed, </w:t>
      </w:r>
      <w:r w:rsidR="00BC47B9" w:rsidRPr="00C76E47">
        <w:rPr>
          <w:rFonts w:ascii="Times New Roman" w:hAnsi="Times New Roman" w:cs="Times New Roman"/>
        </w:rPr>
        <w:t xml:space="preserve">translations </w:t>
      </w:r>
      <w:r w:rsidRPr="00C76E47">
        <w:rPr>
          <w:rFonts w:ascii="Times New Roman" w:hAnsi="Times New Roman" w:cs="Times New Roman"/>
        </w:rPr>
        <w:t xml:space="preserve">in medium, language, and cultural framing </w:t>
      </w:r>
      <w:r w:rsidR="00BC47B9" w:rsidRPr="00C76E47">
        <w:rPr>
          <w:rFonts w:ascii="Times New Roman" w:hAnsi="Times New Roman" w:cs="Times New Roman"/>
        </w:rPr>
        <w:t xml:space="preserve">gave way to physical </w:t>
      </w:r>
      <w:r w:rsidRPr="00C76E47">
        <w:rPr>
          <w:rFonts w:ascii="Times New Roman" w:hAnsi="Times New Roman" w:cs="Times New Roman"/>
        </w:rPr>
        <w:t>transport</w:t>
      </w:r>
      <w:r w:rsidR="00BC47B9" w:rsidRPr="00C76E47">
        <w:rPr>
          <w:rFonts w:ascii="Times New Roman" w:hAnsi="Times New Roman" w:cs="Times New Roman"/>
        </w:rPr>
        <w:t xml:space="preserve">. Apparently completed in haste, the codex travelled by land from Mexico City to the Gulf port of Veracruz, and there boarded a ship that carried it across the Atlantic. Once set in motion, it continued to </w:t>
      </w:r>
      <w:r w:rsidR="00721B9F" w:rsidRPr="00C76E47">
        <w:rPr>
          <w:rFonts w:ascii="Times New Roman" w:hAnsi="Times New Roman" w:cs="Times New Roman"/>
        </w:rPr>
        <w:t>circulate</w:t>
      </w:r>
      <w:r w:rsidR="00BC47B9" w:rsidRPr="00C76E47">
        <w:rPr>
          <w:rFonts w:ascii="Times New Roman" w:hAnsi="Times New Roman" w:cs="Times New Roman"/>
        </w:rPr>
        <w:t xml:space="preserve"> for the next hundred years to destinations its makers never imagined. </w:t>
      </w:r>
      <w:r w:rsidR="00023723" w:rsidRPr="00C76E47">
        <w:rPr>
          <w:rFonts w:ascii="Times New Roman" w:hAnsi="Times New Roman" w:cs="Times New Roman"/>
        </w:rPr>
        <w:t>During that time</w:t>
      </w:r>
      <w:r w:rsidR="00721B9F" w:rsidRPr="00C76E47">
        <w:rPr>
          <w:rFonts w:ascii="Times New Roman" w:hAnsi="Times New Roman" w:cs="Times New Roman"/>
        </w:rPr>
        <w:t>,</w:t>
      </w:r>
      <w:r w:rsidR="00023723" w:rsidRPr="00C76E47">
        <w:rPr>
          <w:rFonts w:ascii="Times New Roman" w:hAnsi="Times New Roman" w:cs="Times New Roman"/>
        </w:rPr>
        <w:t xml:space="preserve"> i</w:t>
      </w:r>
      <w:r w:rsidR="00EA0B50" w:rsidRPr="00C76E47">
        <w:rPr>
          <w:rFonts w:ascii="Times New Roman" w:hAnsi="Times New Roman" w:cs="Times New Roman"/>
        </w:rPr>
        <w:t xml:space="preserve">t changed hands </w:t>
      </w:r>
      <w:r w:rsidR="00066DCE">
        <w:rPr>
          <w:rFonts w:ascii="Times New Roman" w:hAnsi="Times New Roman" w:cs="Times New Roman"/>
        </w:rPr>
        <w:t>multiple</w:t>
      </w:r>
      <w:r w:rsidR="00066DCE" w:rsidRPr="00C76E47">
        <w:rPr>
          <w:rFonts w:ascii="Times New Roman" w:hAnsi="Times New Roman" w:cs="Times New Roman"/>
        </w:rPr>
        <w:t xml:space="preserve"> </w:t>
      </w:r>
      <w:r w:rsidR="00F21BDF" w:rsidRPr="00C76E47">
        <w:rPr>
          <w:rFonts w:ascii="Times New Roman" w:hAnsi="Times New Roman" w:cs="Times New Roman"/>
        </w:rPr>
        <w:t>times</w:t>
      </w:r>
      <w:r w:rsidR="00EA0B50" w:rsidRPr="00C76E47">
        <w:rPr>
          <w:rFonts w:ascii="Times New Roman" w:hAnsi="Times New Roman" w:cs="Times New Roman"/>
        </w:rPr>
        <w:t xml:space="preserve"> and was a prized possession of some of the most noted European collectors and writers about travel and </w:t>
      </w:r>
      <w:r w:rsidR="00BD2584" w:rsidRPr="00C76E47">
        <w:rPr>
          <w:rFonts w:ascii="Times New Roman" w:hAnsi="Times New Roman" w:cs="Times New Roman"/>
        </w:rPr>
        <w:t>the Americas</w:t>
      </w:r>
      <w:r w:rsidR="00BC47B9" w:rsidRPr="00C76E47">
        <w:rPr>
          <w:rFonts w:ascii="Times New Roman" w:hAnsi="Times New Roman" w:cs="Times New Roman"/>
        </w:rPr>
        <w:t xml:space="preserve">. It is unclear whether </w:t>
      </w:r>
      <w:r w:rsidR="00515FB8" w:rsidRPr="00C76E47">
        <w:rPr>
          <w:rFonts w:ascii="Times New Roman" w:hAnsi="Times New Roman" w:cs="Times New Roman"/>
        </w:rPr>
        <w:t>the codex</w:t>
      </w:r>
      <w:r w:rsidR="00BC47B9" w:rsidRPr="00C76E47">
        <w:rPr>
          <w:rFonts w:ascii="Times New Roman" w:hAnsi="Times New Roman" w:cs="Times New Roman"/>
        </w:rPr>
        <w:t xml:space="preserve"> ever reached Spain, </w:t>
      </w:r>
      <w:proofErr w:type="gramStart"/>
      <w:r w:rsidR="00BC47B9" w:rsidRPr="00C76E47">
        <w:rPr>
          <w:rFonts w:ascii="Times New Roman" w:hAnsi="Times New Roman" w:cs="Times New Roman"/>
        </w:rPr>
        <w:t>and also</w:t>
      </w:r>
      <w:proofErr w:type="gramEnd"/>
      <w:r w:rsidR="00BC47B9" w:rsidRPr="00C76E47">
        <w:rPr>
          <w:rFonts w:ascii="Times New Roman" w:hAnsi="Times New Roman" w:cs="Times New Roman"/>
        </w:rPr>
        <w:t xml:space="preserve"> unclear how it ended up in the hands of its first rec</w:t>
      </w:r>
      <w:r w:rsidR="00023723" w:rsidRPr="00C76E47">
        <w:rPr>
          <w:rFonts w:ascii="Times New Roman" w:hAnsi="Times New Roman" w:cs="Times New Roman"/>
        </w:rPr>
        <w:t xml:space="preserve">orded owner: </w:t>
      </w:r>
      <w:r w:rsidR="00BC47B9" w:rsidRPr="00C76E47">
        <w:rPr>
          <w:rFonts w:ascii="Times New Roman" w:hAnsi="Times New Roman" w:cs="Times New Roman"/>
        </w:rPr>
        <w:t xml:space="preserve">André </w:t>
      </w:r>
      <w:proofErr w:type="spellStart"/>
      <w:r w:rsidR="00BC47B9" w:rsidRPr="00C76E47">
        <w:rPr>
          <w:rFonts w:ascii="Times New Roman" w:hAnsi="Times New Roman" w:cs="Times New Roman"/>
        </w:rPr>
        <w:t>Thevet</w:t>
      </w:r>
      <w:proofErr w:type="spellEnd"/>
      <w:r w:rsidR="00BC47B9" w:rsidRPr="00C76E47">
        <w:rPr>
          <w:rFonts w:ascii="Times New Roman" w:hAnsi="Times New Roman" w:cs="Times New Roman"/>
        </w:rPr>
        <w:t xml:space="preserve"> (</w:t>
      </w:r>
      <w:r w:rsidR="00BC47B9" w:rsidRPr="00C76E47">
        <w:rPr>
          <w:rStyle w:val="st"/>
          <w:rFonts w:ascii="Times New Roman" w:eastAsia="Times New Roman" w:hAnsi="Times New Roman" w:cs="Times New Roman"/>
        </w:rPr>
        <w:t>1516–90)</w:t>
      </w:r>
      <w:r w:rsidR="00023723" w:rsidRPr="00C76E47">
        <w:rPr>
          <w:rStyle w:val="st"/>
          <w:rFonts w:ascii="Times New Roman" w:eastAsia="Times New Roman" w:hAnsi="Times New Roman" w:cs="Times New Roman"/>
        </w:rPr>
        <w:t xml:space="preserve">, </w:t>
      </w:r>
      <w:r w:rsidR="00BC47B9" w:rsidRPr="00C76E47">
        <w:rPr>
          <w:rStyle w:val="st"/>
          <w:rFonts w:ascii="Times New Roman" w:eastAsia="Times New Roman" w:hAnsi="Times New Roman" w:cs="Times New Roman"/>
        </w:rPr>
        <w:t xml:space="preserve">a </w:t>
      </w:r>
      <w:r w:rsidR="00066DCE">
        <w:rPr>
          <w:rStyle w:val="st"/>
          <w:rFonts w:ascii="Times New Roman" w:eastAsia="Times New Roman" w:hAnsi="Times New Roman" w:cs="Times New Roman"/>
        </w:rPr>
        <w:t xml:space="preserve">French traveler, writer of books on </w:t>
      </w:r>
      <w:r w:rsidR="00BC47B9" w:rsidRPr="00C76E47">
        <w:rPr>
          <w:rFonts w:ascii="Times New Roman" w:hAnsi="Times New Roman" w:cs="Times New Roman"/>
        </w:rPr>
        <w:t xml:space="preserve">the Americas, and royal cosmographer to the Valois court. By 1587, it appears, the codex </w:t>
      </w:r>
      <w:r w:rsidR="00AF43BC" w:rsidRPr="00C76E47">
        <w:rPr>
          <w:rFonts w:ascii="Times New Roman" w:hAnsi="Times New Roman" w:cs="Times New Roman"/>
        </w:rPr>
        <w:t>had passed to</w:t>
      </w:r>
      <w:r w:rsidR="00BC47B9" w:rsidRPr="00C76E47">
        <w:rPr>
          <w:rFonts w:ascii="Times New Roman" w:hAnsi="Times New Roman" w:cs="Times New Roman"/>
        </w:rPr>
        <w:t xml:space="preserve"> Richard Hakluyt (</w:t>
      </w:r>
      <w:proofErr w:type="gramStart"/>
      <w:r w:rsidR="00BC47B9" w:rsidRPr="00C76E47">
        <w:rPr>
          <w:rFonts w:ascii="Times New Roman" w:hAnsi="Times New Roman" w:cs="Times New Roman"/>
        </w:rPr>
        <w:t>1552?</w:t>
      </w:r>
      <w:r w:rsidR="00BC47B9" w:rsidRPr="00C76E47">
        <w:rPr>
          <w:rFonts w:ascii="Times New Roman" w:eastAsia="Times New Roman" w:hAnsi="Times New Roman" w:cs="Times New Roman"/>
        </w:rPr>
        <w:t>–</w:t>
      </w:r>
      <w:proofErr w:type="gramEnd"/>
      <w:r w:rsidR="00BC47B9" w:rsidRPr="00C76E47">
        <w:rPr>
          <w:rFonts w:ascii="Times New Roman" w:eastAsia="Times New Roman" w:hAnsi="Times New Roman" w:cs="Times New Roman"/>
        </w:rPr>
        <w:t>1616)</w:t>
      </w:r>
      <w:r w:rsidR="00BC47B9" w:rsidRPr="00C76E47">
        <w:rPr>
          <w:rFonts w:ascii="Times New Roman" w:hAnsi="Times New Roman" w:cs="Times New Roman"/>
        </w:rPr>
        <w:t>, an active promoter of English settlement in North America and the author of two important compilations that approached geography and travel from the perspective of English political aspirations toward the New World. After Hakluyt’s death in 1616, the manuscript went to Samuel Purchas (</w:t>
      </w:r>
      <w:proofErr w:type="gramStart"/>
      <w:r w:rsidR="00BC47B9" w:rsidRPr="00C76E47">
        <w:rPr>
          <w:rStyle w:val="st"/>
          <w:rFonts w:ascii="Times New Roman" w:eastAsia="Times New Roman" w:hAnsi="Times New Roman" w:cs="Times New Roman"/>
        </w:rPr>
        <w:t>1577?–</w:t>
      </w:r>
      <w:proofErr w:type="gramEnd"/>
      <w:r w:rsidR="00BC47B9" w:rsidRPr="00C76E47">
        <w:rPr>
          <w:rStyle w:val="st"/>
          <w:rFonts w:ascii="Times New Roman" w:eastAsia="Times New Roman" w:hAnsi="Times New Roman" w:cs="Times New Roman"/>
        </w:rPr>
        <w:t>1626)</w:t>
      </w:r>
      <w:r w:rsidR="00BC47B9" w:rsidRPr="00C76E47">
        <w:rPr>
          <w:rFonts w:ascii="Times New Roman" w:hAnsi="Times New Roman" w:cs="Times New Roman"/>
        </w:rPr>
        <w:t>, an English cleric and the author of</w:t>
      </w:r>
      <w:r w:rsidR="00DC37B3" w:rsidRPr="00C76E47">
        <w:rPr>
          <w:rFonts w:ascii="Times New Roman" w:hAnsi="Times New Roman" w:cs="Times New Roman"/>
        </w:rPr>
        <w:t xml:space="preserve"> </w:t>
      </w:r>
      <w:r w:rsidR="00BC47B9" w:rsidRPr="00C76E47">
        <w:rPr>
          <w:rFonts w:ascii="Times New Roman" w:hAnsi="Times New Roman" w:cs="Times New Roman"/>
        </w:rPr>
        <w:t xml:space="preserve">an immensely popular travel compilation that would be of great importance to the codex’s early modern reception. </w:t>
      </w:r>
      <w:r w:rsidR="00011AA7" w:rsidRPr="00C76E47">
        <w:rPr>
          <w:rFonts w:ascii="Times New Roman" w:hAnsi="Times New Roman" w:cs="Times New Roman"/>
        </w:rPr>
        <w:t>A</w:t>
      </w:r>
      <w:r w:rsidR="00930FA1" w:rsidRPr="00C76E47">
        <w:rPr>
          <w:rFonts w:ascii="Times New Roman" w:hAnsi="Times New Roman" w:cs="Times New Roman"/>
        </w:rPr>
        <w:t xml:space="preserve">fter </w:t>
      </w:r>
      <w:r w:rsidR="00BC47B9" w:rsidRPr="00C76E47">
        <w:rPr>
          <w:rFonts w:ascii="Times New Roman" w:hAnsi="Times New Roman" w:cs="Times New Roman"/>
        </w:rPr>
        <w:t>Purchas’ death</w:t>
      </w:r>
      <w:r w:rsidR="00011AA7" w:rsidRPr="00C76E47">
        <w:rPr>
          <w:rFonts w:ascii="Times New Roman" w:hAnsi="Times New Roman" w:cs="Times New Roman"/>
        </w:rPr>
        <w:t xml:space="preserve"> ten years later</w:t>
      </w:r>
      <w:r w:rsidR="00BC47B9" w:rsidRPr="00C76E47">
        <w:rPr>
          <w:rFonts w:ascii="Times New Roman" w:hAnsi="Times New Roman" w:cs="Times New Roman"/>
        </w:rPr>
        <w:t>,</w:t>
      </w:r>
      <w:r w:rsidR="00930FA1" w:rsidRPr="00C76E47">
        <w:rPr>
          <w:rFonts w:ascii="Times New Roman" w:hAnsi="Times New Roman" w:cs="Times New Roman"/>
        </w:rPr>
        <w:t xml:space="preserve"> the </w:t>
      </w:r>
      <w:r w:rsidR="00BC47B9" w:rsidRPr="00C76E47">
        <w:rPr>
          <w:rFonts w:ascii="Times New Roman" w:hAnsi="Times New Roman" w:cs="Times New Roman"/>
        </w:rPr>
        <w:t xml:space="preserve">English jurist, politician, </w:t>
      </w:r>
      <w:r w:rsidR="005430FD" w:rsidRPr="00C76E47">
        <w:rPr>
          <w:rFonts w:ascii="Times New Roman" w:hAnsi="Times New Roman" w:cs="Times New Roman"/>
        </w:rPr>
        <w:t xml:space="preserve">scholar, and collector </w:t>
      </w:r>
      <w:r w:rsidR="00930FA1" w:rsidRPr="00C76E47">
        <w:rPr>
          <w:rFonts w:ascii="Times New Roman" w:hAnsi="Times New Roman" w:cs="Times New Roman"/>
        </w:rPr>
        <w:t>John Selden (</w:t>
      </w:r>
      <w:r w:rsidR="00930FA1" w:rsidRPr="00C76E47">
        <w:rPr>
          <w:rStyle w:val="st"/>
          <w:rFonts w:ascii="Times New Roman" w:eastAsia="Times New Roman" w:hAnsi="Times New Roman" w:cs="Times New Roman"/>
        </w:rPr>
        <w:t>1584–1654)</w:t>
      </w:r>
      <w:r w:rsidR="00BC47B9" w:rsidRPr="00C76E47">
        <w:rPr>
          <w:rFonts w:ascii="Times New Roman" w:hAnsi="Times New Roman" w:cs="Times New Roman"/>
        </w:rPr>
        <w:t xml:space="preserve"> acquired the manuscript. </w:t>
      </w:r>
      <w:r w:rsidR="00E360B2" w:rsidRPr="00C76E47">
        <w:rPr>
          <w:rFonts w:ascii="Times New Roman" w:hAnsi="Times New Roman" w:cs="Times New Roman"/>
        </w:rPr>
        <w:t xml:space="preserve">Finally, </w:t>
      </w:r>
      <w:r w:rsidR="00BC47B9" w:rsidRPr="00C76E47">
        <w:rPr>
          <w:rFonts w:ascii="Times New Roman" w:hAnsi="Times New Roman" w:cs="Times New Roman"/>
        </w:rPr>
        <w:t>after Selden’s death</w:t>
      </w:r>
      <w:r w:rsidR="00E360B2" w:rsidRPr="00C76E47">
        <w:rPr>
          <w:rFonts w:ascii="Times New Roman" w:hAnsi="Times New Roman" w:cs="Times New Roman"/>
        </w:rPr>
        <w:t xml:space="preserve"> in 1654, his extensive collection of </w:t>
      </w:r>
      <w:r w:rsidR="00144524" w:rsidRPr="00C76E47">
        <w:rPr>
          <w:rFonts w:ascii="Times New Roman" w:hAnsi="Times New Roman" w:cs="Times New Roman"/>
        </w:rPr>
        <w:t xml:space="preserve">over 8,000 </w:t>
      </w:r>
      <w:r w:rsidR="00E360B2" w:rsidRPr="00C76E47">
        <w:rPr>
          <w:rFonts w:ascii="Times New Roman" w:hAnsi="Times New Roman" w:cs="Times New Roman"/>
        </w:rPr>
        <w:t xml:space="preserve">books and manuscripts went to the </w:t>
      </w:r>
      <w:r w:rsidR="002E5CD8" w:rsidRPr="00C76E47">
        <w:rPr>
          <w:rFonts w:ascii="Times New Roman" w:hAnsi="Times New Roman" w:cs="Times New Roman"/>
        </w:rPr>
        <w:t>Bodleian Library at Oxford—it took five years to complete the transa</w:t>
      </w:r>
      <w:r w:rsidR="00E2554E" w:rsidRPr="00C76E47">
        <w:rPr>
          <w:rFonts w:ascii="Times New Roman" w:hAnsi="Times New Roman" w:cs="Times New Roman"/>
        </w:rPr>
        <w:t xml:space="preserve">ction, but by </w:t>
      </w:r>
      <w:r w:rsidR="00BC47B9" w:rsidRPr="00C76E47">
        <w:rPr>
          <w:rFonts w:ascii="Times New Roman" w:hAnsi="Times New Roman" w:cs="Times New Roman"/>
        </w:rPr>
        <w:t>1659</w:t>
      </w:r>
      <w:r w:rsidR="002E5CD8" w:rsidRPr="00C76E47">
        <w:rPr>
          <w:rFonts w:ascii="Times New Roman" w:hAnsi="Times New Roman" w:cs="Times New Roman"/>
        </w:rPr>
        <w:t xml:space="preserve"> at the latest the </w:t>
      </w:r>
      <w:r w:rsidR="002E5CD8" w:rsidRPr="00C76E47">
        <w:rPr>
          <w:rFonts w:ascii="Times New Roman" w:hAnsi="Times New Roman" w:cs="Times New Roman"/>
          <w:i/>
          <w:iCs/>
        </w:rPr>
        <w:t xml:space="preserve">Mendoza </w:t>
      </w:r>
      <w:r w:rsidR="002E5CD8" w:rsidRPr="00C76E47">
        <w:rPr>
          <w:rFonts w:ascii="Times New Roman" w:hAnsi="Times New Roman" w:cs="Times New Roman"/>
        </w:rPr>
        <w:t xml:space="preserve">reached the institution that has held on to it ever since, marking the end of its physical </w:t>
      </w:r>
      <w:r w:rsidR="0020131D" w:rsidRPr="00C76E47">
        <w:rPr>
          <w:rFonts w:ascii="Times New Roman" w:hAnsi="Times New Roman" w:cs="Times New Roman"/>
        </w:rPr>
        <w:t>travels</w:t>
      </w:r>
      <w:r w:rsidR="00BC47B9" w:rsidRPr="00C76E47">
        <w:rPr>
          <w:rFonts w:ascii="Times New Roman" w:hAnsi="Times New Roman" w:cs="Times New Roman"/>
        </w:rPr>
        <w:t xml:space="preserve">. </w:t>
      </w:r>
      <w:r w:rsidR="002E5CD8" w:rsidRPr="00C76E47">
        <w:rPr>
          <w:rFonts w:ascii="Times New Roman" w:hAnsi="Times New Roman" w:cs="Times New Roman"/>
        </w:rPr>
        <w:lastRenderedPageBreak/>
        <w:t>Remarkably</w:t>
      </w:r>
      <w:r w:rsidR="00144524" w:rsidRPr="00C76E47">
        <w:rPr>
          <w:rFonts w:ascii="Times New Roman" w:hAnsi="Times New Roman" w:cs="Times New Roman"/>
        </w:rPr>
        <w:t>, the</w:t>
      </w:r>
      <w:r w:rsidR="00BC47B9" w:rsidRPr="00C76E47">
        <w:rPr>
          <w:rFonts w:ascii="Times New Roman" w:hAnsi="Times New Roman" w:cs="Times New Roman"/>
        </w:rPr>
        <w:t xml:space="preserve"> </w:t>
      </w:r>
      <w:r w:rsidR="00BC47B9" w:rsidRPr="00C76E47">
        <w:rPr>
          <w:rFonts w:ascii="Times New Roman" w:hAnsi="Times New Roman" w:cs="Times New Roman"/>
          <w:i/>
          <w:iCs/>
        </w:rPr>
        <w:t xml:space="preserve">Mendoza </w:t>
      </w:r>
      <w:r w:rsidR="00065359" w:rsidRPr="00C76E47">
        <w:rPr>
          <w:rFonts w:ascii="Times New Roman" w:hAnsi="Times New Roman" w:cs="Times New Roman"/>
        </w:rPr>
        <w:t>has</w:t>
      </w:r>
      <w:r w:rsidR="00144524" w:rsidRPr="00C76E47">
        <w:rPr>
          <w:rFonts w:ascii="Times New Roman" w:hAnsi="Times New Roman" w:cs="Times New Roman"/>
        </w:rPr>
        <w:t xml:space="preserve"> the </w:t>
      </w:r>
      <w:r w:rsidR="00BC47B9" w:rsidRPr="00C76E47">
        <w:rPr>
          <w:rFonts w:ascii="Times New Roman" w:hAnsi="Times New Roman" w:cs="Times New Roman"/>
        </w:rPr>
        <w:t>very</w:t>
      </w:r>
      <w:r w:rsidR="0049204A" w:rsidRPr="00C76E47">
        <w:rPr>
          <w:rFonts w:ascii="Times New Roman" w:hAnsi="Times New Roman" w:cs="Times New Roman"/>
        </w:rPr>
        <w:t xml:space="preserve"> first shelf </w:t>
      </w:r>
      <w:r w:rsidR="00BC47B9" w:rsidRPr="00C76E47">
        <w:rPr>
          <w:rFonts w:ascii="Times New Roman" w:hAnsi="Times New Roman" w:cs="Times New Roman"/>
        </w:rPr>
        <w:t xml:space="preserve">mark and </w:t>
      </w:r>
      <w:r w:rsidR="0049204A" w:rsidRPr="00C76E47">
        <w:rPr>
          <w:rFonts w:ascii="Times New Roman" w:hAnsi="Times New Roman" w:cs="Times New Roman"/>
        </w:rPr>
        <w:t xml:space="preserve">catalogue </w:t>
      </w:r>
      <w:r w:rsidR="00BC47B9" w:rsidRPr="00C76E47">
        <w:rPr>
          <w:rFonts w:ascii="Times New Roman" w:hAnsi="Times New Roman" w:cs="Times New Roman"/>
        </w:rPr>
        <w:t>entry</w:t>
      </w:r>
      <w:r w:rsidR="0049204A" w:rsidRPr="00C76E47">
        <w:rPr>
          <w:rFonts w:ascii="Times New Roman" w:hAnsi="Times New Roman" w:cs="Times New Roman"/>
        </w:rPr>
        <w:t xml:space="preserve"> among the Bodleian’s collection of over 350 notable manuscripts from Selden: </w:t>
      </w:r>
      <w:r w:rsidR="00BC47B9" w:rsidRPr="00C76E47">
        <w:rPr>
          <w:rFonts w:ascii="Times New Roman" w:hAnsi="Times New Roman" w:cs="Times New Roman"/>
        </w:rPr>
        <w:t>Manuscript Selden A.1.</w:t>
      </w:r>
      <w:r w:rsidR="0049204A" w:rsidRPr="00C76E47">
        <w:rPr>
          <w:rFonts w:ascii="Times New Roman" w:hAnsi="Times New Roman" w:cs="Times New Roman"/>
        </w:rPr>
        <w:t xml:space="preserve"> </w:t>
      </w:r>
    </w:p>
    <w:p w14:paraId="4A6F6B4C" w14:textId="77777777" w:rsidR="004A55CA" w:rsidRPr="00C76E47" w:rsidRDefault="004A55CA" w:rsidP="004A55CA">
      <w:pPr>
        <w:spacing w:line="480" w:lineRule="auto"/>
        <w:rPr>
          <w:rFonts w:ascii="Times New Roman" w:hAnsi="Times New Roman" w:cs="Times New Roman"/>
        </w:rPr>
      </w:pPr>
    </w:p>
    <w:p w14:paraId="6B4C22B6" w14:textId="19B59F71" w:rsidR="004A55CA" w:rsidRPr="00C76E47" w:rsidRDefault="00071971" w:rsidP="004A55CA">
      <w:pPr>
        <w:spacing w:line="480" w:lineRule="auto"/>
        <w:rPr>
          <w:rFonts w:ascii="Times New Roman" w:hAnsi="Times New Roman" w:cs="Times New Roman"/>
        </w:rPr>
      </w:pPr>
      <w:r w:rsidRPr="00C76E47">
        <w:rPr>
          <w:rFonts w:ascii="Times New Roman" w:hAnsi="Times New Roman" w:cs="Times New Roman"/>
        </w:rPr>
        <w:t xml:space="preserve">Although the </w:t>
      </w:r>
      <w:r w:rsidRPr="00C76E47">
        <w:rPr>
          <w:rFonts w:ascii="Times New Roman" w:hAnsi="Times New Roman" w:cs="Times New Roman"/>
          <w:i/>
        </w:rPr>
        <w:t xml:space="preserve">Codex Mendoza </w:t>
      </w:r>
      <w:r w:rsidRPr="00C76E47">
        <w:rPr>
          <w:rFonts w:ascii="Times New Roman" w:hAnsi="Times New Roman" w:cs="Times New Roman"/>
        </w:rPr>
        <w:t xml:space="preserve">ended its physical travels when it entered the Bodleian Library in 1659, </w:t>
      </w:r>
      <w:r w:rsidR="00F30A5C" w:rsidRPr="00C76E47">
        <w:rPr>
          <w:rFonts w:ascii="Times New Roman" w:hAnsi="Times New Roman" w:cs="Times New Roman"/>
        </w:rPr>
        <w:t xml:space="preserve">it continued to move—not physically but </w:t>
      </w:r>
      <w:r w:rsidRPr="00C76E47">
        <w:rPr>
          <w:rFonts w:ascii="Times New Roman" w:hAnsi="Times New Roman" w:cs="Times New Roman"/>
        </w:rPr>
        <w:t>through publication</w:t>
      </w:r>
      <w:r w:rsidR="00F30A5C" w:rsidRPr="00C76E47">
        <w:rPr>
          <w:rFonts w:ascii="Times New Roman" w:hAnsi="Times New Roman" w:cs="Times New Roman"/>
        </w:rPr>
        <w:t xml:space="preserve">. </w:t>
      </w:r>
      <w:r w:rsidRPr="00C76E47">
        <w:rPr>
          <w:rFonts w:ascii="Times New Roman" w:hAnsi="Times New Roman" w:cs="Times New Roman"/>
        </w:rPr>
        <w:t xml:space="preserve">Its paper travels began with the publication of Samuel Purchas’ widely read </w:t>
      </w:r>
      <w:proofErr w:type="spellStart"/>
      <w:r w:rsidRPr="00C76E47">
        <w:rPr>
          <w:rFonts w:ascii="Times New Roman" w:hAnsi="Times New Roman" w:cs="Times New Roman"/>
          <w:i/>
        </w:rPr>
        <w:t>Hakluytus</w:t>
      </w:r>
      <w:proofErr w:type="spellEnd"/>
      <w:r w:rsidRPr="00C76E47">
        <w:rPr>
          <w:rFonts w:ascii="Times New Roman" w:hAnsi="Times New Roman" w:cs="Times New Roman"/>
          <w:i/>
        </w:rPr>
        <w:t xml:space="preserve"> </w:t>
      </w:r>
      <w:proofErr w:type="spellStart"/>
      <w:r w:rsidRPr="00C76E47">
        <w:rPr>
          <w:rFonts w:ascii="Times New Roman" w:hAnsi="Times New Roman" w:cs="Times New Roman"/>
          <w:i/>
        </w:rPr>
        <w:t>posthumus</w:t>
      </w:r>
      <w:proofErr w:type="spellEnd"/>
      <w:r w:rsidRPr="00C76E47">
        <w:rPr>
          <w:rFonts w:ascii="Times New Roman" w:hAnsi="Times New Roman" w:cs="Times New Roman"/>
          <w:i/>
        </w:rPr>
        <w:t xml:space="preserve">: or, Purchas his </w:t>
      </w:r>
      <w:proofErr w:type="spellStart"/>
      <w:r w:rsidRPr="00C76E47">
        <w:rPr>
          <w:rFonts w:ascii="Times New Roman" w:hAnsi="Times New Roman" w:cs="Times New Roman"/>
          <w:i/>
        </w:rPr>
        <w:t>pilgrimes</w:t>
      </w:r>
      <w:proofErr w:type="spellEnd"/>
      <w:r w:rsidR="00597558" w:rsidRPr="00C76E47">
        <w:rPr>
          <w:rFonts w:ascii="Times New Roman" w:hAnsi="Times New Roman" w:cs="Times New Roman"/>
          <w:i/>
        </w:rPr>
        <w:t xml:space="preserve"> </w:t>
      </w:r>
      <w:r w:rsidRPr="00C76E47">
        <w:rPr>
          <w:rFonts w:ascii="Times New Roman" w:hAnsi="Times New Roman" w:cs="Times New Roman"/>
        </w:rPr>
        <w:t>(London, 1625)</w:t>
      </w:r>
      <w:r w:rsidR="00597558" w:rsidRPr="00C76E47">
        <w:rPr>
          <w:rFonts w:ascii="Times New Roman" w:hAnsi="Times New Roman" w:cs="Times New Roman"/>
          <w:iCs/>
        </w:rPr>
        <w:t xml:space="preserve">, which </w:t>
      </w:r>
      <w:r w:rsidRPr="00C76E47">
        <w:rPr>
          <w:rFonts w:ascii="Times New Roman" w:hAnsi="Times New Roman" w:cs="Times New Roman"/>
        </w:rPr>
        <w:t xml:space="preserve">includes a fifty-two-page chapter </w:t>
      </w:r>
      <w:r w:rsidR="00920981" w:rsidRPr="00C76E47">
        <w:rPr>
          <w:rFonts w:ascii="Times New Roman" w:hAnsi="Times New Roman" w:cs="Times New Roman"/>
        </w:rPr>
        <w:t xml:space="preserve">on the </w:t>
      </w:r>
      <w:r w:rsidR="00920981" w:rsidRPr="00C76E47">
        <w:rPr>
          <w:rFonts w:ascii="Times New Roman" w:hAnsi="Times New Roman" w:cs="Times New Roman"/>
          <w:i/>
          <w:iCs/>
        </w:rPr>
        <w:t xml:space="preserve">Mendoza </w:t>
      </w:r>
      <w:r w:rsidRPr="00C76E47">
        <w:rPr>
          <w:rFonts w:ascii="Times New Roman" w:hAnsi="Times New Roman" w:cs="Times New Roman"/>
        </w:rPr>
        <w:t xml:space="preserve">with woodcuts reproducing almost </w:t>
      </w:r>
      <w:r w:rsidR="00920981" w:rsidRPr="00C76E47">
        <w:rPr>
          <w:rFonts w:ascii="Times New Roman" w:hAnsi="Times New Roman" w:cs="Times New Roman"/>
        </w:rPr>
        <w:t>its</w:t>
      </w:r>
      <w:r w:rsidRPr="00C76E47">
        <w:rPr>
          <w:rFonts w:ascii="Times New Roman" w:hAnsi="Times New Roman" w:cs="Times New Roman"/>
        </w:rPr>
        <w:t xml:space="preserve"> entire pictorial content as well as an English translation of the Spanish text, with additional commentary. Purchas explained that although his book introduced the letters of other modern and ancient nations, including Chinese, Japanese, Indian, Arabic, and Persian, as well as Egyptian and Ethiopian hieroglyphs, this precious Mexican manuscript was the only known full-fledged history of and by a foreign nation, addressing their rulers, economics, religion, and customs. For </w:t>
      </w:r>
      <w:r w:rsidR="0053614E">
        <w:rPr>
          <w:rFonts w:ascii="Times New Roman" w:hAnsi="Times New Roman" w:cs="Times New Roman"/>
        </w:rPr>
        <w:t>Purchas</w:t>
      </w:r>
      <w:r w:rsidRPr="00C76E47">
        <w:rPr>
          <w:rFonts w:ascii="Times New Roman" w:hAnsi="Times New Roman" w:cs="Times New Roman"/>
        </w:rPr>
        <w:t xml:space="preserve">, the </w:t>
      </w:r>
      <w:r w:rsidRPr="00C76E47">
        <w:rPr>
          <w:rFonts w:ascii="Times New Roman" w:hAnsi="Times New Roman" w:cs="Times New Roman"/>
          <w:i/>
        </w:rPr>
        <w:t xml:space="preserve">Codex Mendoza </w:t>
      </w:r>
      <w:r w:rsidRPr="00C76E47">
        <w:rPr>
          <w:rFonts w:ascii="Times New Roman" w:hAnsi="Times New Roman" w:cs="Times New Roman"/>
        </w:rPr>
        <w:t xml:space="preserve">represented much more than a collectible example of exotic writing: it constituted a unique indigenous source about the Aztec world. </w:t>
      </w:r>
      <w:r w:rsidR="0053614E">
        <w:rPr>
          <w:rFonts w:ascii="Times New Roman" w:hAnsi="Times New Roman" w:cs="Times New Roman"/>
        </w:rPr>
        <w:t xml:space="preserve">Indeed, the </w:t>
      </w:r>
      <w:r w:rsidR="0053614E">
        <w:rPr>
          <w:rFonts w:ascii="Times New Roman" w:hAnsi="Times New Roman" w:cs="Times New Roman"/>
          <w:i/>
          <w:iCs/>
        </w:rPr>
        <w:t xml:space="preserve">Mendoza </w:t>
      </w:r>
      <w:r w:rsidR="0053614E">
        <w:rPr>
          <w:rFonts w:ascii="Times New Roman" w:hAnsi="Times New Roman" w:cs="Times New Roman"/>
        </w:rPr>
        <w:t xml:space="preserve">was extraordinary at that moment. A small number of pre- and post-conquest Mexican manuscripts were at that point held in various collections across Europe, but nobody knew how to make sense of the former and almost nobody saw the latter. The Spanish-language text made the </w:t>
      </w:r>
      <w:r w:rsidR="0053614E">
        <w:rPr>
          <w:rFonts w:ascii="Times New Roman" w:hAnsi="Times New Roman" w:cs="Times New Roman"/>
          <w:i/>
          <w:iCs/>
        </w:rPr>
        <w:t xml:space="preserve">Mendoza </w:t>
      </w:r>
      <w:r w:rsidR="0053614E">
        <w:rPr>
          <w:rFonts w:ascii="Times New Roman" w:hAnsi="Times New Roman" w:cs="Times New Roman"/>
        </w:rPr>
        <w:t xml:space="preserve">one of the very few Mexican manuscripts that Europeans found legible. The </w:t>
      </w:r>
      <w:r w:rsidRPr="00C76E47">
        <w:rPr>
          <w:rFonts w:ascii="Times New Roman" w:hAnsi="Times New Roman" w:cs="Times New Roman"/>
        </w:rPr>
        <w:t xml:space="preserve">fact that </w:t>
      </w:r>
      <w:r w:rsidR="0053614E">
        <w:rPr>
          <w:rFonts w:ascii="Times New Roman" w:hAnsi="Times New Roman" w:cs="Times New Roman"/>
        </w:rPr>
        <w:t xml:space="preserve">it </w:t>
      </w:r>
      <w:r w:rsidRPr="00C76E47">
        <w:rPr>
          <w:rFonts w:ascii="Times New Roman" w:hAnsi="Times New Roman" w:cs="Times New Roman"/>
        </w:rPr>
        <w:t>was a history—a highly regarded genre at the time—mattered greatly to Purchas’ assessment of the codex, helping to prove Aztec governance and civility and to establish the Aztecs as a sophisticated civilization.</w:t>
      </w:r>
      <w:r w:rsidR="0049204A" w:rsidRPr="00C76E47">
        <w:rPr>
          <w:rFonts w:ascii="Times New Roman" w:hAnsi="Times New Roman" w:cs="Times New Roman"/>
        </w:rPr>
        <w:t xml:space="preserve"> </w:t>
      </w:r>
      <w:r w:rsidRPr="00C76E47">
        <w:rPr>
          <w:rFonts w:ascii="Times New Roman" w:hAnsi="Times New Roman" w:cs="Times New Roman"/>
        </w:rPr>
        <w:t xml:space="preserve">Purchas’ high esteem for the manuscript is evidenced by the decision to reproduce it almost in its entirety, which involved having the Spanish text translated into English and also commissioning a large number of woodcut </w:t>
      </w:r>
      <w:r w:rsidRPr="00C76E47">
        <w:rPr>
          <w:rFonts w:ascii="Times New Roman" w:hAnsi="Times New Roman" w:cs="Times New Roman"/>
        </w:rPr>
        <w:lastRenderedPageBreak/>
        <w:t>reproductions of the figures, a laborious and costly choice. No other document in the four volumes of the text received comparable treatment, in length or illustrations.</w:t>
      </w:r>
      <w:r w:rsidR="0053614E">
        <w:rPr>
          <w:rFonts w:ascii="Times New Roman" w:hAnsi="Times New Roman" w:cs="Times New Roman"/>
        </w:rPr>
        <w:t xml:space="preserve"> No other American manuscript was reproduced in its entirety before the nineteenth century.</w:t>
      </w:r>
    </w:p>
    <w:p w14:paraId="422DBBEC" w14:textId="77777777" w:rsidR="004A55CA" w:rsidRPr="00C76E47" w:rsidRDefault="004A55CA" w:rsidP="004A55CA">
      <w:pPr>
        <w:spacing w:line="480" w:lineRule="auto"/>
        <w:rPr>
          <w:rFonts w:ascii="Times New Roman" w:hAnsi="Times New Roman" w:cs="Times New Roman"/>
        </w:rPr>
      </w:pPr>
    </w:p>
    <w:p w14:paraId="39EBFFFF" w14:textId="6BC9BDBC" w:rsidR="007804C5" w:rsidRPr="00C76E47" w:rsidRDefault="007804C5" w:rsidP="004A55CA">
      <w:pPr>
        <w:spacing w:line="480" w:lineRule="auto"/>
        <w:rPr>
          <w:rFonts w:ascii="Times New Roman" w:hAnsi="Times New Roman" w:cs="Times New Roman"/>
        </w:rPr>
      </w:pPr>
      <w:r w:rsidRPr="00C76E47">
        <w:rPr>
          <w:rFonts w:ascii="Times New Roman" w:eastAsia="Times New Roman" w:hAnsi="Times New Roman" w:cs="Times New Roman"/>
        </w:rPr>
        <w:t xml:space="preserve">Purchas’ </w:t>
      </w:r>
      <w:r w:rsidRPr="00C76E47">
        <w:rPr>
          <w:rFonts w:ascii="Times New Roman" w:hAnsi="Times New Roman" w:cs="Times New Roman"/>
        </w:rPr>
        <w:t xml:space="preserve">version of the </w:t>
      </w:r>
      <w:r w:rsidRPr="00C76E47">
        <w:rPr>
          <w:rFonts w:ascii="Times New Roman" w:hAnsi="Times New Roman" w:cs="Times New Roman"/>
          <w:i/>
        </w:rPr>
        <w:t xml:space="preserve">Codex Mendoza </w:t>
      </w:r>
      <w:r w:rsidRPr="00C76E47">
        <w:rPr>
          <w:rFonts w:ascii="Times New Roman" w:hAnsi="Times New Roman" w:cs="Times New Roman"/>
        </w:rPr>
        <w:t>had enormous impact</w:t>
      </w:r>
      <w:r w:rsidR="0053614E">
        <w:rPr>
          <w:rFonts w:ascii="Times New Roman" w:hAnsi="Times New Roman" w:cs="Times New Roman"/>
        </w:rPr>
        <w:t>.</w:t>
      </w:r>
      <w:r w:rsidRPr="00C76E47">
        <w:rPr>
          <w:rFonts w:ascii="Times New Roman" w:hAnsi="Times New Roman" w:cs="Times New Roman"/>
        </w:rPr>
        <w:t xml:space="preserve"> Between 1625 </w:t>
      </w:r>
      <w:proofErr w:type="gramStart"/>
      <w:r w:rsidRPr="00C76E47">
        <w:rPr>
          <w:rFonts w:ascii="Times New Roman" w:hAnsi="Times New Roman" w:cs="Times New Roman"/>
        </w:rPr>
        <w:t xml:space="preserve">and </w:t>
      </w:r>
      <w:r w:rsidR="0053614E" w:rsidRPr="0053614E">
        <w:rPr>
          <w:rFonts w:ascii="Times New Roman" w:hAnsi="Times New Roman" w:cs="Times New Roman"/>
        </w:rPr>
        <w:t xml:space="preserve"> </w:t>
      </w:r>
      <w:r w:rsidR="0053614E" w:rsidRPr="00C76E47">
        <w:rPr>
          <w:rFonts w:ascii="Times New Roman" w:hAnsi="Times New Roman" w:cs="Times New Roman"/>
        </w:rPr>
        <w:t>the</w:t>
      </w:r>
      <w:proofErr w:type="gramEnd"/>
      <w:r w:rsidR="0053614E" w:rsidRPr="00C76E47">
        <w:rPr>
          <w:rFonts w:ascii="Times New Roman" w:hAnsi="Times New Roman" w:cs="Times New Roman"/>
        </w:rPr>
        <w:t xml:space="preserve"> publication of Lord Kingsborough’s nine-volume </w:t>
      </w:r>
      <w:r w:rsidR="0053614E" w:rsidRPr="00C76E47">
        <w:rPr>
          <w:rFonts w:ascii="Times New Roman" w:eastAsia="Times New Roman" w:hAnsi="Times New Roman" w:cs="Times New Roman"/>
          <w:bCs/>
          <w:i/>
          <w:iCs/>
        </w:rPr>
        <w:t>Antiquities of Mexico</w:t>
      </w:r>
      <w:r w:rsidR="0053614E" w:rsidRPr="00C76E47">
        <w:rPr>
          <w:rFonts w:ascii="Times New Roman" w:hAnsi="Times New Roman" w:cs="Times New Roman"/>
        </w:rPr>
        <w:t xml:space="preserve"> </w:t>
      </w:r>
      <w:r w:rsidR="0053614E" w:rsidRPr="00C76E47">
        <w:rPr>
          <w:rFonts w:ascii="Times New Roman" w:eastAsia="Times New Roman" w:hAnsi="Times New Roman" w:cs="Times New Roman"/>
          <w:bCs/>
          <w:iCs/>
          <w:color w:val="000000"/>
        </w:rPr>
        <w:t>(</w:t>
      </w:r>
      <w:r w:rsidR="0053614E" w:rsidRPr="00C76E47">
        <w:rPr>
          <w:rStyle w:val="citation"/>
          <w:rFonts w:ascii="Times New Roman" w:eastAsia="Times New Roman" w:hAnsi="Times New Roman" w:cs="Times New Roman"/>
        </w:rPr>
        <w:t>1831</w:t>
      </w:r>
      <w:r w:rsidR="0053614E" w:rsidRPr="00C76E47">
        <w:rPr>
          <w:rStyle w:val="citation"/>
          <w:rFonts w:ascii="Times New Roman" w:eastAsia="Times New Roman" w:hAnsi="Times New Roman" w:cs="Times New Roman"/>
          <w:bCs/>
          <w:color w:val="000000"/>
        </w:rPr>
        <w:t>–48</w:t>
      </w:r>
      <w:r w:rsidR="0053614E">
        <w:rPr>
          <w:rStyle w:val="citation"/>
          <w:rFonts w:ascii="Times New Roman" w:eastAsia="Times New Roman" w:hAnsi="Times New Roman" w:cs="Times New Roman"/>
          <w:bCs/>
          <w:color w:val="000000"/>
        </w:rPr>
        <w:t>)</w:t>
      </w:r>
      <w:r w:rsidRPr="00C76E47">
        <w:rPr>
          <w:rFonts w:ascii="Times New Roman" w:hAnsi="Times New Roman" w:cs="Times New Roman"/>
        </w:rPr>
        <w:t xml:space="preserve">, Purchas’ print translation provided the source material for no fewer than six other titles in </w:t>
      </w:r>
      <w:r w:rsidR="00CB74A1">
        <w:rPr>
          <w:rFonts w:ascii="Times New Roman" w:hAnsi="Times New Roman" w:cs="Times New Roman"/>
        </w:rPr>
        <w:t>nine</w:t>
      </w:r>
      <w:r w:rsidR="00CB74A1" w:rsidRPr="00C76E47">
        <w:rPr>
          <w:rFonts w:ascii="Times New Roman" w:hAnsi="Times New Roman" w:cs="Times New Roman"/>
        </w:rPr>
        <w:t xml:space="preserve"> </w:t>
      </w:r>
      <w:r w:rsidRPr="00C76E47">
        <w:rPr>
          <w:rFonts w:ascii="Times New Roman" w:hAnsi="Times New Roman" w:cs="Times New Roman"/>
        </w:rPr>
        <w:t>different editions, many of them influential and widely read works (</w:t>
      </w:r>
      <w:r w:rsidR="00CB74A1">
        <w:rPr>
          <w:rFonts w:ascii="Times New Roman" w:hAnsi="Times New Roman" w:cs="Times New Roman"/>
        </w:rPr>
        <w:t>T</w:t>
      </w:r>
      <w:r w:rsidRPr="00C76E47">
        <w:rPr>
          <w:rFonts w:ascii="Times New Roman" w:hAnsi="Times New Roman" w:cs="Times New Roman"/>
        </w:rPr>
        <w:t xml:space="preserve">able 1). </w:t>
      </w:r>
      <w:r w:rsidRPr="00C76E47">
        <w:rPr>
          <w:rStyle w:val="citation"/>
          <w:rFonts w:ascii="Times New Roman" w:eastAsia="Times New Roman" w:hAnsi="Times New Roman" w:cs="Times New Roman"/>
        </w:rPr>
        <w:t xml:space="preserve">For two centuries, the numerous authors who wrote about the </w:t>
      </w:r>
      <w:r w:rsidRPr="00C76E47">
        <w:rPr>
          <w:rStyle w:val="citation"/>
          <w:rFonts w:ascii="Times New Roman" w:eastAsia="Times New Roman" w:hAnsi="Times New Roman" w:cs="Times New Roman"/>
          <w:i/>
        </w:rPr>
        <w:t xml:space="preserve">Mendoza </w:t>
      </w:r>
      <w:r w:rsidRPr="00C76E47">
        <w:rPr>
          <w:rStyle w:val="citation"/>
          <w:rFonts w:ascii="Times New Roman" w:eastAsia="Times New Roman" w:hAnsi="Times New Roman" w:cs="Times New Roman"/>
        </w:rPr>
        <w:t xml:space="preserve">based their information and images on </w:t>
      </w:r>
      <w:r w:rsidRPr="00C76E47">
        <w:rPr>
          <w:rFonts w:ascii="Times New Roman" w:hAnsi="Times New Roman" w:cs="Times New Roman"/>
        </w:rPr>
        <w:t xml:space="preserve">Purchas’ edition, and to a lesser degree on later versions based on it. This meant that they knew the pictographs as black-and-white woodcuts rather than as vividly colored drawings, and that they did not fully realize the Spanish textual presence. Thanks to Purchas, the </w:t>
      </w:r>
      <w:r w:rsidRPr="00C76E47">
        <w:rPr>
          <w:rFonts w:ascii="Times New Roman" w:hAnsi="Times New Roman" w:cs="Times New Roman"/>
          <w:i/>
        </w:rPr>
        <w:t>Mendoza</w:t>
      </w:r>
      <w:r w:rsidRPr="00C76E47">
        <w:rPr>
          <w:rFonts w:ascii="Times New Roman" w:hAnsi="Times New Roman" w:cs="Times New Roman"/>
        </w:rPr>
        <w:t xml:space="preserve"> may well be the single most reproduced</w:t>
      </w:r>
      <w:r w:rsidR="00CB74A1">
        <w:rPr>
          <w:rFonts w:ascii="Times New Roman" w:hAnsi="Times New Roman" w:cs="Times New Roman"/>
        </w:rPr>
        <w:t xml:space="preserve"> and studied</w:t>
      </w:r>
      <w:r w:rsidRPr="00C76E47">
        <w:rPr>
          <w:rFonts w:ascii="Times New Roman" w:hAnsi="Times New Roman" w:cs="Times New Roman"/>
        </w:rPr>
        <w:t xml:space="preserve"> </w:t>
      </w:r>
      <w:r w:rsidR="00934EC7">
        <w:rPr>
          <w:rFonts w:ascii="Times New Roman" w:hAnsi="Times New Roman" w:cs="Times New Roman"/>
        </w:rPr>
        <w:t>New World</w:t>
      </w:r>
      <w:r w:rsidR="00CB74A1" w:rsidRPr="00C76E47">
        <w:rPr>
          <w:rFonts w:ascii="Times New Roman" w:hAnsi="Times New Roman" w:cs="Times New Roman"/>
        </w:rPr>
        <w:t xml:space="preserve"> </w:t>
      </w:r>
      <w:r w:rsidRPr="00C76E47">
        <w:rPr>
          <w:rFonts w:ascii="Times New Roman" w:hAnsi="Times New Roman" w:cs="Times New Roman"/>
        </w:rPr>
        <w:t>manuscript.</w:t>
      </w:r>
    </w:p>
    <w:p w14:paraId="617FCA4E" w14:textId="77777777" w:rsidR="004A55CA" w:rsidRPr="00C76E47" w:rsidRDefault="004A55CA" w:rsidP="004A55CA">
      <w:pPr>
        <w:spacing w:line="480" w:lineRule="auto"/>
        <w:rPr>
          <w:rFonts w:ascii="Times New Roman" w:hAnsi="Times New Roman" w:cs="Times New Roman"/>
        </w:rPr>
      </w:pPr>
    </w:p>
    <w:tbl>
      <w:tblPr>
        <w:tblW w:w="0" w:type="auto"/>
        <w:tblBorders>
          <w:top w:val="single" w:sz="8" w:space="0" w:color="000000"/>
          <w:bottom w:val="single" w:sz="8" w:space="0" w:color="000000"/>
        </w:tblBorders>
        <w:tblLook w:val="04A0" w:firstRow="1" w:lastRow="0" w:firstColumn="1" w:lastColumn="0" w:noHBand="0" w:noVBand="1"/>
      </w:tblPr>
      <w:tblGrid>
        <w:gridCol w:w="9350"/>
      </w:tblGrid>
      <w:tr w:rsidR="002828B3" w:rsidRPr="00C76E47" w14:paraId="64F72F6F" w14:textId="77777777" w:rsidTr="00035B61">
        <w:tc>
          <w:tcPr>
            <w:tcW w:w="9350" w:type="dxa"/>
            <w:tcBorders>
              <w:top w:val="single" w:sz="4" w:space="0" w:color="auto"/>
              <w:left w:val="single" w:sz="4" w:space="0" w:color="auto"/>
              <w:bottom w:val="single" w:sz="8" w:space="0" w:color="000000"/>
              <w:right w:val="single" w:sz="4" w:space="0" w:color="auto"/>
            </w:tcBorders>
            <w:shd w:val="clear" w:color="auto" w:fill="auto"/>
          </w:tcPr>
          <w:p w14:paraId="5086F87A" w14:textId="353C9206" w:rsidR="002828B3" w:rsidRPr="00C76E47" w:rsidRDefault="002828B3" w:rsidP="00C76E47">
            <w:pPr>
              <w:rPr>
                <w:rFonts w:ascii="Times New Roman" w:eastAsia="MS Gothic" w:hAnsi="Times New Roman" w:cs="Times New Roman"/>
                <w:b/>
                <w:bCs/>
                <w:color w:val="000000"/>
              </w:rPr>
            </w:pPr>
            <w:r w:rsidRPr="00C76E47">
              <w:rPr>
                <w:rFonts w:ascii="Times New Roman" w:eastAsia="MS Gothic" w:hAnsi="Times New Roman" w:cs="Times New Roman"/>
                <w:b/>
                <w:bCs/>
                <w:color w:val="000000"/>
              </w:rPr>
              <w:t xml:space="preserve">Table 1. Publications Presenting Material from the </w:t>
            </w:r>
            <w:r w:rsidRPr="00C76E47">
              <w:rPr>
                <w:rFonts w:ascii="Times New Roman" w:eastAsia="MS Gothic" w:hAnsi="Times New Roman" w:cs="Times New Roman"/>
                <w:b/>
                <w:bCs/>
                <w:i/>
                <w:color w:val="000000"/>
              </w:rPr>
              <w:t xml:space="preserve">Codex Mendoza, </w:t>
            </w:r>
            <w:r w:rsidRPr="00C76E47">
              <w:rPr>
                <w:rFonts w:ascii="Times New Roman" w:eastAsia="MS Gothic" w:hAnsi="Times New Roman" w:cs="Times New Roman"/>
                <w:b/>
                <w:bCs/>
                <w:color w:val="000000"/>
              </w:rPr>
              <w:t>1625–1831</w:t>
            </w:r>
          </w:p>
        </w:tc>
      </w:tr>
      <w:tr w:rsidR="002828B3" w:rsidRPr="00C76E47" w14:paraId="7ED7A7D1" w14:textId="77777777" w:rsidTr="00035B61">
        <w:tc>
          <w:tcPr>
            <w:tcW w:w="9350" w:type="dxa"/>
            <w:tcBorders>
              <w:left w:val="single" w:sz="4" w:space="0" w:color="auto"/>
              <w:right w:val="single" w:sz="4" w:space="0" w:color="auto"/>
            </w:tcBorders>
            <w:shd w:val="clear" w:color="auto" w:fill="C0C0C0"/>
          </w:tcPr>
          <w:p w14:paraId="2C597484" w14:textId="78DCEAFB" w:rsidR="001B73C9" w:rsidRPr="00C76E47" w:rsidRDefault="002828B3" w:rsidP="00C76E47">
            <w:pPr>
              <w:numPr>
                <w:ilvl w:val="0"/>
                <w:numId w:val="1"/>
              </w:numPr>
              <w:ind w:left="360"/>
              <w:rPr>
                <w:rFonts w:ascii="Times New Roman" w:hAnsi="Times New Roman" w:cs="Times New Roman"/>
                <w:color w:val="000000"/>
              </w:rPr>
            </w:pPr>
            <w:r w:rsidRPr="00C76E47">
              <w:rPr>
                <w:rFonts w:ascii="Times New Roman" w:hAnsi="Times New Roman" w:cs="Times New Roman"/>
                <w:color w:val="000000"/>
              </w:rPr>
              <w:t xml:space="preserve">Samuel Purchas, </w:t>
            </w:r>
            <w:proofErr w:type="spellStart"/>
            <w:r w:rsidRPr="00C76E47">
              <w:rPr>
                <w:rFonts w:ascii="Times New Roman" w:hAnsi="Times New Roman" w:cs="Times New Roman"/>
                <w:i/>
                <w:iCs/>
                <w:color w:val="000000"/>
              </w:rPr>
              <w:t>Hakluytus</w:t>
            </w:r>
            <w:proofErr w:type="spellEnd"/>
            <w:r w:rsidRPr="00C76E47">
              <w:rPr>
                <w:rFonts w:ascii="Times New Roman" w:hAnsi="Times New Roman" w:cs="Times New Roman"/>
                <w:i/>
                <w:iCs/>
                <w:color w:val="000000"/>
              </w:rPr>
              <w:t xml:space="preserve"> </w:t>
            </w:r>
            <w:proofErr w:type="spellStart"/>
            <w:r w:rsidRPr="00C76E47">
              <w:rPr>
                <w:rFonts w:ascii="Times New Roman" w:hAnsi="Times New Roman" w:cs="Times New Roman"/>
                <w:i/>
                <w:iCs/>
                <w:color w:val="000000"/>
              </w:rPr>
              <w:t>posthumus</w:t>
            </w:r>
            <w:proofErr w:type="spellEnd"/>
            <w:r w:rsidRPr="00C76E47">
              <w:rPr>
                <w:rFonts w:ascii="Times New Roman" w:hAnsi="Times New Roman" w:cs="Times New Roman"/>
                <w:i/>
                <w:iCs/>
                <w:color w:val="000000"/>
              </w:rPr>
              <w:t>, or Purchas his pilgrims</w:t>
            </w:r>
            <w:r w:rsidRPr="00C76E47">
              <w:rPr>
                <w:rFonts w:ascii="Times New Roman" w:hAnsi="Times New Roman" w:cs="Times New Roman"/>
                <w:iCs/>
                <w:color w:val="000000"/>
              </w:rPr>
              <w:t>,</w:t>
            </w:r>
            <w:r w:rsidRPr="00C76E47">
              <w:rPr>
                <w:rFonts w:ascii="Times New Roman" w:hAnsi="Times New Roman" w:cs="Times New Roman"/>
                <w:i/>
                <w:iCs/>
                <w:color w:val="000000"/>
              </w:rPr>
              <w:t xml:space="preserve"> </w:t>
            </w:r>
            <w:r w:rsidRPr="00C76E47">
              <w:rPr>
                <w:rFonts w:ascii="Times New Roman" w:hAnsi="Times New Roman" w:cs="Times New Roman"/>
                <w:color w:val="000000"/>
              </w:rPr>
              <w:t>London, 1625</w:t>
            </w:r>
          </w:p>
        </w:tc>
      </w:tr>
      <w:tr w:rsidR="002828B3" w:rsidRPr="0033753C" w14:paraId="46041F33" w14:textId="77777777" w:rsidTr="00035B61">
        <w:tc>
          <w:tcPr>
            <w:tcW w:w="9350" w:type="dxa"/>
            <w:tcBorders>
              <w:left w:val="single" w:sz="4" w:space="0" w:color="auto"/>
              <w:right w:val="single" w:sz="4" w:space="0" w:color="auto"/>
            </w:tcBorders>
            <w:shd w:val="clear" w:color="auto" w:fill="auto"/>
          </w:tcPr>
          <w:p w14:paraId="75B54424" w14:textId="4E2F9E56" w:rsidR="001B73C9" w:rsidRPr="0033753C" w:rsidRDefault="002828B3" w:rsidP="00C76E47">
            <w:pPr>
              <w:numPr>
                <w:ilvl w:val="0"/>
                <w:numId w:val="1"/>
              </w:numPr>
              <w:ind w:left="360"/>
              <w:rPr>
                <w:rFonts w:ascii="Times New Roman" w:hAnsi="Times New Roman" w:cs="Times New Roman"/>
                <w:color w:val="000000"/>
                <w:lang w:val="nl-NL"/>
              </w:rPr>
            </w:pPr>
            <w:r w:rsidRPr="0033753C">
              <w:rPr>
                <w:rFonts w:ascii="Times New Roman" w:hAnsi="Times New Roman" w:cs="Times New Roman"/>
                <w:color w:val="000000"/>
                <w:lang w:val="nl-NL"/>
              </w:rPr>
              <w:t xml:space="preserve">Johannes de Laet, </w:t>
            </w:r>
            <w:r w:rsidRPr="0033753C">
              <w:rPr>
                <w:rFonts w:ascii="Times New Roman" w:hAnsi="Times New Roman" w:cs="Times New Roman"/>
                <w:i/>
                <w:iCs/>
                <w:color w:val="000000"/>
                <w:lang w:val="nl-NL"/>
              </w:rPr>
              <w:t xml:space="preserve">Nieuwe Wereldt ofte Beschrijvinghe van West-Indien </w:t>
            </w:r>
            <w:r w:rsidRPr="0033753C">
              <w:rPr>
                <w:rFonts w:ascii="Times New Roman" w:hAnsi="Times New Roman" w:cs="Times New Roman"/>
                <w:color w:val="000000"/>
                <w:lang w:val="nl-NL"/>
              </w:rPr>
              <w:t>[1625], 2nd edition, Leiden, 1630</w:t>
            </w:r>
          </w:p>
        </w:tc>
      </w:tr>
      <w:tr w:rsidR="002828B3" w:rsidRPr="0033753C" w14:paraId="7F738DCD" w14:textId="77777777" w:rsidTr="00035B61">
        <w:tc>
          <w:tcPr>
            <w:tcW w:w="9350" w:type="dxa"/>
            <w:tcBorders>
              <w:left w:val="single" w:sz="4" w:space="0" w:color="auto"/>
              <w:right w:val="single" w:sz="4" w:space="0" w:color="auto"/>
            </w:tcBorders>
            <w:shd w:val="clear" w:color="auto" w:fill="C0C0C0"/>
          </w:tcPr>
          <w:p w14:paraId="222EFB83" w14:textId="62C118C2" w:rsidR="001B73C9" w:rsidRPr="0033753C" w:rsidRDefault="002828B3" w:rsidP="00C76E47">
            <w:pPr>
              <w:numPr>
                <w:ilvl w:val="0"/>
                <w:numId w:val="1"/>
              </w:numPr>
              <w:ind w:left="360"/>
              <w:rPr>
                <w:rFonts w:ascii="Times New Roman" w:eastAsia="Times New Roman" w:hAnsi="Times New Roman" w:cs="Times New Roman"/>
                <w:color w:val="000000"/>
                <w:lang w:val="fr-FR"/>
              </w:rPr>
            </w:pPr>
            <w:r w:rsidRPr="0033753C">
              <w:rPr>
                <w:rFonts w:ascii="Times New Roman" w:eastAsia="Times New Roman" w:hAnsi="Times New Roman" w:cs="Times New Roman"/>
                <w:color w:val="000000"/>
                <w:lang w:val="fr-FR"/>
              </w:rPr>
              <w:t xml:space="preserve">Johannes de </w:t>
            </w:r>
            <w:proofErr w:type="spellStart"/>
            <w:r w:rsidRPr="0033753C">
              <w:rPr>
                <w:rFonts w:ascii="Times New Roman" w:eastAsia="Times New Roman" w:hAnsi="Times New Roman" w:cs="Times New Roman"/>
                <w:color w:val="000000"/>
                <w:lang w:val="fr-FR"/>
              </w:rPr>
              <w:t>Laet</w:t>
            </w:r>
            <w:proofErr w:type="spellEnd"/>
            <w:r w:rsidRPr="0033753C">
              <w:rPr>
                <w:rFonts w:ascii="Times New Roman" w:eastAsia="Times New Roman" w:hAnsi="Times New Roman" w:cs="Times New Roman"/>
                <w:color w:val="000000"/>
                <w:lang w:val="fr-FR"/>
              </w:rPr>
              <w:t xml:space="preserve">, </w:t>
            </w:r>
            <w:proofErr w:type="spellStart"/>
            <w:r w:rsidRPr="0033753C">
              <w:rPr>
                <w:rFonts w:ascii="Times New Roman" w:eastAsia="Times New Roman" w:hAnsi="Times New Roman" w:cs="Times New Roman"/>
                <w:i/>
                <w:iCs/>
                <w:color w:val="000000"/>
                <w:lang w:val="fr-FR"/>
              </w:rPr>
              <w:t>Novus</w:t>
            </w:r>
            <w:proofErr w:type="spellEnd"/>
            <w:r w:rsidRPr="0033753C">
              <w:rPr>
                <w:rFonts w:ascii="Times New Roman" w:eastAsia="Times New Roman" w:hAnsi="Times New Roman" w:cs="Times New Roman"/>
                <w:i/>
                <w:iCs/>
                <w:color w:val="000000"/>
                <w:lang w:val="fr-FR"/>
              </w:rPr>
              <w:t xml:space="preserve"> Orbis </w:t>
            </w:r>
            <w:proofErr w:type="spellStart"/>
            <w:r w:rsidRPr="0033753C">
              <w:rPr>
                <w:rFonts w:ascii="Times New Roman" w:eastAsia="Times New Roman" w:hAnsi="Times New Roman" w:cs="Times New Roman"/>
                <w:i/>
                <w:iCs/>
                <w:color w:val="000000"/>
                <w:lang w:val="fr-FR"/>
              </w:rPr>
              <w:t>seu</w:t>
            </w:r>
            <w:proofErr w:type="spellEnd"/>
            <w:r w:rsidRPr="0033753C">
              <w:rPr>
                <w:rFonts w:ascii="Times New Roman" w:eastAsia="Times New Roman" w:hAnsi="Times New Roman" w:cs="Times New Roman"/>
                <w:i/>
                <w:iCs/>
                <w:color w:val="000000"/>
                <w:lang w:val="fr-FR"/>
              </w:rPr>
              <w:t xml:space="preserve"> </w:t>
            </w:r>
            <w:proofErr w:type="spellStart"/>
            <w:r w:rsidRPr="0033753C">
              <w:rPr>
                <w:rFonts w:ascii="Times New Roman" w:eastAsia="Times New Roman" w:hAnsi="Times New Roman" w:cs="Times New Roman"/>
                <w:i/>
                <w:iCs/>
                <w:color w:val="000000"/>
                <w:lang w:val="fr-FR"/>
              </w:rPr>
              <w:t>descriptionis</w:t>
            </w:r>
            <w:proofErr w:type="spellEnd"/>
            <w:r w:rsidRPr="0033753C">
              <w:rPr>
                <w:rFonts w:ascii="Times New Roman" w:eastAsia="Times New Roman" w:hAnsi="Times New Roman" w:cs="Times New Roman"/>
                <w:i/>
                <w:iCs/>
                <w:color w:val="000000"/>
                <w:lang w:val="fr-FR"/>
              </w:rPr>
              <w:t xml:space="preserve"> </w:t>
            </w:r>
            <w:proofErr w:type="spellStart"/>
            <w:r w:rsidRPr="0033753C">
              <w:rPr>
                <w:rFonts w:ascii="Times New Roman" w:eastAsia="Times New Roman" w:hAnsi="Times New Roman" w:cs="Times New Roman"/>
                <w:i/>
                <w:iCs/>
                <w:color w:val="000000"/>
                <w:lang w:val="fr-FR"/>
              </w:rPr>
              <w:t>Indiae</w:t>
            </w:r>
            <w:proofErr w:type="spellEnd"/>
            <w:r w:rsidRPr="0033753C">
              <w:rPr>
                <w:rFonts w:ascii="Times New Roman" w:eastAsia="Times New Roman" w:hAnsi="Times New Roman" w:cs="Times New Roman"/>
                <w:i/>
                <w:iCs/>
                <w:color w:val="000000"/>
                <w:lang w:val="fr-FR"/>
              </w:rPr>
              <w:t xml:space="preserve"> Occidentalis</w:t>
            </w:r>
            <w:r w:rsidRPr="0033753C">
              <w:rPr>
                <w:rFonts w:ascii="Times New Roman" w:eastAsia="Times New Roman" w:hAnsi="Times New Roman" w:cs="Times New Roman"/>
                <w:iCs/>
                <w:color w:val="000000"/>
                <w:lang w:val="fr-FR"/>
              </w:rPr>
              <w:t xml:space="preserve">, Amsterdam, </w:t>
            </w:r>
            <w:r w:rsidRPr="0033753C">
              <w:rPr>
                <w:rFonts w:ascii="Times New Roman" w:eastAsia="Times New Roman" w:hAnsi="Times New Roman" w:cs="Times New Roman"/>
                <w:color w:val="000000"/>
                <w:lang w:val="fr-FR"/>
              </w:rPr>
              <w:t>1633</w:t>
            </w:r>
          </w:p>
        </w:tc>
      </w:tr>
      <w:tr w:rsidR="002828B3" w:rsidRPr="0033753C" w14:paraId="655FD24A" w14:textId="77777777" w:rsidTr="00035B61">
        <w:tc>
          <w:tcPr>
            <w:tcW w:w="9350" w:type="dxa"/>
            <w:tcBorders>
              <w:left w:val="single" w:sz="4" w:space="0" w:color="auto"/>
              <w:right w:val="single" w:sz="4" w:space="0" w:color="auto"/>
            </w:tcBorders>
            <w:shd w:val="clear" w:color="auto" w:fill="auto"/>
          </w:tcPr>
          <w:p w14:paraId="0D789103" w14:textId="1B78267A" w:rsidR="001B73C9" w:rsidRPr="0033753C" w:rsidRDefault="002828B3" w:rsidP="00C76E47">
            <w:pPr>
              <w:numPr>
                <w:ilvl w:val="0"/>
                <w:numId w:val="1"/>
              </w:numPr>
              <w:ind w:left="360"/>
              <w:rPr>
                <w:rFonts w:ascii="Times New Roman" w:hAnsi="Times New Roman" w:cs="Times New Roman"/>
                <w:color w:val="000000"/>
                <w:lang w:val="fr-FR"/>
              </w:rPr>
            </w:pPr>
            <w:r w:rsidRPr="0033753C">
              <w:rPr>
                <w:rFonts w:ascii="Times New Roman" w:hAnsi="Times New Roman" w:cs="Times New Roman"/>
                <w:color w:val="000000"/>
                <w:lang w:val="fr-FR"/>
              </w:rPr>
              <w:t xml:space="preserve">Johannes de </w:t>
            </w:r>
            <w:proofErr w:type="spellStart"/>
            <w:r w:rsidRPr="0033753C">
              <w:rPr>
                <w:rFonts w:ascii="Times New Roman" w:hAnsi="Times New Roman" w:cs="Times New Roman"/>
                <w:color w:val="000000"/>
                <w:lang w:val="fr-FR"/>
              </w:rPr>
              <w:t>Laet</w:t>
            </w:r>
            <w:proofErr w:type="spellEnd"/>
            <w:r w:rsidRPr="0033753C">
              <w:rPr>
                <w:rFonts w:ascii="Times New Roman" w:hAnsi="Times New Roman" w:cs="Times New Roman"/>
                <w:color w:val="000000"/>
                <w:lang w:val="fr-FR"/>
              </w:rPr>
              <w:t xml:space="preserve">, </w:t>
            </w:r>
            <w:r w:rsidRPr="0033753C">
              <w:rPr>
                <w:rFonts w:ascii="Times New Roman" w:hAnsi="Times New Roman" w:cs="Times New Roman"/>
                <w:i/>
                <w:color w:val="000000"/>
                <w:lang w:val="fr-FR"/>
              </w:rPr>
              <w:t>L’Histoire du Nouveau Monde ou description des Indes</w:t>
            </w:r>
            <w:r w:rsidRPr="0033753C">
              <w:rPr>
                <w:rFonts w:ascii="Times New Roman" w:hAnsi="Times New Roman" w:cs="Times New Roman"/>
                <w:color w:val="000000"/>
                <w:lang w:val="fr-FR"/>
              </w:rPr>
              <w:t>,</w:t>
            </w:r>
            <w:r w:rsidRPr="0033753C">
              <w:rPr>
                <w:rFonts w:ascii="Times New Roman" w:hAnsi="Times New Roman" w:cs="Times New Roman"/>
                <w:i/>
                <w:color w:val="000000"/>
                <w:lang w:val="fr-FR"/>
              </w:rPr>
              <w:t xml:space="preserve"> </w:t>
            </w:r>
            <w:r w:rsidRPr="0033753C">
              <w:rPr>
                <w:rFonts w:ascii="Times New Roman" w:hAnsi="Times New Roman" w:cs="Times New Roman"/>
                <w:color w:val="000000"/>
                <w:lang w:val="fr-FR"/>
              </w:rPr>
              <w:t>Leiden, 1640</w:t>
            </w:r>
          </w:p>
        </w:tc>
      </w:tr>
      <w:tr w:rsidR="002828B3" w:rsidRPr="00C76E47" w14:paraId="22C751FD" w14:textId="77777777" w:rsidTr="00035B61">
        <w:tc>
          <w:tcPr>
            <w:tcW w:w="9350" w:type="dxa"/>
            <w:tcBorders>
              <w:left w:val="single" w:sz="4" w:space="0" w:color="auto"/>
              <w:right w:val="single" w:sz="4" w:space="0" w:color="auto"/>
            </w:tcBorders>
            <w:shd w:val="clear" w:color="auto" w:fill="C0C0C0"/>
          </w:tcPr>
          <w:p w14:paraId="08C5AE95" w14:textId="7C492A0C" w:rsidR="001B73C9" w:rsidRPr="00C76E47" w:rsidRDefault="002828B3" w:rsidP="00C76E47">
            <w:pPr>
              <w:numPr>
                <w:ilvl w:val="0"/>
                <w:numId w:val="1"/>
              </w:numPr>
              <w:ind w:left="360"/>
              <w:rPr>
                <w:rFonts w:ascii="Times New Roman" w:hAnsi="Times New Roman" w:cs="Times New Roman"/>
                <w:color w:val="000000"/>
              </w:rPr>
            </w:pPr>
            <w:r w:rsidRPr="00C76E47">
              <w:rPr>
                <w:rFonts w:ascii="Times New Roman" w:hAnsi="Times New Roman" w:cs="Times New Roman"/>
                <w:color w:val="000000"/>
              </w:rPr>
              <w:t xml:space="preserve">Athanasius Kircher, </w:t>
            </w:r>
            <w:r w:rsidRPr="00C76E47">
              <w:rPr>
                <w:rFonts w:ascii="Times New Roman" w:hAnsi="Times New Roman" w:cs="Times New Roman"/>
                <w:i/>
                <w:iCs/>
                <w:color w:val="000000"/>
              </w:rPr>
              <w:t xml:space="preserve">Oedipus </w:t>
            </w:r>
            <w:proofErr w:type="spellStart"/>
            <w:r w:rsidRPr="00C76E47">
              <w:rPr>
                <w:rFonts w:ascii="Times New Roman" w:hAnsi="Times New Roman" w:cs="Times New Roman"/>
                <w:i/>
                <w:iCs/>
                <w:color w:val="000000"/>
              </w:rPr>
              <w:t>Aegyptiacus</w:t>
            </w:r>
            <w:proofErr w:type="spellEnd"/>
            <w:r w:rsidRPr="00C76E47">
              <w:rPr>
                <w:rFonts w:ascii="Times New Roman" w:hAnsi="Times New Roman" w:cs="Times New Roman"/>
                <w:iCs/>
                <w:color w:val="000000"/>
              </w:rPr>
              <w:t>,</w:t>
            </w:r>
            <w:r w:rsidRPr="00C76E47">
              <w:rPr>
                <w:rFonts w:ascii="Times New Roman" w:hAnsi="Times New Roman" w:cs="Times New Roman"/>
                <w:i/>
                <w:iCs/>
                <w:color w:val="000000"/>
              </w:rPr>
              <w:t xml:space="preserve"> </w:t>
            </w:r>
            <w:r w:rsidRPr="00C76E47">
              <w:rPr>
                <w:rFonts w:ascii="Times New Roman" w:hAnsi="Times New Roman" w:cs="Times New Roman"/>
                <w:color w:val="000000"/>
              </w:rPr>
              <w:t>Rome, 1652-54</w:t>
            </w:r>
          </w:p>
        </w:tc>
      </w:tr>
      <w:tr w:rsidR="002828B3" w:rsidRPr="0033753C" w14:paraId="3808BEC8" w14:textId="77777777" w:rsidTr="00035B61">
        <w:tc>
          <w:tcPr>
            <w:tcW w:w="9350" w:type="dxa"/>
            <w:tcBorders>
              <w:left w:val="single" w:sz="4" w:space="0" w:color="auto"/>
              <w:right w:val="single" w:sz="4" w:space="0" w:color="auto"/>
            </w:tcBorders>
            <w:shd w:val="clear" w:color="auto" w:fill="auto"/>
          </w:tcPr>
          <w:p w14:paraId="6534DCD5" w14:textId="4D4A5172" w:rsidR="001B73C9" w:rsidRPr="00934EC7" w:rsidRDefault="002828B3" w:rsidP="00C76E47">
            <w:pPr>
              <w:numPr>
                <w:ilvl w:val="0"/>
                <w:numId w:val="1"/>
              </w:numPr>
              <w:ind w:left="360"/>
              <w:rPr>
                <w:rFonts w:ascii="Times New Roman" w:hAnsi="Times New Roman" w:cs="Times New Roman"/>
                <w:color w:val="000000"/>
                <w:lang w:val="fr-FR"/>
              </w:rPr>
            </w:pPr>
            <w:r w:rsidRPr="00934EC7">
              <w:rPr>
                <w:rFonts w:ascii="Times New Roman" w:hAnsi="Times New Roman" w:cs="Times New Roman"/>
                <w:color w:val="000000"/>
                <w:lang w:val="fr-FR"/>
              </w:rPr>
              <w:t xml:space="preserve">Melchisédech Thévenot, </w:t>
            </w:r>
            <w:r w:rsidRPr="00934EC7">
              <w:rPr>
                <w:rFonts w:ascii="Times New Roman" w:hAnsi="Times New Roman" w:cs="Times New Roman"/>
                <w:i/>
                <w:iCs/>
                <w:color w:val="000000"/>
                <w:lang w:val="fr-FR"/>
              </w:rPr>
              <w:t>Relations des divers voyages curieux</w:t>
            </w:r>
            <w:r w:rsidRPr="00934EC7">
              <w:rPr>
                <w:rFonts w:ascii="Times New Roman" w:hAnsi="Times New Roman" w:cs="Times New Roman"/>
                <w:iCs/>
                <w:color w:val="000000"/>
                <w:lang w:val="fr-FR"/>
              </w:rPr>
              <w:t>,</w:t>
            </w:r>
            <w:r w:rsidRPr="00934EC7">
              <w:rPr>
                <w:rFonts w:ascii="Times New Roman" w:hAnsi="Times New Roman" w:cs="Times New Roman"/>
                <w:i/>
                <w:iCs/>
                <w:color w:val="000000"/>
                <w:lang w:val="fr-FR"/>
              </w:rPr>
              <w:t xml:space="preserve"> </w:t>
            </w:r>
            <w:r w:rsidRPr="00934EC7">
              <w:rPr>
                <w:rFonts w:ascii="Times New Roman" w:hAnsi="Times New Roman" w:cs="Times New Roman"/>
                <w:color w:val="000000"/>
                <w:lang w:val="fr-FR"/>
              </w:rPr>
              <w:t>Paris, 1663-96</w:t>
            </w:r>
          </w:p>
        </w:tc>
      </w:tr>
      <w:tr w:rsidR="002828B3" w:rsidRPr="00C76E47" w14:paraId="080EE80E" w14:textId="77777777" w:rsidTr="00035B61">
        <w:tc>
          <w:tcPr>
            <w:tcW w:w="9350" w:type="dxa"/>
            <w:tcBorders>
              <w:left w:val="single" w:sz="4" w:space="0" w:color="auto"/>
              <w:right w:val="single" w:sz="4" w:space="0" w:color="auto"/>
            </w:tcBorders>
            <w:shd w:val="clear" w:color="auto" w:fill="C0C0C0"/>
          </w:tcPr>
          <w:p w14:paraId="428BCB9C" w14:textId="6E933F1A" w:rsidR="001B73C9" w:rsidRPr="00C76E47" w:rsidRDefault="002828B3" w:rsidP="00C76E47">
            <w:pPr>
              <w:numPr>
                <w:ilvl w:val="0"/>
                <w:numId w:val="1"/>
              </w:numPr>
              <w:ind w:left="360"/>
              <w:rPr>
                <w:rFonts w:ascii="Times New Roman" w:hAnsi="Times New Roman" w:cs="Times New Roman"/>
                <w:color w:val="000000"/>
              </w:rPr>
            </w:pPr>
            <w:r w:rsidRPr="00C76E47">
              <w:rPr>
                <w:rFonts w:ascii="Times New Roman" w:hAnsi="Times New Roman" w:cs="Times New Roman"/>
                <w:color w:val="000000"/>
              </w:rPr>
              <w:t xml:space="preserve">William Warburton, </w:t>
            </w:r>
            <w:r w:rsidRPr="00C76E47">
              <w:rPr>
                <w:rFonts w:ascii="Times New Roman" w:hAnsi="Times New Roman" w:cs="Times New Roman"/>
                <w:i/>
                <w:iCs/>
                <w:color w:val="000000"/>
              </w:rPr>
              <w:t>The Divine Legation of Moses Demonstrated</w:t>
            </w:r>
            <w:r w:rsidRPr="00C76E47">
              <w:rPr>
                <w:rFonts w:ascii="Times New Roman" w:hAnsi="Times New Roman" w:cs="Times New Roman"/>
                <w:iCs/>
                <w:color w:val="000000"/>
              </w:rPr>
              <w:t>,</w:t>
            </w:r>
            <w:r w:rsidRPr="00C76E47">
              <w:rPr>
                <w:rFonts w:ascii="Times New Roman" w:hAnsi="Times New Roman" w:cs="Times New Roman"/>
                <w:i/>
                <w:iCs/>
                <w:color w:val="000000"/>
              </w:rPr>
              <w:t xml:space="preserve"> </w:t>
            </w:r>
            <w:r w:rsidRPr="00C76E47">
              <w:rPr>
                <w:rFonts w:ascii="Times New Roman" w:hAnsi="Times New Roman" w:cs="Times New Roman"/>
                <w:color w:val="000000"/>
              </w:rPr>
              <w:t>London, 1738-41</w:t>
            </w:r>
          </w:p>
        </w:tc>
      </w:tr>
      <w:tr w:rsidR="002828B3" w:rsidRPr="0033753C" w14:paraId="1172CB35" w14:textId="77777777" w:rsidTr="00035B61">
        <w:tc>
          <w:tcPr>
            <w:tcW w:w="9350" w:type="dxa"/>
            <w:tcBorders>
              <w:left w:val="single" w:sz="4" w:space="0" w:color="auto"/>
              <w:right w:val="single" w:sz="4" w:space="0" w:color="auto"/>
            </w:tcBorders>
            <w:shd w:val="clear" w:color="auto" w:fill="auto"/>
          </w:tcPr>
          <w:p w14:paraId="3EE92665" w14:textId="305F00F3" w:rsidR="001B73C9" w:rsidRPr="00934EC7" w:rsidRDefault="002828B3" w:rsidP="00C76E47">
            <w:pPr>
              <w:numPr>
                <w:ilvl w:val="0"/>
                <w:numId w:val="1"/>
              </w:numPr>
              <w:ind w:left="360"/>
              <w:rPr>
                <w:rFonts w:ascii="Times New Roman" w:hAnsi="Times New Roman" w:cs="Times New Roman"/>
                <w:color w:val="000000"/>
                <w:lang w:val="fr-FR"/>
              </w:rPr>
            </w:pPr>
            <w:r w:rsidRPr="00934EC7">
              <w:rPr>
                <w:rFonts w:ascii="Times New Roman" w:hAnsi="Times New Roman" w:cs="Times New Roman"/>
                <w:color w:val="000000"/>
                <w:lang w:val="fr-FR"/>
              </w:rPr>
              <w:t xml:space="preserve">William </w:t>
            </w:r>
            <w:proofErr w:type="spellStart"/>
            <w:r w:rsidRPr="00934EC7">
              <w:rPr>
                <w:rFonts w:ascii="Times New Roman" w:hAnsi="Times New Roman" w:cs="Times New Roman"/>
                <w:color w:val="000000"/>
                <w:lang w:val="fr-FR"/>
              </w:rPr>
              <w:t>Warburton</w:t>
            </w:r>
            <w:proofErr w:type="spellEnd"/>
            <w:r w:rsidRPr="00934EC7">
              <w:rPr>
                <w:rFonts w:ascii="Times New Roman" w:hAnsi="Times New Roman" w:cs="Times New Roman"/>
                <w:color w:val="000000"/>
                <w:lang w:val="fr-FR"/>
              </w:rPr>
              <w:t xml:space="preserve">, </w:t>
            </w:r>
            <w:r w:rsidRPr="00934EC7">
              <w:rPr>
                <w:rFonts w:ascii="Times New Roman" w:hAnsi="Times New Roman" w:cs="Times New Roman"/>
                <w:i/>
                <w:color w:val="000000"/>
                <w:lang w:val="fr-FR"/>
              </w:rPr>
              <w:t xml:space="preserve">Essai sur les </w:t>
            </w:r>
            <w:proofErr w:type="spellStart"/>
            <w:r w:rsidRPr="00934EC7">
              <w:rPr>
                <w:rFonts w:ascii="Times New Roman" w:hAnsi="Times New Roman" w:cs="Times New Roman"/>
                <w:i/>
                <w:color w:val="000000"/>
                <w:lang w:val="fr-FR"/>
              </w:rPr>
              <w:t>hieroglyphs</w:t>
            </w:r>
            <w:proofErr w:type="spellEnd"/>
            <w:r w:rsidRPr="00934EC7">
              <w:rPr>
                <w:rFonts w:ascii="Times New Roman" w:hAnsi="Times New Roman" w:cs="Times New Roman"/>
                <w:i/>
                <w:color w:val="000000"/>
                <w:lang w:val="fr-FR"/>
              </w:rPr>
              <w:t xml:space="preserve"> des Egyptiens</w:t>
            </w:r>
            <w:r w:rsidRPr="00934EC7">
              <w:rPr>
                <w:rFonts w:ascii="Times New Roman" w:hAnsi="Times New Roman" w:cs="Times New Roman"/>
                <w:color w:val="000000"/>
                <w:lang w:val="fr-FR"/>
              </w:rPr>
              <w:t>,</w:t>
            </w:r>
            <w:r w:rsidRPr="00934EC7">
              <w:rPr>
                <w:rFonts w:ascii="Times New Roman" w:hAnsi="Times New Roman" w:cs="Times New Roman"/>
                <w:i/>
                <w:color w:val="000000"/>
                <w:lang w:val="fr-FR"/>
              </w:rPr>
              <w:t xml:space="preserve"> </w:t>
            </w:r>
            <w:r w:rsidRPr="00934EC7">
              <w:rPr>
                <w:rFonts w:ascii="Times New Roman" w:hAnsi="Times New Roman" w:cs="Times New Roman"/>
                <w:color w:val="000000"/>
                <w:lang w:val="fr-FR"/>
              </w:rPr>
              <w:t>Paris, 1744</w:t>
            </w:r>
          </w:p>
        </w:tc>
      </w:tr>
      <w:tr w:rsidR="002828B3" w:rsidRPr="0033753C" w14:paraId="6C6DB2AB" w14:textId="77777777" w:rsidTr="00035B61">
        <w:tc>
          <w:tcPr>
            <w:tcW w:w="9350" w:type="dxa"/>
            <w:tcBorders>
              <w:left w:val="single" w:sz="4" w:space="0" w:color="auto"/>
              <w:right w:val="single" w:sz="4" w:space="0" w:color="auto"/>
            </w:tcBorders>
            <w:shd w:val="clear" w:color="auto" w:fill="C0C0C0"/>
          </w:tcPr>
          <w:p w14:paraId="7BEA73E9" w14:textId="1534D5DF" w:rsidR="001B73C9" w:rsidRPr="00934EC7" w:rsidRDefault="002828B3" w:rsidP="00C76E47">
            <w:pPr>
              <w:numPr>
                <w:ilvl w:val="0"/>
                <w:numId w:val="1"/>
              </w:numPr>
              <w:ind w:left="360"/>
              <w:rPr>
                <w:rFonts w:ascii="Times New Roman" w:hAnsi="Times New Roman" w:cs="Times New Roman"/>
                <w:color w:val="000000"/>
                <w:lang w:val="it-IT"/>
              </w:rPr>
            </w:pPr>
            <w:r w:rsidRPr="00934EC7">
              <w:rPr>
                <w:rFonts w:ascii="Times New Roman" w:hAnsi="Times New Roman" w:cs="Times New Roman"/>
                <w:color w:val="000000"/>
                <w:lang w:val="it-IT"/>
              </w:rPr>
              <w:t xml:space="preserve">Francisco Javier Clavijero, </w:t>
            </w:r>
            <w:r w:rsidRPr="00934EC7">
              <w:rPr>
                <w:rFonts w:ascii="Times New Roman" w:hAnsi="Times New Roman" w:cs="Times New Roman"/>
                <w:i/>
                <w:iCs/>
                <w:color w:val="000000"/>
                <w:lang w:val="it-IT"/>
              </w:rPr>
              <w:t>Storia antica del Messico</w:t>
            </w:r>
            <w:r w:rsidRPr="00934EC7">
              <w:rPr>
                <w:rFonts w:ascii="Times New Roman" w:hAnsi="Times New Roman" w:cs="Times New Roman"/>
                <w:iCs/>
                <w:color w:val="000000"/>
                <w:lang w:val="it-IT"/>
              </w:rPr>
              <w:t>,</w:t>
            </w:r>
            <w:r w:rsidRPr="00934EC7">
              <w:rPr>
                <w:rFonts w:ascii="Times New Roman" w:hAnsi="Times New Roman" w:cs="Times New Roman"/>
                <w:i/>
                <w:iCs/>
                <w:color w:val="000000"/>
                <w:lang w:val="it-IT"/>
              </w:rPr>
              <w:t xml:space="preserve"> </w:t>
            </w:r>
            <w:r w:rsidRPr="00934EC7">
              <w:rPr>
                <w:rFonts w:ascii="Times New Roman" w:hAnsi="Times New Roman" w:cs="Times New Roman"/>
                <w:color w:val="000000"/>
                <w:lang w:val="it-IT"/>
              </w:rPr>
              <w:t>Cesena, 1780-81</w:t>
            </w:r>
          </w:p>
        </w:tc>
      </w:tr>
      <w:tr w:rsidR="002828B3" w:rsidRPr="0033753C" w14:paraId="1F35B1DE" w14:textId="77777777" w:rsidTr="00035B61">
        <w:tc>
          <w:tcPr>
            <w:tcW w:w="9350" w:type="dxa"/>
            <w:tcBorders>
              <w:left w:val="single" w:sz="4" w:space="0" w:color="auto"/>
              <w:right w:val="single" w:sz="4" w:space="0" w:color="auto"/>
            </w:tcBorders>
            <w:shd w:val="clear" w:color="auto" w:fill="auto"/>
          </w:tcPr>
          <w:p w14:paraId="476C423B" w14:textId="1DBA48D4" w:rsidR="001B73C9" w:rsidRPr="00934EC7" w:rsidRDefault="002828B3" w:rsidP="00C76E47">
            <w:pPr>
              <w:numPr>
                <w:ilvl w:val="0"/>
                <w:numId w:val="1"/>
              </w:numPr>
              <w:ind w:left="360"/>
              <w:rPr>
                <w:rFonts w:ascii="Times New Roman" w:hAnsi="Times New Roman" w:cs="Times New Roman"/>
                <w:color w:val="000000"/>
                <w:lang w:val="fr-FR"/>
              </w:rPr>
            </w:pPr>
            <w:r w:rsidRPr="00934EC7">
              <w:rPr>
                <w:rFonts w:ascii="Times New Roman" w:hAnsi="Times New Roman" w:cs="Times New Roman"/>
                <w:color w:val="000000"/>
                <w:lang w:val="fr-FR"/>
              </w:rPr>
              <w:t xml:space="preserve">Alexander von Humboldt, </w:t>
            </w:r>
            <w:r w:rsidRPr="00934EC7">
              <w:rPr>
                <w:rFonts w:ascii="Times New Roman" w:hAnsi="Times New Roman" w:cs="Times New Roman"/>
                <w:i/>
                <w:color w:val="000000"/>
                <w:lang w:val="fr-FR"/>
              </w:rPr>
              <w:t xml:space="preserve">Vues des Cordillères, et </w:t>
            </w:r>
            <w:proofErr w:type="spellStart"/>
            <w:r w:rsidRPr="00934EC7">
              <w:rPr>
                <w:rFonts w:ascii="Times New Roman" w:hAnsi="Times New Roman" w:cs="Times New Roman"/>
                <w:i/>
                <w:color w:val="000000"/>
                <w:lang w:val="fr-FR"/>
              </w:rPr>
              <w:t>monumens</w:t>
            </w:r>
            <w:proofErr w:type="spellEnd"/>
            <w:r w:rsidRPr="00934EC7">
              <w:rPr>
                <w:rFonts w:ascii="Times New Roman" w:hAnsi="Times New Roman" w:cs="Times New Roman"/>
                <w:i/>
                <w:color w:val="000000"/>
                <w:lang w:val="fr-FR"/>
              </w:rPr>
              <w:t xml:space="preserve"> des peuples </w:t>
            </w:r>
            <w:proofErr w:type="spellStart"/>
            <w:r w:rsidRPr="00934EC7">
              <w:rPr>
                <w:rFonts w:ascii="Times New Roman" w:hAnsi="Times New Roman" w:cs="Times New Roman"/>
                <w:i/>
                <w:color w:val="000000"/>
                <w:lang w:val="fr-FR"/>
              </w:rPr>
              <w:t>indigenes</w:t>
            </w:r>
            <w:proofErr w:type="spellEnd"/>
            <w:r w:rsidRPr="00934EC7">
              <w:rPr>
                <w:rFonts w:ascii="Times New Roman" w:hAnsi="Times New Roman" w:cs="Times New Roman"/>
                <w:i/>
                <w:color w:val="000000"/>
                <w:lang w:val="fr-FR"/>
              </w:rPr>
              <w:t xml:space="preserve"> de l’Amérique, </w:t>
            </w:r>
            <w:r w:rsidRPr="00934EC7">
              <w:rPr>
                <w:rFonts w:ascii="Times New Roman" w:hAnsi="Times New Roman" w:cs="Times New Roman"/>
                <w:color w:val="000000"/>
                <w:lang w:val="fr-FR"/>
              </w:rPr>
              <w:t>Paris, 1810–13</w:t>
            </w:r>
          </w:p>
        </w:tc>
      </w:tr>
      <w:tr w:rsidR="00035B61" w:rsidRPr="00C76E47" w14:paraId="6202AF2C" w14:textId="77777777" w:rsidTr="00035B61">
        <w:tc>
          <w:tcPr>
            <w:tcW w:w="9350" w:type="dxa"/>
            <w:tcBorders>
              <w:left w:val="single" w:sz="4" w:space="0" w:color="auto"/>
              <w:right w:val="single" w:sz="4" w:space="0" w:color="auto"/>
            </w:tcBorders>
            <w:shd w:val="clear" w:color="auto" w:fill="BFBFBF" w:themeFill="background1" w:themeFillShade="BF"/>
          </w:tcPr>
          <w:p w14:paraId="72F2A722" w14:textId="5A9928EF" w:rsidR="001B73C9" w:rsidRPr="00C76E47" w:rsidRDefault="001B73C9" w:rsidP="00C76E47">
            <w:pPr>
              <w:numPr>
                <w:ilvl w:val="0"/>
                <w:numId w:val="1"/>
              </w:numPr>
              <w:ind w:left="360"/>
              <w:rPr>
                <w:rFonts w:ascii="Times New Roman" w:hAnsi="Times New Roman" w:cs="Times New Roman"/>
                <w:color w:val="000000"/>
              </w:rPr>
            </w:pPr>
            <w:r w:rsidRPr="00934EC7">
              <w:rPr>
                <w:rFonts w:ascii="Times New Roman" w:hAnsi="Times New Roman" w:cs="Times New Roman"/>
                <w:lang w:val="fr-FR"/>
              </w:rPr>
              <w:t xml:space="preserve"> </w:t>
            </w:r>
            <w:r w:rsidRPr="00C76E47">
              <w:rPr>
                <w:rFonts w:ascii="Times New Roman" w:hAnsi="Times New Roman" w:cs="Times New Roman"/>
              </w:rPr>
              <w:t xml:space="preserve">Edward King, viscount Kingsborough, </w:t>
            </w:r>
            <w:r w:rsidRPr="00C76E47">
              <w:rPr>
                <w:rFonts w:ascii="Times New Roman" w:hAnsi="Times New Roman" w:cs="Times New Roman"/>
                <w:i/>
                <w:iCs/>
              </w:rPr>
              <w:t>Antiquities of Mexico</w:t>
            </w:r>
            <w:r w:rsidR="002100D6" w:rsidRPr="00C76E47">
              <w:rPr>
                <w:rFonts w:ascii="Times New Roman" w:hAnsi="Times New Roman" w:cs="Times New Roman"/>
                <w:i/>
                <w:iCs/>
              </w:rPr>
              <w:t>, comprising fac-similes of ancient Mexican paintings and hieroglyphics,</w:t>
            </w:r>
            <w:r w:rsidR="002100D6" w:rsidRPr="00C76E47">
              <w:rPr>
                <w:rFonts w:ascii="Times New Roman" w:hAnsi="Times New Roman" w:cs="Times New Roman"/>
              </w:rPr>
              <w:t xml:space="preserve"> </w:t>
            </w:r>
            <w:r w:rsidRPr="00C76E47">
              <w:rPr>
                <w:rFonts w:ascii="Times New Roman" w:hAnsi="Times New Roman" w:cs="Times New Roman"/>
              </w:rPr>
              <w:t xml:space="preserve">9 vols. </w:t>
            </w:r>
            <w:r w:rsidR="002100D6" w:rsidRPr="00C76E47">
              <w:rPr>
                <w:rFonts w:ascii="Times New Roman" w:hAnsi="Times New Roman" w:cs="Times New Roman"/>
              </w:rPr>
              <w:t>(</w:t>
            </w:r>
            <w:r w:rsidRPr="00C76E47">
              <w:rPr>
                <w:rFonts w:ascii="Times New Roman" w:hAnsi="Times New Roman" w:cs="Times New Roman"/>
              </w:rPr>
              <w:t xml:space="preserve">London: Robert </w:t>
            </w:r>
            <w:proofErr w:type="spellStart"/>
            <w:r w:rsidRPr="00C76E47">
              <w:rPr>
                <w:rFonts w:ascii="Times New Roman" w:hAnsi="Times New Roman" w:cs="Times New Roman"/>
              </w:rPr>
              <w:t>Havell</w:t>
            </w:r>
            <w:proofErr w:type="spellEnd"/>
            <w:r w:rsidRPr="00C76E47">
              <w:rPr>
                <w:rFonts w:ascii="Times New Roman" w:hAnsi="Times New Roman" w:cs="Times New Roman"/>
              </w:rPr>
              <w:t xml:space="preserve"> and </w:t>
            </w:r>
            <w:proofErr w:type="spellStart"/>
            <w:r w:rsidRPr="00C76E47">
              <w:rPr>
                <w:rFonts w:ascii="Times New Roman" w:hAnsi="Times New Roman" w:cs="Times New Roman"/>
              </w:rPr>
              <w:t>Colnaghi</w:t>
            </w:r>
            <w:proofErr w:type="spellEnd"/>
            <w:r w:rsidRPr="00C76E47">
              <w:rPr>
                <w:rFonts w:ascii="Times New Roman" w:hAnsi="Times New Roman" w:cs="Times New Roman"/>
              </w:rPr>
              <w:t>, Son, and Co., 1831</w:t>
            </w:r>
            <w:r w:rsidR="002100D6" w:rsidRPr="00C76E47">
              <w:rPr>
                <w:rFonts w:ascii="Times New Roman" w:hAnsi="Times New Roman" w:cs="Times New Roman"/>
              </w:rPr>
              <w:t>), vol. 1</w:t>
            </w:r>
          </w:p>
        </w:tc>
      </w:tr>
    </w:tbl>
    <w:p w14:paraId="0272D08B" w14:textId="77777777" w:rsidR="002828B3" w:rsidRPr="00C76E47" w:rsidRDefault="002828B3" w:rsidP="004A55CA">
      <w:pPr>
        <w:spacing w:line="480" w:lineRule="auto"/>
        <w:ind w:firstLine="567"/>
        <w:rPr>
          <w:rFonts w:ascii="Times New Roman" w:hAnsi="Times New Roman" w:cs="Times New Roman"/>
        </w:rPr>
      </w:pPr>
    </w:p>
    <w:p w14:paraId="75F9D408" w14:textId="11C7A41A" w:rsidR="004A55CA" w:rsidRPr="00C76E47" w:rsidRDefault="00BB5B22" w:rsidP="004A55CA">
      <w:pPr>
        <w:spacing w:line="480" w:lineRule="auto"/>
        <w:rPr>
          <w:rFonts w:ascii="Times New Roman" w:hAnsi="Times New Roman" w:cs="Times New Roman"/>
          <w:iCs/>
        </w:rPr>
      </w:pPr>
      <w:r w:rsidRPr="00C76E47">
        <w:rPr>
          <w:rFonts w:ascii="Times New Roman" w:eastAsia="Times New Roman" w:hAnsi="Times New Roman" w:cs="Times New Roman"/>
        </w:rPr>
        <w:lastRenderedPageBreak/>
        <w:t xml:space="preserve">Print not only gave the </w:t>
      </w:r>
      <w:r w:rsidRPr="00C76E47">
        <w:rPr>
          <w:rFonts w:ascii="Times New Roman" w:eastAsia="Times New Roman" w:hAnsi="Times New Roman" w:cs="Times New Roman"/>
          <w:i/>
        </w:rPr>
        <w:t>Codex Mendoza</w:t>
      </w:r>
      <w:r w:rsidRPr="00C76E47">
        <w:rPr>
          <w:rFonts w:ascii="Times New Roman" w:eastAsia="Times New Roman" w:hAnsi="Times New Roman" w:cs="Times New Roman"/>
        </w:rPr>
        <w:t xml:space="preserve"> legs, it also made it malleable. Authors</w:t>
      </w:r>
      <w:r w:rsidR="00F112FE">
        <w:rPr>
          <w:rFonts w:ascii="Times New Roman" w:eastAsia="Times New Roman" w:hAnsi="Times New Roman" w:cs="Times New Roman"/>
        </w:rPr>
        <w:t xml:space="preserve"> provided various </w:t>
      </w:r>
      <w:r w:rsidRPr="00C76E47">
        <w:rPr>
          <w:rFonts w:ascii="Times New Roman" w:eastAsia="Times New Roman" w:hAnsi="Times New Roman" w:cs="Times New Roman"/>
        </w:rPr>
        <w:t>interpretations of the material and its significance</w:t>
      </w:r>
      <w:r w:rsidR="00F112FE">
        <w:rPr>
          <w:rFonts w:ascii="Times New Roman" w:eastAsia="Times New Roman" w:hAnsi="Times New Roman" w:cs="Times New Roman"/>
        </w:rPr>
        <w:t>,</w:t>
      </w:r>
      <w:r w:rsidRPr="00C76E47">
        <w:rPr>
          <w:rFonts w:ascii="Times New Roman" w:eastAsia="Times New Roman" w:hAnsi="Times New Roman" w:cs="Times New Roman"/>
        </w:rPr>
        <w:t xml:space="preserve"> creat</w:t>
      </w:r>
      <w:r w:rsidR="00F112FE">
        <w:rPr>
          <w:rFonts w:ascii="Times New Roman" w:eastAsia="Times New Roman" w:hAnsi="Times New Roman" w:cs="Times New Roman"/>
        </w:rPr>
        <w:t xml:space="preserve">ing in effect </w:t>
      </w:r>
      <w:r w:rsidRPr="00C76E47">
        <w:rPr>
          <w:rFonts w:ascii="Times New Roman" w:eastAsia="Times New Roman" w:hAnsi="Times New Roman" w:cs="Times New Roman"/>
        </w:rPr>
        <w:t xml:space="preserve">multiple versions of the codex as they used it to pursue </w:t>
      </w:r>
      <w:r w:rsidR="00F112FE">
        <w:rPr>
          <w:rFonts w:ascii="Times New Roman" w:eastAsia="Times New Roman" w:hAnsi="Times New Roman" w:cs="Times New Roman"/>
        </w:rPr>
        <w:t xml:space="preserve">discussions about </w:t>
      </w:r>
      <w:r w:rsidRPr="00C76E47">
        <w:rPr>
          <w:rFonts w:ascii="Times New Roman" w:eastAsia="Times New Roman" w:hAnsi="Times New Roman" w:cs="Times New Roman"/>
        </w:rPr>
        <w:t xml:space="preserve">history, religion, pictographic writing, the civility of New World populations, the history of languages, and other topics. </w:t>
      </w:r>
      <w:r w:rsidR="003C5CE1" w:rsidRPr="00C76E47">
        <w:rPr>
          <w:rFonts w:ascii="Times New Roman" w:eastAsia="Times New Roman" w:hAnsi="Times New Roman" w:cs="Times New Roman"/>
        </w:rPr>
        <w:t xml:space="preserve">The first to </w:t>
      </w:r>
      <w:r w:rsidR="00F112FE">
        <w:rPr>
          <w:rFonts w:ascii="Times New Roman" w:eastAsia="Times New Roman" w:hAnsi="Times New Roman" w:cs="Times New Roman"/>
        </w:rPr>
        <w:t>draw on</w:t>
      </w:r>
      <w:r w:rsidR="003C5CE1" w:rsidRPr="00C76E47">
        <w:rPr>
          <w:rFonts w:ascii="Times New Roman" w:eastAsia="Times New Roman" w:hAnsi="Times New Roman" w:cs="Times New Roman"/>
        </w:rPr>
        <w:t xml:space="preserve"> Purchas’s </w:t>
      </w:r>
      <w:r w:rsidR="003C5CE1" w:rsidRPr="00C76E47">
        <w:rPr>
          <w:rFonts w:ascii="Times New Roman" w:eastAsia="Times New Roman" w:hAnsi="Times New Roman" w:cs="Times New Roman"/>
          <w:i/>
          <w:iCs/>
        </w:rPr>
        <w:t xml:space="preserve">Mendoza </w:t>
      </w:r>
      <w:r w:rsidR="00F112FE">
        <w:rPr>
          <w:rFonts w:ascii="Times New Roman" w:eastAsia="Times New Roman" w:hAnsi="Times New Roman" w:cs="Times New Roman"/>
        </w:rPr>
        <w:t xml:space="preserve">for his own publication </w:t>
      </w:r>
      <w:r w:rsidR="003C5CE1" w:rsidRPr="00C76E47">
        <w:rPr>
          <w:rFonts w:ascii="Times New Roman" w:eastAsia="Times New Roman" w:hAnsi="Times New Roman" w:cs="Times New Roman"/>
        </w:rPr>
        <w:t xml:space="preserve">was Johannes de </w:t>
      </w:r>
      <w:proofErr w:type="spellStart"/>
      <w:r w:rsidR="003C5CE1" w:rsidRPr="00C76E47">
        <w:rPr>
          <w:rFonts w:ascii="Times New Roman" w:eastAsia="Times New Roman" w:hAnsi="Times New Roman" w:cs="Times New Roman"/>
        </w:rPr>
        <w:t>Laet</w:t>
      </w:r>
      <w:proofErr w:type="spellEnd"/>
      <w:r w:rsidR="003C5CE1" w:rsidRPr="00C76E47">
        <w:rPr>
          <w:rFonts w:ascii="Times New Roman" w:eastAsia="Times New Roman" w:hAnsi="Times New Roman" w:cs="Times New Roman"/>
        </w:rPr>
        <w:t xml:space="preserve"> (1581–1649),</w:t>
      </w:r>
      <w:r w:rsidR="003C5CE1" w:rsidRPr="00C76E47">
        <w:rPr>
          <w:rFonts w:ascii="Times New Roman" w:hAnsi="Times New Roman" w:cs="Times New Roman"/>
        </w:rPr>
        <w:t xml:space="preserve"> </w:t>
      </w:r>
      <w:r w:rsidR="00AE556E" w:rsidRPr="00C76E47">
        <w:rPr>
          <w:rFonts w:ascii="Times New Roman" w:hAnsi="Times New Roman" w:cs="Times New Roman"/>
        </w:rPr>
        <w:t>the Dutch geographer, author, and founding member of the Dutch West India Company</w:t>
      </w:r>
      <w:r w:rsidR="003C5CE1" w:rsidRPr="00C76E47">
        <w:rPr>
          <w:rFonts w:ascii="Times New Roman" w:hAnsi="Times New Roman" w:cs="Times New Roman"/>
        </w:rPr>
        <w:t>, who</w:t>
      </w:r>
      <w:r w:rsidR="00420A78" w:rsidRPr="00C76E47">
        <w:rPr>
          <w:rFonts w:ascii="Times New Roman" w:hAnsi="Times New Roman" w:cs="Times New Roman"/>
        </w:rPr>
        <w:t xml:space="preserve"> included </w:t>
      </w:r>
      <w:r w:rsidR="003C5CE1" w:rsidRPr="00C76E47">
        <w:rPr>
          <w:rFonts w:ascii="Times New Roman" w:hAnsi="Times New Roman" w:cs="Times New Roman"/>
        </w:rPr>
        <w:t xml:space="preserve">it </w:t>
      </w:r>
      <w:r w:rsidR="00420A78" w:rsidRPr="00C76E47">
        <w:rPr>
          <w:rFonts w:ascii="Times New Roman" w:hAnsi="Times New Roman" w:cs="Times New Roman"/>
        </w:rPr>
        <w:t xml:space="preserve">in </w:t>
      </w:r>
      <w:r w:rsidR="0032156B" w:rsidRPr="00C76E47">
        <w:rPr>
          <w:rFonts w:ascii="Times New Roman" w:hAnsi="Times New Roman" w:cs="Times New Roman"/>
        </w:rPr>
        <w:t xml:space="preserve">various editions of </w:t>
      </w:r>
      <w:r w:rsidR="00420A78" w:rsidRPr="00C76E47">
        <w:rPr>
          <w:rFonts w:ascii="Times New Roman" w:hAnsi="Times New Roman" w:cs="Times New Roman"/>
        </w:rPr>
        <w:t xml:space="preserve">his popular </w:t>
      </w:r>
      <w:r w:rsidR="00DE4267" w:rsidRPr="00C76E47">
        <w:rPr>
          <w:rFonts w:ascii="Times New Roman" w:hAnsi="Times New Roman" w:cs="Times New Roman"/>
          <w:i/>
          <w:iCs/>
        </w:rPr>
        <w:t>New World, or Description of the Indies</w:t>
      </w:r>
      <w:r w:rsidR="0032156B" w:rsidRPr="00C76E47">
        <w:rPr>
          <w:rFonts w:ascii="Times New Roman" w:hAnsi="Times New Roman" w:cs="Times New Roman"/>
        </w:rPr>
        <w:t xml:space="preserve">. De </w:t>
      </w:r>
      <w:proofErr w:type="spellStart"/>
      <w:r w:rsidR="0032156B" w:rsidRPr="00C76E47">
        <w:rPr>
          <w:rFonts w:ascii="Times New Roman" w:hAnsi="Times New Roman" w:cs="Times New Roman"/>
        </w:rPr>
        <w:t>Laet</w:t>
      </w:r>
      <w:proofErr w:type="spellEnd"/>
      <w:r w:rsidR="0032156B" w:rsidRPr="00C76E47">
        <w:rPr>
          <w:rFonts w:ascii="Times New Roman" w:hAnsi="Times New Roman" w:cs="Times New Roman"/>
        </w:rPr>
        <w:t xml:space="preserve"> </w:t>
      </w:r>
      <w:r w:rsidR="00216724" w:rsidRPr="00C76E47">
        <w:rPr>
          <w:rFonts w:ascii="Times New Roman" w:hAnsi="Times New Roman" w:cs="Times New Roman"/>
        </w:rPr>
        <w:t>reproduced</w:t>
      </w:r>
      <w:r w:rsidR="00673A48" w:rsidRPr="00C76E47">
        <w:rPr>
          <w:rFonts w:ascii="Times New Roman" w:hAnsi="Times New Roman" w:cs="Times New Roman"/>
        </w:rPr>
        <w:t xml:space="preserve"> a very limited number of </w:t>
      </w:r>
      <w:r w:rsidR="003A66BE" w:rsidRPr="00C76E47">
        <w:rPr>
          <w:rFonts w:ascii="Times New Roman" w:hAnsi="Times New Roman" w:cs="Times New Roman"/>
        </w:rPr>
        <w:t xml:space="preserve">the many </w:t>
      </w:r>
      <w:r w:rsidR="00673A48" w:rsidRPr="00C76E47">
        <w:rPr>
          <w:rFonts w:ascii="Times New Roman" w:hAnsi="Times New Roman" w:cs="Times New Roman"/>
        </w:rPr>
        <w:t xml:space="preserve">images </w:t>
      </w:r>
      <w:r w:rsidR="003A66BE" w:rsidRPr="00C76E47">
        <w:rPr>
          <w:rFonts w:ascii="Times New Roman" w:hAnsi="Times New Roman" w:cs="Times New Roman"/>
        </w:rPr>
        <w:t>in</w:t>
      </w:r>
      <w:r w:rsidR="00AE556E" w:rsidRPr="00C76E47">
        <w:rPr>
          <w:rFonts w:ascii="Times New Roman" w:hAnsi="Times New Roman" w:cs="Times New Roman"/>
        </w:rPr>
        <w:t xml:space="preserve"> Purchas’s </w:t>
      </w:r>
      <w:r w:rsidR="0021537A" w:rsidRPr="00C76E47">
        <w:rPr>
          <w:rFonts w:ascii="Times New Roman" w:hAnsi="Times New Roman" w:cs="Times New Roman"/>
        </w:rPr>
        <w:t>publication</w:t>
      </w:r>
      <w:r w:rsidR="003A66BE" w:rsidRPr="00C76E47">
        <w:rPr>
          <w:rFonts w:ascii="Times New Roman" w:hAnsi="Times New Roman" w:cs="Times New Roman"/>
          <w:i/>
          <w:iCs/>
        </w:rPr>
        <w:t>,</w:t>
      </w:r>
      <w:r w:rsidR="00AE556E" w:rsidRPr="00C76E47">
        <w:rPr>
          <w:rFonts w:ascii="Times New Roman" w:hAnsi="Times New Roman" w:cs="Times New Roman"/>
        </w:rPr>
        <w:t xml:space="preserve"> </w:t>
      </w:r>
      <w:r w:rsidR="003A66BE" w:rsidRPr="00C76E47">
        <w:rPr>
          <w:rFonts w:ascii="Times New Roman" w:hAnsi="Times New Roman" w:cs="Times New Roman"/>
        </w:rPr>
        <w:t>focusing</w:t>
      </w:r>
      <w:r w:rsidR="00673A48" w:rsidRPr="00C76E47">
        <w:rPr>
          <w:rFonts w:ascii="Times New Roman" w:hAnsi="Times New Roman" w:cs="Times New Roman"/>
        </w:rPr>
        <w:t xml:space="preserve"> </w:t>
      </w:r>
      <w:r w:rsidR="00216724" w:rsidRPr="00C76E47">
        <w:rPr>
          <w:rFonts w:ascii="Times New Roman" w:hAnsi="Times New Roman" w:cs="Times New Roman"/>
        </w:rPr>
        <w:t xml:space="preserve">instead </w:t>
      </w:r>
      <w:r w:rsidR="00673A48" w:rsidRPr="00C76E47">
        <w:rPr>
          <w:rFonts w:ascii="Times New Roman" w:hAnsi="Times New Roman" w:cs="Times New Roman"/>
        </w:rPr>
        <w:t xml:space="preserve">on the </w:t>
      </w:r>
      <w:r w:rsidR="00216724" w:rsidRPr="00C76E47">
        <w:rPr>
          <w:rFonts w:ascii="Times New Roman" w:hAnsi="Times New Roman" w:cs="Times New Roman"/>
        </w:rPr>
        <w:t xml:space="preserve">information the document provided about Aztec history in order </w:t>
      </w:r>
      <w:r w:rsidR="00673A48" w:rsidRPr="00C76E47">
        <w:rPr>
          <w:rFonts w:ascii="Times New Roman" w:hAnsi="Times New Roman" w:cs="Times New Roman"/>
        </w:rPr>
        <w:t xml:space="preserve">to </w:t>
      </w:r>
      <w:r w:rsidR="00286004" w:rsidRPr="00C76E47">
        <w:rPr>
          <w:rFonts w:ascii="Times New Roman" w:hAnsi="Times New Roman" w:cs="Times New Roman"/>
        </w:rPr>
        <w:t xml:space="preserve">compare this indigenous source to the writings of Spanish authors, pointing out inconsistencies. </w:t>
      </w:r>
      <w:r w:rsidR="003A66BE" w:rsidRPr="00C76E47">
        <w:rPr>
          <w:rFonts w:ascii="Times New Roman" w:hAnsi="Times New Roman" w:cs="Times New Roman"/>
        </w:rPr>
        <w:t>For his part, t</w:t>
      </w:r>
      <w:r w:rsidR="00673A48" w:rsidRPr="00C76E47">
        <w:rPr>
          <w:rFonts w:ascii="Times New Roman" w:hAnsi="Times New Roman" w:cs="Times New Roman"/>
        </w:rPr>
        <w:t xml:space="preserve">he French Orientalist </w:t>
      </w:r>
      <w:proofErr w:type="spellStart"/>
      <w:r w:rsidR="00673A48" w:rsidRPr="00C76E47">
        <w:rPr>
          <w:rFonts w:ascii="Times New Roman" w:hAnsi="Times New Roman" w:cs="Times New Roman"/>
        </w:rPr>
        <w:t>Melchisédech</w:t>
      </w:r>
      <w:proofErr w:type="spellEnd"/>
      <w:r w:rsidR="00673A48" w:rsidRPr="00C76E47">
        <w:rPr>
          <w:rFonts w:ascii="Times New Roman" w:hAnsi="Times New Roman" w:cs="Times New Roman"/>
        </w:rPr>
        <w:t xml:space="preserve"> </w:t>
      </w:r>
      <w:proofErr w:type="spellStart"/>
      <w:r w:rsidR="00673A48" w:rsidRPr="00C76E47">
        <w:rPr>
          <w:rFonts w:ascii="Times New Roman" w:hAnsi="Times New Roman" w:cs="Times New Roman"/>
        </w:rPr>
        <w:t>Thévenot</w:t>
      </w:r>
      <w:proofErr w:type="spellEnd"/>
      <w:r w:rsidR="00673A48" w:rsidRPr="00C76E47">
        <w:rPr>
          <w:rFonts w:ascii="Times New Roman" w:hAnsi="Times New Roman" w:cs="Times New Roman"/>
          <w:iCs/>
        </w:rPr>
        <w:t xml:space="preserve"> (</w:t>
      </w:r>
      <w:r w:rsidR="00673A48" w:rsidRPr="00C76E47">
        <w:rPr>
          <w:rStyle w:val="st"/>
          <w:rFonts w:ascii="Times New Roman" w:eastAsia="Times New Roman" w:hAnsi="Times New Roman" w:cs="Times New Roman"/>
          <w:i/>
        </w:rPr>
        <w:t>c</w:t>
      </w:r>
      <w:r w:rsidR="00673A48" w:rsidRPr="00C76E47">
        <w:rPr>
          <w:rStyle w:val="st"/>
          <w:rFonts w:ascii="Times New Roman" w:eastAsia="Times New Roman" w:hAnsi="Times New Roman" w:cs="Times New Roman"/>
        </w:rPr>
        <w:t xml:space="preserve">. 1620–92) </w:t>
      </w:r>
      <w:r w:rsidR="005864EC" w:rsidRPr="00C76E47">
        <w:rPr>
          <w:rStyle w:val="st"/>
          <w:rFonts w:ascii="Times New Roman" w:eastAsia="Times New Roman" w:hAnsi="Times New Roman" w:cs="Times New Roman"/>
        </w:rPr>
        <w:t>included in his own publication</w:t>
      </w:r>
      <w:r w:rsidR="00216724" w:rsidRPr="00C76E47">
        <w:rPr>
          <w:rStyle w:val="st"/>
          <w:rFonts w:ascii="Times New Roman" w:eastAsia="Times New Roman" w:hAnsi="Times New Roman" w:cs="Times New Roman"/>
        </w:rPr>
        <w:t xml:space="preserve"> </w:t>
      </w:r>
      <w:r w:rsidR="00216724" w:rsidRPr="00C76E47">
        <w:rPr>
          <w:rFonts w:ascii="Times New Roman" w:hAnsi="Times New Roman" w:cs="Times New Roman"/>
          <w:iCs/>
        </w:rPr>
        <w:t xml:space="preserve">forty-seven pages of printed images </w:t>
      </w:r>
      <w:r w:rsidR="004F4DA4" w:rsidRPr="00C76E47">
        <w:rPr>
          <w:rFonts w:ascii="Times New Roman" w:hAnsi="Times New Roman" w:cs="Times New Roman"/>
          <w:iCs/>
        </w:rPr>
        <w:t>copied from Purchas’s woodcuts</w:t>
      </w:r>
      <w:r w:rsidR="00F112FE">
        <w:rPr>
          <w:rFonts w:ascii="Times New Roman" w:hAnsi="Times New Roman" w:cs="Times New Roman"/>
          <w:iCs/>
        </w:rPr>
        <w:t>,</w:t>
      </w:r>
      <w:r w:rsidR="002E1E2B" w:rsidRPr="00C76E47">
        <w:rPr>
          <w:rFonts w:ascii="Times New Roman" w:hAnsi="Times New Roman" w:cs="Times New Roman"/>
          <w:iCs/>
        </w:rPr>
        <w:t xml:space="preserve"> followed by a French translation of Purchas’ English translation of the original Spanish</w:t>
      </w:r>
      <w:r w:rsidR="00F112FE">
        <w:rPr>
          <w:rFonts w:ascii="Times New Roman" w:hAnsi="Times New Roman" w:cs="Times New Roman"/>
          <w:iCs/>
        </w:rPr>
        <w:t xml:space="preserve">, </w:t>
      </w:r>
      <w:r w:rsidR="002E1E2B" w:rsidRPr="00C76E47">
        <w:rPr>
          <w:rFonts w:ascii="Times New Roman" w:hAnsi="Times New Roman" w:cs="Times New Roman"/>
          <w:iCs/>
        </w:rPr>
        <w:t xml:space="preserve">itself a translation from the Nahuatl. Thus, while Purchas had laboriously reproduced the pairing of image and text in his printed book, </w:t>
      </w:r>
      <w:proofErr w:type="spellStart"/>
      <w:r w:rsidR="002E1E2B" w:rsidRPr="00C76E47">
        <w:rPr>
          <w:rFonts w:ascii="Times New Roman" w:hAnsi="Times New Roman" w:cs="Times New Roman"/>
          <w:iCs/>
        </w:rPr>
        <w:t>Thévenot</w:t>
      </w:r>
      <w:proofErr w:type="spellEnd"/>
      <w:r w:rsidR="002E1E2B" w:rsidRPr="00C76E47">
        <w:rPr>
          <w:rFonts w:ascii="Times New Roman" w:hAnsi="Times New Roman" w:cs="Times New Roman"/>
          <w:iCs/>
        </w:rPr>
        <w:t xml:space="preserve"> dissociated the </w:t>
      </w:r>
      <w:r w:rsidR="004F4DA4" w:rsidRPr="00C76E47">
        <w:rPr>
          <w:rFonts w:ascii="Times New Roman" w:hAnsi="Times New Roman" w:cs="Times New Roman"/>
          <w:iCs/>
        </w:rPr>
        <w:t xml:space="preserve">two elements </w:t>
      </w:r>
      <w:r w:rsidR="002E1E2B" w:rsidRPr="00C76E47">
        <w:rPr>
          <w:rFonts w:ascii="Times New Roman" w:hAnsi="Times New Roman" w:cs="Times New Roman"/>
          <w:iCs/>
        </w:rPr>
        <w:t xml:space="preserve">and privileged the images as examples of non-European writing. Notably, </w:t>
      </w:r>
      <w:proofErr w:type="spellStart"/>
      <w:r w:rsidR="002E1E2B" w:rsidRPr="00C76E47">
        <w:rPr>
          <w:rFonts w:ascii="Times New Roman" w:hAnsi="Times New Roman" w:cs="Times New Roman"/>
          <w:iCs/>
        </w:rPr>
        <w:t>Thévenot’s</w:t>
      </w:r>
      <w:proofErr w:type="spellEnd"/>
      <w:r w:rsidR="002E1E2B" w:rsidRPr="00C76E47">
        <w:rPr>
          <w:rFonts w:ascii="Times New Roman" w:hAnsi="Times New Roman" w:cs="Times New Roman"/>
          <w:iCs/>
        </w:rPr>
        <w:t xml:space="preserve"> version opened not with the depiction of the foundation of the imperial Aztec capital of Tenochtitlan—as the Codex itself does and Purchas also did—but rather with a view of </w:t>
      </w:r>
      <w:r w:rsidR="004F4DA4" w:rsidRPr="00C76E47">
        <w:rPr>
          <w:rFonts w:ascii="Times New Roman" w:hAnsi="Times New Roman" w:cs="Times New Roman"/>
          <w:iCs/>
        </w:rPr>
        <w:t>Moctezuma’s palace</w:t>
      </w:r>
      <w:r w:rsidR="002E1E2B" w:rsidRPr="00C76E47">
        <w:rPr>
          <w:rFonts w:ascii="Times New Roman" w:hAnsi="Times New Roman" w:cs="Times New Roman"/>
          <w:iCs/>
        </w:rPr>
        <w:t>, which in the manuscript appears only towards the end</w:t>
      </w:r>
      <w:r w:rsidR="00B24D4A" w:rsidRPr="00C76E47">
        <w:rPr>
          <w:rFonts w:ascii="Times New Roman" w:hAnsi="Times New Roman" w:cs="Times New Roman"/>
          <w:iCs/>
        </w:rPr>
        <w:t xml:space="preserve">. By </w:t>
      </w:r>
      <w:r w:rsidR="004F4DA4" w:rsidRPr="00C76E47">
        <w:rPr>
          <w:rFonts w:ascii="Times New Roman" w:hAnsi="Times New Roman" w:cs="Times New Roman"/>
          <w:iCs/>
        </w:rPr>
        <w:t xml:space="preserve">focusing on the depiction of royal authority as a representation of Aztec imperial history rather than on the calendrical or numerical </w:t>
      </w:r>
      <w:r w:rsidR="00740F83" w:rsidRPr="00C76E47">
        <w:rPr>
          <w:rFonts w:ascii="Times New Roman" w:hAnsi="Times New Roman" w:cs="Times New Roman"/>
          <w:iCs/>
        </w:rPr>
        <w:t>figures</w:t>
      </w:r>
      <w:r w:rsidR="004F4DA4" w:rsidRPr="00C76E47">
        <w:rPr>
          <w:rFonts w:ascii="Times New Roman" w:hAnsi="Times New Roman" w:cs="Times New Roman"/>
          <w:iCs/>
        </w:rPr>
        <w:t xml:space="preserve"> that so interested other interpreters as instances of hieroglyphic writing, </w:t>
      </w:r>
      <w:proofErr w:type="spellStart"/>
      <w:r w:rsidR="004F4DA4" w:rsidRPr="00C76E47">
        <w:rPr>
          <w:rFonts w:ascii="Times New Roman" w:hAnsi="Times New Roman" w:cs="Times New Roman"/>
          <w:iCs/>
        </w:rPr>
        <w:t>Thévenot’s</w:t>
      </w:r>
      <w:proofErr w:type="spellEnd"/>
      <w:r w:rsidR="004F4DA4" w:rsidRPr="00C76E47">
        <w:rPr>
          <w:rFonts w:ascii="Times New Roman" w:hAnsi="Times New Roman" w:cs="Times New Roman"/>
          <w:iCs/>
        </w:rPr>
        <w:t xml:space="preserve"> frontispiece suggested greater similitude between European and </w:t>
      </w:r>
      <w:r w:rsidR="00A946FB">
        <w:rPr>
          <w:rFonts w:ascii="Times New Roman" w:hAnsi="Times New Roman" w:cs="Times New Roman"/>
          <w:iCs/>
        </w:rPr>
        <w:t>Aztec</w:t>
      </w:r>
      <w:r w:rsidR="00A946FB" w:rsidRPr="00C76E47">
        <w:rPr>
          <w:rFonts w:ascii="Times New Roman" w:hAnsi="Times New Roman" w:cs="Times New Roman"/>
          <w:iCs/>
        </w:rPr>
        <w:t xml:space="preserve"> </w:t>
      </w:r>
      <w:r w:rsidR="004F4DA4" w:rsidRPr="00C76E47">
        <w:rPr>
          <w:rFonts w:ascii="Times New Roman" w:hAnsi="Times New Roman" w:cs="Times New Roman"/>
          <w:iCs/>
        </w:rPr>
        <w:t>traditions.</w:t>
      </w:r>
      <w:r w:rsidR="00B24D4A" w:rsidRPr="00C76E47">
        <w:rPr>
          <w:rFonts w:ascii="Times New Roman" w:hAnsi="Times New Roman" w:cs="Times New Roman"/>
          <w:iCs/>
        </w:rPr>
        <w:t xml:space="preserve"> </w:t>
      </w:r>
      <w:r w:rsidR="00740F83" w:rsidRPr="00C76E47">
        <w:rPr>
          <w:rFonts w:ascii="Times New Roman" w:hAnsi="Times New Roman" w:cs="Times New Roman"/>
          <w:iCs/>
        </w:rPr>
        <w:t xml:space="preserve">Another author to </w:t>
      </w:r>
      <w:r w:rsidR="00162348" w:rsidRPr="00C76E47">
        <w:rPr>
          <w:rFonts w:ascii="Times New Roman" w:hAnsi="Times New Roman" w:cs="Times New Roman"/>
          <w:iCs/>
        </w:rPr>
        <w:t xml:space="preserve">examine and reproduce </w:t>
      </w:r>
      <w:r w:rsidR="00162348" w:rsidRPr="00C76E47">
        <w:rPr>
          <w:rFonts w:ascii="Times New Roman" w:eastAsia="Times New Roman" w:hAnsi="Times New Roman" w:cs="Times New Roman"/>
        </w:rPr>
        <w:t xml:space="preserve">Purchas’ version of the </w:t>
      </w:r>
      <w:r w:rsidR="00162348" w:rsidRPr="00C76E47">
        <w:rPr>
          <w:rFonts w:ascii="Times New Roman" w:eastAsia="Times New Roman" w:hAnsi="Times New Roman" w:cs="Times New Roman"/>
          <w:i/>
        </w:rPr>
        <w:t>Mendoza</w:t>
      </w:r>
      <w:r w:rsidR="00B24D4A" w:rsidRPr="00C76E47">
        <w:rPr>
          <w:rFonts w:ascii="Times New Roman" w:hAnsi="Times New Roman" w:cs="Times New Roman"/>
          <w:iCs/>
        </w:rPr>
        <w:t xml:space="preserve">, the </w:t>
      </w:r>
      <w:r w:rsidR="00B24D4A" w:rsidRPr="00C76E47">
        <w:rPr>
          <w:rFonts w:ascii="Times New Roman" w:hAnsi="Times New Roman" w:cs="Times New Roman"/>
        </w:rPr>
        <w:t>Jesuit polymath Athanasius Kircher (</w:t>
      </w:r>
      <w:r w:rsidR="00B24D4A" w:rsidRPr="00C76E47">
        <w:rPr>
          <w:rFonts w:ascii="Times New Roman" w:eastAsia="Times New Roman" w:hAnsi="Times New Roman" w:cs="Times New Roman"/>
        </w:rPr>
        <w:t>1602–80)</w:t>
      </w:r>
      <w:r w:rsidR="001B71E8" w:rsidRPr="00C76E47">
        <w:rPr>
          <w:rFonts w:ascii="Times New Roman" w:eastAsia="Times New Roman" w:hAnsi="Times New Roman" w:cs="Times New Roman"/>
        </w:rPr>
        <w:t xml:space="preserve">, used it in his </w:t>
      </w:r>
      <w:r w:rsidR="00B24D4A" w:rsidRPr="00C76E47">
        <w:rPr>
          <w:rFonts w:ascii="Times New Roman" w:hAnsi="Times New Roman" w:cs="Times New Roman"/>
          <w:i/>
        </w:rPr>
        <w:t xml:space="preserve">Oedipus </w:t>
      </w:r>
      <w:proofErr w:type="spellStart"/>
      <w:r w:rsidR="00B24D4A" w:rsidRPr="00C76E47">
        <w:rPr>
          <w:rFonts w:ascii="Times New Roman" w:hAnsi="Times New Roman" w:cs="Times New Roman"/>
          <w:i/>
        </w:rPr>
        <w:t>Aegyptiacus</w:t>
      </w:r>
      <w:proofErr w:type="spellEnd"/>
      <w:r w:rsidR="00B24D4A" w:rsidRPr="00C76E47">
        <w:rPr>
          <w:rFonts w:ascii="Times New Roman" w:hAnsi="Times New Roman" w:cs="Times New Roman"/>
          <w:i/>
        </w:rPr>
        <w:t xml:space="preserve"> </w:t>
      </w:r>
      <w:r w:rsidR="00B24D4A" w:rsidRPr="00C76E47">
        <w:rPr>
          <w:rFonts w:ascii="Times New Roman" w:hAnsi="Times New Roman" w:cs="Times New Roman"/>
        </w:rPr>
        <w:lastRenderedPageBreak/>
        <w:t>(Rome, 1652–54)</w:t>
      </w:r>
      <w:r w:rsidR="001B71E8" w:rsidRPr="00C76E47">
        <w:rPr>
          <w:rFonts w:ascii="Times New Roman" w:hAnsi="Times New Roman" w:cs="Times New Roman"/>
        </w:rPr>
        <w:t xml:space="preserve"> as evidence to support his belief that the </w:t>
      </w:r>
      <w:r w:rsidR="00B24D4A" w:rsidRPr="00C76E47">
        <w:rPr>
          <w:rFonts w:ascii="Times New Roman" w:hAnsi="Times New Roman" w:cs="Times New Roman"/>
        </w:rPr>
        <w:t xml:space="preserve">Mexican pictographs were </w:t>
      </w:r>
      <w:r w:rsidR="005E5852">
        <w:rPr>
          <w:rFonts w:ascii="Times New Roman" w:hAnsi="Times New Roman" w:cs="Times New Roman"/>
        </w:rPr>
        <w:t xml:space="preserve">in fact </w:t>
      </w:r>
      <w:r w:rsidR="00B24D4A" w:rsidRPr="00C76E47">
        <w:rPr>
          <w:rFonts w:ascii="Times New Roman" w:hAnsi="Times New Roman" w:cs="Times New Roman"/>
        </w:rPr>
        <w:t>hieroglyphs</w:t>
      </w:r>
      <w:r w:rsidR="001B71E8" w:rsidRPr="00C76E47">
        <w:rPr>
          <w:rFonts w:ascii="Times New Roman" w:hAnsi="Times New Roman" w:cs="Times New Roman"/>
        </w:rPr>
        <w:t xml:space="preserve"> demonstrating the </w:t>
      </w:r>
      <w:r w:rsidR="00B24D4A" w:rsidRPr="00C76E47">
        <w:rPr>
          <w:rFonts w:ascii="Times New Roman" w:eastAsia="Times New Roman" w:hAnsi="Times New Roman" w:cs="Times New Roman"/>
        </w:rPr>
        <w:t>spread of Egyptian culture throughout the world</w:t>
      </w:r>
      <w:r w:rsidR="001B71E8" w:rsidRPr="00C76E47">
        <w:rPr>
          <w:rFonts w:ascii="Times New Roman" w:eastAsia="Times New Roman" w:hAnsi="Times New Roman" w:cs="Times New Roman"/>
        </w:rPr>
        <w:t xml:space="preserve"> in ancient times</w:t>
      </w:r>
      <w:r w:rsidR="00B24D4A" w:rsidRPr="00C76E47">
        <w:rPr>
          <w:rFonts w:ascii="Times New Roman" w:eastAsia="Times New Roman" w:hAnsi="Times New Roman" w:cs="Times New Roman"/>
        </w:rPr>
        <w:t>.</w:t>
      </w:r>
      <w:r w:rsidR="00B24D4A" w:rsidRPr="00C76E47">
        <w:rPr>
          <w:rFonts w:ascii="Times New Roman" w:hAnsi="Times New Roman" w:cs="Times New Roman"/>
          <w:iCs/>
        </w:rPr>
        <w:t xml:space="preserve"> </w:t>
      </w:r>
    </w:p>
    <w:p w14:paraId="48ADC7F9" w14:textId="77777777" w:rsidR="004A55CA" w:rsidRPr="00C76E47" w:rsidRDefault="004A55CA" w:rsidP="004A55CA">
      <w:pPr>
        <w:spacing w:line="480" w:lineRule="auto"/>
        <w:rPr>
          <w:rFonts w:ascii="Times New Roman" w:hAnsi="Times New Roman" w:cs="Times New Roman"/>
          <w:iCs/>
        </w:rPr>
      </w:pPr>
    </w:p>
    <w:p w14:paraId="79393308" w14:textId="74E99EB6" w:rsidR="000D42F0" w:rsidRPr="00F76880" w:rsidRDefault="00B24D4A" w:rsidP="004A55CA">
      <w:pPr>
        <w:spacing w:line="480" w:lineRule="auto"/>
        <w:rPr>
          <w:rFonts w:ascii="Times New Roman" w:hAnsi="Times New Roman" w:cs="Times New Roman"/>
          <w:i/>
          <w:iCs/>
        </w:rPr>
      </w:pPr>
      <w:r w:rsidRPr="00C76E47">
        <w:rPr>
          <w:rFonts w:ascii="Times New Roman" w:hAnsi="Times New Roman" w:cs="Times New Roman"/>
        </w:rPr>
        <w:t xml:space="preserve">Detained in the library, the </w:t>
      </w:r>
      <w:r w:rsidRPr="00C76E47">
        <w:rPr>
          <w:rFonts w:ascii="Times New Roman" w:hAnsi="Times New Roman" w:cs="Times New Roman"/>
          <w:i/>
        </w:rPr>
        <w:t>Mendoza</w:t>
      </w:r>
      <w:r w:rsidRPr="00C76E47">
        <w:rPr>
          <w:rFonts w:ascii="Times New Roman" w:hAnsi="Times New Roman" w:cs="Times New Roman"/>
        </w:rPr>
        <w:t xml:space="preserve"> continued to move in print. It was included in travel collections as a source on Amerindian civilization. It provided material for the comparative study of cultures, religions, languages, and writing systems. It was recruited into discussions surrounding European colonial and commercial expansion and competition. It served antiquarians and collectors. It allowed for evolutionary arguments about the relative civility or primitivism of various cultures. And on and on, multiplying with astonishing interpretive malleability. </w:t>
      </w:r>
      <w:r w:rsidR="005E5852">
        <w:rPr>
          <w:rFonts w:ascii="Times New Roman" w:hAnsi="Times New Roman" w:cs="Times New Roman"/>
        </w:rPr>
        <w:t>Between 1625 and 1830</w:t>
      </w:r>
      <w:r w:rsidRPr="00C76E47">
        <w:rPr>
          <w:rFonts w:ascii="Times New Roman" w:hAnsi="Times New Roman" w:cs="Times New Roman"/>
        </w:rPr>
        <w:t>, the codex’s printed translations produced numerous distinct versions, multiplying the object through interpretations while the manuscript itself remained for the most part out of sight, detained in the library.</w:t>
      </w:r>
      <w:r w:rsidR="005E5852">
        <w:rPr>
          <w:rFonts w:ascii="Times New Roman" w:hAnsi="Times New Roman" w:cs="Times New Roman"/>
        </w:rPr>
        <w:t xml:space="preserve"> These translations, reproductions, and reinterpretations continued over the course of the nineteenth and twentieth centuries, as the </w:t>
      </w:r>
      <w:r w:rsidR="005E5852" w:rsidRPr="005E5852">
        <w:rPr>
          <w:rFonts w:ascii="Times New Roman" w:hAnsi="Times New Roman" w:cs="Times New Roman"/>
          <w:i/>
          <w:iCs/>
        </w:rPr>
        <w:t>Mendoz</w:t>
      </w:r>
      <w:r w:rsidR="005E5852">
        <w:rPr>
          <w:rFonts w:ascii="Times New Roman" w:hAnsi="Times New Roman" w:cs="Times New Roman"/>
          <w:i/>
          <w:iCs/>
        </w:rPr>
        <w:t xml:space="preserve">a </w:t>
      </w:r>
      <w:r w:rsidR="005E5852">
        <w:rPr>
          <w:rFonts w:ascii="Times New Roman" w:hAnsi="Times New Roman" w:cs="Times New Roman"/>
        </w:rPr>
        <w:t>(</w:t>
      </w:r>
      <w:r w:rsidR="00AC4F14">
        <w:rPr>
          <w:rFonts w:ascii="Times New Roman" w:hAnsi="Times New Roman" w:cs="Times New Roman"/>
        </w:rPr>
        <w:t>along</w:t>
      </w:r>
      <w:r w:rsidR="005E5852">
        <w:rPr>
          <w:rFonts w:ascii="Times New Roman" w:hAnsi="Times New Roman" w:cs="Times New Roman"/>
        </w:rPr>
        <w:t xml:space="preserve"> other early colonial and pre-conquest objects) </w:t>
      </w:r>
      <w:r w:rsidR="005E5852" w:rsidRPr="005E5852">
        <w:rPr>
          <w:rFonts w:ascii="Times New Roman" w:hAnsi="Times New Roman" w:cs="Times New Roman"/>
        </w:rPr>
        <w:t>entered</w:t>
      </w:r>
      <w:r w:rsidR="005E5852">
        <w:rPr>
          <w:rFonts w:ascii="Times New Roman" w:hAnsi="Times New Roman" w:cs="Times New Roman"/>
        </w:rPr>
        <w:t xml:space="preserve"> discussions concerning the role of the Aztec past in the making of modern Mexico. In recent years, the </w:t>
      </w:r>
      <w:r w:rsidR="005E5852">
        <w:rPr>
          <w:rFonts w:ascii="Times New Roman" w:hAnsi="Times New Roman" w:cs="Times New Roman"/>
          <w:i/>
          <w:iCs/>
        </w:rPr>
        <w:t xml:space="preserve">Codex Mendoza </w:t>
      </w:r>
      <w:r w:rsidR="005E5852">
        <w:rPr>
          <w:rFonts w:ascii="Times New Roman" w:hAnsi="Times New Roman" w:cs="Times New Roman"/>
        </w:rPr>
        <w:t xml:space="preserve">has been described as a </w:t>
      </w:r>
      <w:r w:rsidR="001119D6">
        <w:rPr>
          <w:rFonts w:ascii="Times New Roman" w:hAnsi="Times New Roman" w:cs="Times New Roman"/>
        </w:rPr>
        <w:t>‘</w:t>
      </w:r>
      <w:r w:rsidR="005E5852">
        <w:rPr>
          <w:rFonts w:ascii="Times New Roman" w:hAnsi="Times New Roman" w:cs="Times New Roman"/>
        </w:rPr>
        <w:t>treasure</w:t>
      </w:r>
      <w:r w:rsidR="00C32DD7">
        <w:rPr>
          <w:rFonts w:ascii="Times New Roman" w:hAnsi="Times New Roman" w:cs="Times New Roman"/>
        </w:rPr>
        <w:t>.</w:t>
      </w:r>
      <w:r w:rsidR="001119D6">
        <w:rPr>
          <w:rFonts w:ascii="Times New Roman" w:hAnsi="Times New Roman" w:cs="Times New Roman"/>
        </w:rPr>
        <w:t>’</w:t>
      </w:r>
      <w:r w:rsidR="005E5852">
        <w:rPr>
          <w:rFonts w:ascii="Times New Roman" w:hAnsi="Times New Roman" w:cs="Times New Roman"/>
        </w:rPr>
        <w:t xml:space="preserve"> </w:t>
      </w:r>
      <w:r w:rsidR="00C32DD7">
        <w:rPr>
          <w:rFonts w:ascii="Times New Roman" w:hAnsi="Times New Roman" w:cs="Times New Roman"/>
        </w:rPr>
        <w:t>A</w:t>
      </w:r>
      <w:r w:rsidR="00AC4F14">
        <w:rPr>
          <w:rFonts w:ascii="Times New Roman" w:hAnsi="Times New Roman" w:cs="Times New Roman"/>
        </w:rPr>
        <w:t xml:space="preserve"> jet-setting star of international exhibitions, it has been admired by audiences in London, New York, Los Angeles, and beyond. </w:t>
      </w:r>
      <w:r w:rsidR="00C32DD7">
        <w:rPr>
          <w:rFonts w:ascii="Times New Roman" w:hAnsi="Times New Roman" w:cs="Times New Roman"/>
        </w:rPr>
        <w:t xml:space="preserve">And reproductions continue to offer powerful interpretations about the meaning and importance of the original manuscript: the digital edition published in 2015 as a collaboration between the Bodleian Library and Mexico’s INAH (Instituto Nacional de </w:t>
      </w:r>
      <w:proofErr w:type="spellStart"/>
      <w:r w:rsidR="00C32DD7">
        <w:rPr>
          <w:rFonts w:ascii="Times New Roman" w:hAnsi="Times New Roman" w:cs="Times New Roman"/>
        </w:rPr>
        <w:t>Antropología</w:t>
      </w:r>
      <w:proofErr w:type="spellEnd"/>
      <w:r w:rsidR="00C32DD7">
        <w:rPr>
          <w:rFonts w:ascii="Times New Roman" w:hAnsi="Times New Roman" w:cs="Times New Roman"/>
        </w:rPr>
        <w:t xml:space="preserve"> e Historia) was described as a </w:t>
      </w:r>
      <w:r w:rsidR="001119D6">
        <w:rPr>
          <w:rFonts w:ascii="Times New Roman" w:hAnsi="Times New Roman" w:cs="Times New Roman"/>
        </w:rPr>
        <w:t>‘</w:t>
      </w:r>
      <w:r w:rsidR="00C32DD7">
        <w:rPr>
          <w:rFonts w:ascii="Times New Roman" w:hAnsi="Times New Roman" w:cs="Times New Roman"/>
        </w:rPr>
        <w:t>virtual repatriation.</w:t>
      </w:r>
      <w:r w:rsidR="001119D6">
        <w:rPr>
          <w:rFonts w:ascii="Times New Roman" w:hAnsi="Times New Roman" w:cs="Times New Roman"/>
        </w:rPr>
        <w:t>’</w:t>
      </w:r>
      <w:r w:rsidR="00C32DD7">
        <w:rPr>
          <w:rFonts w:ascii="Times New Roman" w:hAnsi="Times New Roman" w:cs="Times New Roman"/>
        </w:rPr>
        <w:t xml:space="preserve"> </w:t>
      </w:r>
    </w:p>
    <w:p w14:paraId="11B55F9A" w14:textId="79168189" w:rsidR="0033753C" w:rsidRDefault="0033753C" w:rsidP="004A55CA">
      <w:pPr>
        <w:spacing w:line="480" w:lineRule="auto"/>
        <w:rPr>
          <w:rFonts w:ascii="Times New Roman" w:hAnsi="Times New Roman" w:cs="Times New Roman"/>
        </w:rPr>
      </w:pPr>
    </w:p>
    <w:p w14:paraId="6F746F76" w14:textId="55C8FC4D" w:rsidR="0033753C" w:rsidRDefault="0033753C" w:rsidP="004A55CA">
      <w:pPr>
        <w:spacing w:line="480" w:lineRule="auto"/>
        <w:rPr>
          <w:rFonts w:ascii="Times New Roman" w:hAnsi="Times New Roman" w:cs="Times New Roman"/>
        </w:rPr>
      </w:pPr>
      <w:r>
        <w:rPr>
          <w:rFonts w:ascii="Times New Roman" w:hAnsi="Times New Roman" w:cs="Times New Roman"/>
        </w:rPr>
        <w:t>Further Reading</w:t>
      </w:r>
    </w:p>
    <w:p w14:paraId="1A8402FF" w14:textId="1EE917E5" w:rsidR="00274E4E" w:rsidRDefault="00274E4E" w:rsidP="004A55CA">
      <w:pPr>
        <w:spacing w:line="480" w:lineRule="auto"/>
        <w:rPr>
          <w:rFonts w:ascii="Times New Roman" w:hAnsi="Times New Roman" w:cs="Times New Roman"/>
        </w:rPr>
      </w:pPr>
    </w:p>
    <w:p w14:paraId="7E5D206A" w14:textId="77777777" w:rsidR="00B44E69" w:rsidRDefault="00B44E69" w:rsidP="00B44E69">
      <w:pPr>
        <w:spacing w:line="480" w:lineRule="auto"/>
        <w:rPr>
          <w:rFonts w:ascii="Times New Roman" w:hAnsi="Times New Roman"/>
        </w:rPr>
      </w:pPr>
      <w:r w:rsidRPr="00C32DD7">
        <w:rPr>
          <w:rFonts w:ascii="Times New Roman" w:hAnsi="Times New Roman"/>
        </w:rPr>
        <w:t>https://codicemendoza.inah.gob.mx/html/acerca.php?lang=english</w:t>
      </w:r>
    </w:p>
    <w:p w14:paraId="6F467E03" w14:textId="77777777" w:rsidR="00B44E69" w:rsidRDefault="00B44E69" w:rsidP="004A55CA">
      <w:pPr>
        <w:spacing w:line="480" w:lineRule="auto"/>
        <w:rPr>
          <w:rFonts w:ascii="Times New Roman" w:hAnsi="Times New Roman" w:cs="Times New Roman"/>
        </w:rPr>
      </w:pPr>
    </w:p>
    <w:p w14:paraId="1BA0E5EE" w14:textId="77777777" w:rsidR="008C7F26" w:rsidRDefault="00274E4E" w:rsidP="008C7F26">
      <w:pPr>
        <w:spacing w:line="480" w:lineRule="auto"/>
        <w:rPr>
          <w:rFonts w:ascii="Times New Roman" w:hAnsi="Times New Roman"/>
        </w:rPr>
      </w:pPr>
      <w:r w:rsidRPr="009B00BD">
        <w:rPr>
          <w:rFonts w:ascii="Times New Roman" w:hAnsi="Times New Roman"/>
        </w:rPr>
        <w:t xml:space="preserve">Frances </w:t>
      </w:r>
      <w:proofErr w:type="spellStart"/>
      <w:r w:rsidRPr="009B00BD">
        <w:rPr>
          <w:rFonts w:ascii="Times New Roman" w:hAnsi="Times New Roman"/>
        </w:rPr>
        <w:t>Berdan</w:t>
      </w:r>
      <w:proofErr w:type="spellEnd"/>
      <w:r w:rsidRPr="009B00BD">
        <w:rPr>
          <w:rFonts w:ascii="Times New Roman" w:hAnsi="Times New Roman"/>
        </w:rPr>
        <w:t xml:space="preserve"> and Patricia </w:t>
      </w:r>
      <w:proofErr w:type="spellStart"/>
      <w:r w:rsidRPr="009B00BD">
        <w:rPr>
          <w:rFonts w:ascii="Times New Roman" w:hAnsi="Times New Roman"/>
        </w:rPr>
        <w:t>Rieff</w:t>
      </w:r>
      <w:proofErr w:type="spellEnd"/>
      <w:r w:rsidRPr="009B00BD">
        <w:rPr>
          <w:rFonts w:ascii="Times New Roman" w:hAnsi="Times New Roman"/>
        </w:rPr>
        <w:t xml:space="preserve"> </w:t>
      </w:r>
      <w:proofErr w:type="spellStart"/>
      <w:r w:rsidRPr="009B00BD">
        <w:rPr>
          <w:rFonts w:ascii="Times New Roman" w:hAnsi="Times New Roman"/>
        </w:rPr>
        <w:t>Anawalt</w:t>
      </w:r>
      <w:proofErr w:type="spellEnd"/>
      <w:r w:rsidRPr="009B00BD">
        <w:rPr>
          <w:rFonts w:ascii="Times New Roman" w:hAnsi="Times New Roman"/>
        </w:rPr>
        <w:t xml:space="preserve">, </w:t>
      </w:r>
      <w:r>
        <w:rPr>
          <w:rFonts w:ascii="Times New Roman" w:hAnsi="Times New Roman"/>
        </w:rPr>
        <w:t xml:space="preserve">eds., </w:t>
      </w:r>
      <w:r w:rsidRPr="009B00BD">
        <w:rPr>
          <w:rFonts w:ascii="Times New Roman" w:hAnsi="Times New Roman"/>
          <w:i/>
        </w:rPr>
        <w:t xml:space="preserve">The Codex Mendoza, </w:t>
      </w:r>
      <w:r w:rsidRPr="009B00BD">
        <w:rPr>
          <w:rFonts w:ascii="Times New Roman" w:hAnsi="Times New Roman"/>
        </w:rPr>
        <w:t>4 vols.</w:t>
      </w:r>
      <w:r>
        <w:rPr>
          <w:rFonts w:ascii="Times New Roman" w:hAnsi="Times New Roman"/>
        </w:rPr>
        <w:t xml:space="preserve"> (</w:t>
      </w:r>
      <w:r w:rsidRPr="009B00BD">
        <w:rPr>
          <w:rFonts w:ascii="Times New Roman" w:hAnsi="Times New Roman"/>
        </w:rPr>
        <w:t>Berkeley</w:t>
      </w:r>
      <w:r>
        <w:rPr>
          <w:rFonts w:ascii="Times New Roman" w:hAnsi="Times New Roman"/>
        </w:rPr>
        <w:t>: University of California Press</w:t>
      </w:r>
      <w:r w:rsidRPr="009B00BD">
        <w:rPr>
          <w:rFonts w:ascii="Times New Roman" w:hAnsi="Times New Roman"/>
        </w:rPr>
        <w:t>, 1992</w:t>
      </w:r>
      <w:r>
        <w:rPr>
          <w:rFonts w:ascii="Times New Roman" w:hAnsi="Times New Roman"/>
        </w:rPr>
        <w:t>)</w:t>
      </w:r>
    </w:p>
    <w:p w14:paraId="01F1FC76" w14:textId="77777777" w:rsidR="008C7F26" w:rsidRDefault="008C7F26" w:rsidP="008C7F26">
      <w:pPr>
        <w:spacing w:line="480" w:lineRule="auto"/>
        <w:rPr>
          <w:rFonts w:ascii="Times New Roman" w:hAnsi="Times New Roman"/>
        </w:rPr>
      </w:pPr>
    </w:p>
    <w:p w14:paraId="237036C1" w14:textId="30F14A2C" w:rsidR="00274E4E" w:rsidRDefault="008C7F26" w:rsidP="004A55CA">
      <w:pPr>
        <w:spacing w:line="480" w:lineRule="auto"/>
        <w:rPr>
          <w:rFonts w:ascii="Georgia" w:hAnsi="Georgia"/>
          <w:iCs/>
          <w:sz w:val="22"/>
          <w:szCs w:val="22"/>
        </w:rPr>
      </w:pPr>
      <w:r w:rsidRPr="008C7F26">
        <w:rPr>
          <w:rFonts w:ascii="Times New Roman" w:hAnsi="Times New Roman"/>
        </w:rPr>
        <w:t xml:space="preserve">Daniela </w:t>
      </w:r>
      <w:proofErr w:type="spellStart"/>
      <w:r w:rsidRPr="008C7F26">
        <w:rPr>
          <w:rFonts w:ascii="Times New Roman" w:hAnsi="Times New Roman"/>
        </w:rPr>
        <w:t>Bleichmar</w:t>
      </w:r>
      <w:proofErr w:type="spellEnd"/>
      <w:r w:rsidRPr="008C7F26">
        <w:rPr>
          <w:rFonts w:ascii="Times New Roman" w:hAnsi="Times New Roman"/>
        </w:rPr>
        <w:t xml:space="preserve">, </w:t>
      </w:r>
      <w:r w:rsidR="001119D6">
        <w:rPr>
          <w:rFonts w:ascii="Georgia" w:hAnsi="Georgia"/>
          <w:sz w:val="22"/>
          <w:szCs w:val="22"/>
        </w:rPr>
        <w:t>‘</w:t>
      </w:r>
      <w:r w:rsidRPr="008C7F26">
        <w:rPr>
          <w:rFonts w:ascii="Georgia" w:hAnsi="Georgia"/>
          <w:sz w:val="22"/>
          <w:szCs w:val="22"/>
        </w:rPr>
        <w:t>History in Pictures: Translating the</w:t>
      </w:r>
      <w:r w:rsidRPr="00031E96">
        <w:rPr>
          <w:rFonts w:ascii="Georgia" w:hAnsi="Georgia"/>
          <w:i/>
          <w:sz w:val="22"/>
          <w:szCs w:val="22"/>
        </w:rPr>
        <w:t xml:space="preserve"> </w:t>
      </w:r>
      <w:r w:rsidRPr="008C7F26">
        <w:rPr>
          <w:rFonts w:ascii="Georgia" w:hAnsi="Georgia"/>
          <w:i/>
          <w:iCs/>
          <w:sz w:val="22"/>
          <w:szCs w:val="22"/>
        </w:rPr>
        <w:t>Codex Mendoza</w:t>
      </w:r>
      <w:r w:rsidRPr="008C7F26">
        <w:rPr>
          <w:rFonts w:ascii="Georgia" w:hAnsi="Georgia"/>
          <w:iCs/>
          <w:sz w:val="22"/>
          <w:szCs w:val="22"/>
        </w:rPr>
        <w:t>,</w:t>
      </w:r>
      <w:r w:rsidR="001119D6">
        <w:rPr>
          <w:rFonts w:ascii="Georgia" w:hAnsi="Georgia"/>
          <w:iCs/>
          <w:sz w:val="22"/>
          <w:szCs w:val="22"/>
        </w:rPr>
        <w:t>’</w:t>
      </w:r>
      <w:r w:rsidRPr="008C7F26">
        <w:rPr>
          <w:rFonts w:ascii="Georgia" w:hAnsi="Georgia"/>
          <w:iCs/>
          <w:sz w:val="22"/>
          <w:szCs w:val="22"/>
        </w:rPr>
        <w:t xml:space="preserve"> </w:t>
      </w:r>
      <w:r w:rsidRPr="008C7F26">
        <w:rPr>
          <w:rFonts w:ascii="Georgia" w:hAnsi="Georgia"/>
          <w:i/>
          <w:sz w:val="22"/>
          <w:szCs w:val="22"/>
        </w:rPr>
        <w:t>Art History</w:t>
      </w:r>
      <w:r w:rsidRPr="008C7F26">
        <w:rPr>
          <w:rFonts w:ascii="Georgia" w:hAnsi="Georgia"/>
          <w:iCs/>
          <w:sz w:val="22"/>
          <w:szCs w:val="22"/>
        </w:rPr>
        <w:t>, 38.4 (Fall 2015): 682–701</w:t>
      </w:r>
    </w:p>
    <w:p w14:paraId="6879EB81" w14:textId="77777777" w:rsidR="00F76880" w:rsidRDefault="00F76880" w:rsidP="004A55CA">
      <w:pPr>
        <w:spacing w:line="480" w:lineRule="auto"/>
        <w:rPr>
          <w:rFonts w:ascii="Times New Roman" w:hAnsi="Times New Roman" w:cs="Times New Roman"/>
        </w:rPr>
      </w:pPr>
    </w:p>
    <w:p w14:paraId="1D096E53" w14:textId="16713B05" w:rsidR="00B44E69" w:rsidRDefault="00274E4E" w:rsidP="00B44E69">
      <w:pPr>
        <w:spacing w:line="480" w:lineRule="auto"/>
        <w:rPr>
          <w:rFonts w:ascii="Times New Roman" w:hAnsi="Times New Roman" w:cs="Times New Roman"/>
          <w:iCs/>
        </w:rPr>
      </w:pPr>
      <w:r>
        <w:rPr>
          <w:rFonts w:ascii="Times New Roman" w:hAnsi="Times New Roman" w:cs="Times New Roman"/>
        </w:rPr>
        <w:t xml:space="preserve">Daniela Bleichmar and Meredith Martins, eds., </w:t>
      </w:r>
      <w:r>
        <w:rPr>
          <w:rFonts w:ascii="Times New Roman" w:hAnsi="Times New Roman" w:cs="Times New Roman"/>
          <w:i/>
        </w:rPr>
        <w:t>Objects in Motion in the Early Modern World</w:t>
      </w:r>
      <w:r w:rsidR="008C7F26">
        <w:rPr>
          <w:rFonts w:ascii="Times New Roman" w:hAnsi="Times New Roman" w:cs="Times New Roman"/>
          <w:i/>
        </w:rPr>
        <w:t xml:space="preserve">, </w:t>
      </w:r>
      <w:r>
        <w:rPr>
          <w:rFonts w:ascii="Times New Roman" w:hAnsi="Times New Roman" w:cs="Times New Roman"/>
          <w:iCs/>
        </w:rPr>
        <w:t>(Chichester: John Wiley &amp; Sons, 2016)</w:t>
      </w:r>
    </w:p>
    <w:p w14:paraId="06EA3B10" w14:textId="77777777" w:rsidR="00B44E69" w:rsidRDefault="00B44E69" w:rsidP="00B44E69">
      <w:pPr>
        <w:spacing w:line="480" w:lineRule="auto"/>
        <w:rPr>
          <w:rFonts w:ascii="Times New Roman" w:hAnsi="Times New Roman" w:cs="Times New Roman"/>
          <w:iCs/>
        </w:rPr>
      </w:pPr>
    </w:p>
    <w:p w14:paraId="0EF3712E" w14:textId="42CCA30E" w:rsidR="00B44E69" w:rsidRPr="00B44E69" w:rsidRDefault="00B44E69" w:rsidP="00B44E69">
      <w:pPr>
        <w:spacing w:line="480" w:lineRule="auto"/>
        <w:rPr>
          <w:rFonts w:ascii="Times New Roman" w:hAnsi="Times New Roman" w:cs="Times New Roman"/>
          <w:iCs/>
        </w:rPr>
      </w:pPr>
      <w:r w:rsidRPr="00B44E69">
        <w:rPr>
          <w:rFonts w:ascii="Times New Roman" w:eastAsia="Times New Roman" w:hAnsi="Times New Roman" w:cs="Times New Roman"/>
        </w:rPr>
        <w:t>Gordon</w:t>
      </w:r>
      <w:r w:rsidR="002F7E22">
        <w:rPr>
          <w:rFonts w:ascii="Times New Roman" w:eastAsia="Times New Roman" w:hAnsi="Times New Roman" w:cs="Times New Roman"/>
        </w:rPr>
        <w:t xml:space="preserve"> </w:t>
      </w:r>
      <w:proofErr w:type="spellStart"/>
      <w:r w:rsidR="002F7E22" w:rsidRPr="00B44E69">
        <w:rPr>
          <w:rFonts w:ascii="Times New Roman" w:eastAsia="Times New Roman" w:hAnsi="Times New Roman" w:cs="Times New Roman"/>
        </w:rPr>
        <w:t>Brotherston</w:t>
      </w:r>
      <w:proofErr w:type="spellEnd"/>
      <w:r w:rsidR="002F7E22">
        <w:rPr>
          <w:rFonts w:ascii="Times New Roman" w:eastAsia="Times New Roman" w:hAnsi="Times New Roman" w:cs="Times New Roman"/>
        </w:rPr>
        <w:t xml:space="preserve">, </w:t>
      </w:r>
      <w:r w:rsidRPr="00B44E69">
        <w:rPr>
          <w:rFonts w:ascii="Times New Roman" w:eastAsia="Times New Roman" w:hAnsi="Times New Roman" w:cs="Times New Roman"/>
          <w:i/>
          <w:iCs/>
        </w:rPr>
        <w:t>Painted Books from Mexico: Codices in UK Collections and the World They Represent</w:t>
      </w:r>
      <w:r w:rsidRPr="00B44E69">
        <w:rPr>
          <w:rFonts w:ascii="Times New Roman" w:eastAsia="Times New Roman" w:hAnsi="Times New Roman" w:cs="Times New Roman"/>
        </w:rPr>
        <w:t xml:space="preserve"> </w:t>
      </w:r>
      <w:r w:rsidR="002F7E22">
        <w:rPr>
          <w:rFonts w:ascii="Times New Roman" w:eastAsia="Times New Roman" w:hAnsi="Times New Roman" w:cs="Times New Roman"/>
        </w:rPr>
        <w:t>(</w:t>
      </w:r>
      <w:r w:rsidRPr="00B44E69">
        <w:rPr>
          <w:rFonts w:ascii="Times New Roman" w:eastAsia="Times New Roman" w:hAnsi="Times New Roman" w:cs="Times New Roman"/>
        </w:rPr>
        <w:t>London: British Museum Press, 1995</w:t>
      </w:r>
      <w:r w:rsidR="002F7E22">
        <w:rPr>
          <w:rFonts w:ascii="Times New Roman" w:eastAsia="Times New Roman" w:hAnsi="Times New Roman" w:cs="Times New Roman"/>
        </w:rPr>
        <w:t>)</w:t>
      </w:r>
    </w:p>
    <w:p w14:paraId="12F97402" w14:textId="77777777" w:rsidR="00B44E69" w:rsidRDefault="00B44E69" w:rsidP="00B44E69">
      <w:pPr>
        <w:spacing w:line="480" w:lineRule="auto"/>
        <w:rPr>
          <w:rFonts w:ascii="Times New Roman" w:hAnsi="Times New Roman" w:cs="Times New Roman"/>
          <w:iCs/>
        </w:rPr>
      </w:pPr>
    </w:p>
    <w:p w14:paraId="6EEA73A9" w14:textId="370E08C9" w:rsidR="0033753C" w:rsidRPr="002F7E22" w:rsidRDefault="00B44E69" w:rsidP="00B44E69">
      <w:pPr>
        <w:spacing w:line="480" w:lineRule="auto"/>
        <w:rPr>
          <w:rFonts w:ascii="Times New Roman" w:hAnsi="Times New Roman" w:cs="Times New Roman"/>
          <w:iCs/>
        </w:rPr>
      </w:pPr>
      <w:r w:rsidRPr="00B44E69">
        <w:rPr>
          <w:rFonts w:ascii="Times New Roman" w:eastAsia="Times New Roman" w:hAnsi="Times New Roman" w:cs="Times New Roman"/>
        </w:rPr>
        <w:t>Serge Gruzinski</w:t>
      </w:r>
      <w:r>
        <w:rPr>
          <w:rFonts w:ascii="Times New Roman" w:eastAsia="Times New Roman" w:hAnsi="Times New Roman" w:cs="Times New Roman"/>
        </w:rPr>
        <w:t xml:space="preserve">, </w:t>
      </w:r>
      <w:r w:rsidRPr="00B44E69">
        <w:rPr>
          <w:rFonts w:ascii="Times New Roman" w:eastAsia="Times New Roman" w:hAnsi="Times New Roman" w:cs="Times New Roman"/>
          <w:i/>
          <w:iCs/>
        </w:rPr>
        <w:t>Painting the Conquest: The Mexican Indians and the European Renaissance</w:t>
      </w:r>
      <w:r>
        <w:rPr>
          <w:rFonts w:ascii="Times New Roman" w:eastAsia="Times New Roman" w:hAnsi="Times New Roman" w:cs="Times New Roman"/>
        </w:rPr>
        <w:t xml:space="preserve"> (</w:t>
      </w:r>
      <w:r w:rsidRPr="00B44E69">
        <w:rPr>
          <w:rFonts w:ascii="Times New Roman" w:eastAsia="Times New Roman" w:hAnsi="Times New Roman" w:cs="Times New Roman"/>
        </w:rPr>
        <w:t xml:space="preserve">Paris: </w:t>
      </w:r>
      <w:proofErr w:type="spellStart"/>
      <w:r w:rsidRPr="00B44E69">
        <w:rPr>
          <w:rFonts w:ascii="Times New Roman" w:eastAsia="Times New Roman" w:hAnsi="Times New Roman" w:cs="Times New Roman"/>
        </w:rPr>
        <w:t>Unesco</w:t>
      </w:r>
      <w:proofErr w:type="spellEnd"/>
      <w:r w:rsidRPr="00B44E69">
        <w:rPr>
          <w:rFonts w:ascii="Times New Roman" w:eastAsia="Times New Roman" w:hAnsi="Times New Roman" w:cs="Times New Roman"/>
        </w:rPr>
        <w:t> </w:t>
      </w:r>
      <w:r>
        <w:rPr>
          <w:rFonts w:ascii="Times New Roman" w:eastAsia="Times New Roman" w:hAnsi="Times New Roman" w:cs="Times New Roman"/>
        </w:rPr>
        <w:t xml:space="preserve">/ </w:t>
      </w:r>
      <w:r w:rsidRPr="00B44E69">
        <w:rPr>
          <w:rFonts w:ascii="Times New Roman" w:eastAsia="Times New Roman" w:hAnsi="Times New Roman" w:cs="Times New Roman"/>
        </w:rPr>
        <w:t>Flammarion, 1992</w:t>
      </w:r>
      <w:r>
        <w:rPr>
          <w:rFonts w:ascii="Times New Roman" w:eastAsia="Times New Roman" w:hAnsi="Times New Roman" w:cs="Times New Roman"/>
        </w:rPr>
        <w:t>)</w:t>
      </w:r>
    </w:p>
    <w:p w14:paraId="006B6567" w14:textId="331DD8FD" w:rsidR="005E5852" w:rsidRDefault="005E5852" w:rsidP="004A55CA">
      <w:pPr>
        <w:spacing w:line="480" w:lineRule="auto"/>
        <w:rPr>
          <w:rFonts w:ascii="Times New Roman" w:hAnsi="Times New Roman"/>
        </w:rPr>
      </w:pPr>
    </w:p>
    <w:p w14:paraId="1B1A4113" w14:textId="7390A5AB" w:rsidR="005E5852" w:rsidRDefault="005E5852" w:rsidP="004A55CA">
      <w:pPr>
        <w:spacing w:line="480" w:lineRule="auto"/>
        <w:rPr>
          <w:rFonts w:ascii="Times New Roman" w:hAnsi="Times New Roman"/>
        </w:rPr>
      </w:pPr>
      <w:r w:rsidRPr="009B00BD">
        <w:rPr>
          <w:rFonts w:ascii="Times New Roman" w:hAnsi="Times New Roman"/>
        </w:rPr>
        <w:t xml:space="preserve">Byron Ellsworth Hamann, </w:t>
      </w:r>
      <w:r w:rsidR="001119D6">
        <w:rPr>
          <w:rFonts w:ascii="Times New Roman" w:hAnsi="Times New Roman"/>
        </w:rPr>
        <w:t>‘</w:t>
      </w:r>
      <w:r w:rsidRPr="009B00BD">
        <w:rPr>
          <w:rFonts w:ascii="Times New Roman" w:hAnsi="Times New Roman"/>
        </w:rPr>
        <w:t xml:space="preserve">How Maya </w:t>
      </w:r>
      <w:r w:rsidR="00CC3152">
        <w:rPr>
          <w:rFonts w:ascii="Times New Roman" w:hAnsi="Times New Roman"/>
        </w:rPr>
        <w:t>H</w:t>
      </w:r>
      <w:r w:rsidRPr="009B00BD">
        <w:rPr>
          <w:rFonts w:ascii="Times New Roman" w:hAnsi="Times New Roman"/>
        </w:rPr>
        <w:t xml:space="preserve">ieroglyphs </w:t>
      </w:r>
      <w:r w:rsidR="00CC3152">
        <w:rPr>
          <w:rFonts w:ascii="Times New Roman" w:hAnsi="Times New Roman"/>
        </w:rPr>
        <w:t>G</w:t>
      </w:r>
      <w:r w:rsidRPr="009B00BD">
        <w:rPr>
          <w:rFonts w:ascii="Times New Roman" w:hAnsi="Times New Roman"/>
        </w:rPr>
        <w:t xml:space="preserve">ot </w:t>
      </w:r>
      <w:r w:rsidR="00CC3152">
        <w:rPr>
          <w:rFonts w:ascii="Times New Roman" w:hAnsi="Times New Roman"/>
        </w:rPr>
        <w:t>T</w:t>
      </w:r>
      <w:r w:rsidRPr="009B00BD">
        <w:rPr>
          <w:rFonts w:ascii="Times New Roman" w:hAnsi="Times New Roman"/>
        </w:rPr>
        <w:t xml:space="preserve">heir </w:t>
      </w:r>
      <w:r w:rsidR="00CC3152">
        <w:rPr>
          <w:rFonts w:ascii="Times New Roman" w:hAnsi="Times New Roman"/>
        </w:rPr>
        <w:t>N</w:t>
      </w:r>
      <w:r w:rsidRPr="009B00BD">
        <w:rPr>
          <w:rFonts w:ascii="Times New Roman" w:hAnsi="Times New Roman"/>
        </w:rPr>
        <w:t xml:space="preserve">ame: Egypt, Mexico, and China in Western </w:t>
      </w:r>
      <w:r w:rsidR="00CC3152">
        <w:rPr>
          <w:rFonts w:ascii="Times New Roman" w:hAnsi="Times New Roman"/>
        </w:rPr>
        <w:t>G</w:t>
      </w:r>
      <w:r w:rsidRPr="009B00BD">
        <w:rPr>
          <w:rFonts w:ascii="Times New Roman" w:hAnsi="Times New Roman"/>
        </w:rPr>
        <w:t xml:space="preserve">rammatology </w:t>
      </w:r>
      <w:r w:rsidR="00CC3152">
        <w:rPr>
          <w:rFonts w:ascii="Times New Roman" w:hAnsi="Times New Roman"/>
        </w:rPr>
        <w:t>S</w:t>
      </w:r>
      <w:r w:rsidRPr="009B00BD">
        <w:rPr>
          <w:rFonts w:ascii="Times New Roman" w:hAnsi="Times New Roman"/>
        </w:rPr>
        <w:t xml:space="preserve">ince the </w:t>
      </w:r>
      <w:r w:rsidR="00CC3152">
        <w:rPr>
          <w:rFonts w:ascii="Times New Roman" w:hAnsi="Times New Roman"/>
        </w:rPr>
        <w:t>F</w:t>
      </w:r>
      <w:r w:rsidRPr="009B00BD">
        <w:rPr>
          <w:rFonts w:ascii="Times New Roman" w:hAnsi="Times New Roman"/>
        </w:rPr>
        <w:t xml:space="preserve">ifteenth </w:t>
      </w:r>
      <w:r w:rsidR="00CC3152">
        <w:rPr>
          <w:rFonts w:ascii="Times New Roman" w:hAnsi="Times New Roman"/>
        </w:rPr>
        <w:t>C</w:t>
      </w:r>
      <w:r w:rsidRPr="009B00BD">
        <w:rPr>
          <w:rFonts w:ascii="Times New Roman" w:hAnsi="Times New Roman"/>
        </w:rPr>
        <w:t>entury,</w:t>
      </w:r>
      <w:r w:rsidR="001119D6">
        <w:rPr>
          <w:rFonts w:ascii="Times New Roman" w:hAnsi="Times New Roman"/>
        </w:rPr>
        <w:t>’</w:t>
      </w:r>
      <w:r w:rsidRPr="009B00BD">
        <w:rPr>
          <w:rFonts w:ascii="Times New Roman" w:hAnsi="Times New Roman"/>
        </w:rPr>
        <w:t xml:space="preserve"> </w:t>
      </w:r>
      <w:r w:rsidRPr="009B00BD">
        <w:rPr>
          <w:rFonts w:ascii="Times New Roman" w:hAnsi="Times New Roman"/>
          <w:i/>
        </w:rPr>
        <w:t>Proceedings of the American Philosophical Society</w:t>
      </w:r>
      <w:r w:rsidRPr="009B00BD">
        <w:rPr>
          <w:rFonts w:ascii="Times New Roman" w:hAnsi="Times New Roman"/>
        </w:rPr>
        <w:t xml:space="preserve"> 152:1</w:t>
      </w:r>
      <w:r w:rsidR="00CC3152">
        <w:rPr>
          <w:rFonts w:ascii="Times New Roman" w:hAnsi="Times New Roman"/>
        </w:rPr>
        <w:t xml:space="preserve"> (</w:t>
      </w:r>
      <w:r w:rsidRPr="009B00BD">
        <w:rPr>
          <w:rFonts w:ascii="Times New Roman" w:hAnsi="Times New Roman"/>
        </w:rPr>
        <w:t>March 2008</w:t>
      </w:r>
      <w:r w:rsidR="00CC3152">
        <w:rPr>
          <w:rFonts w:ascii="Times New Roman" w:hAnsi="Times New Roman"/>
        </w:rPr>
        <w:t>)</w:t>
      </w:r>
      <w:r w:rsidRPr="009B00BD">
        <w:rPr>
          <w:rFonts w:ascii="Times New Roman" w:hAnsi="Times New Roman"/>
        </w:rPr>
        <w:t>, 1–68</w:t>
      </w:r>
    </w:p>
    <w:p w14:paraId="7C6FAEFF" w14:textId="6399754E" w:rsidR="00C32DD7" w:rsidRDefault="00C32DD7" w:rsidP="004A55CA">
      <w:pPr>
        <w:spacing w:line="480" w:lineRule="auto"/>
        <w:rPr>
          <w:rFonts w:ascii="Times New Roman" w:hAnsi="Times New Roman"/>
        </w:rPr>
      </w:pPr>
    </w:p>
    <w:p w14:paraId="31FD9C2C" w14:textId="77777777" w:rsidR="0033753C" w:rsidRPr="00C76E47" w:rsidRDefault="0033753C" w:rsidP="004A55CA">
      <w:pPr>
        <w:spacing w:line="480" w:lineRule="auto"/>
        <w:rPr>
          <w:rFonts w:ascii="Times New Roman" w:hAnsi="Times New Roman" w:cs="Times New Roman"/>
          <w:iCs/>
        </w:rPr>
      </w:pPr>
    </w:p>
    <w:sectPr w:rsidR="0033753C" w:rsidRPr="00C76E47" w:rsidSect="007E7635">
      <w:headerReference w:type="default" r:id="rId8"/>
      <w:footerReference w:type="default" r:id="rId9"/>
      <w:headerReference w:type="first" r:id="rId10"/>
      <w:footerReference w:type="first" r:id="rId11"/>
      <w:endnotePr>
        <w:numFmt w:val="decimal"/>
      </w:endnotePr>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EE0AC" w14:textId="77777777" w:rsidR="00264E31" w:rsidRDefault="00264E31" w:rsidP="00BC47B9">
      <w:r>
        <w:separator/>
      </w:r>
    </w:p>
  </w:endnote>
  <w:endnote w:type="continuationSeparator" w:id="0">
    <w:p w14:paraId="42D31634" w14:textId="77777777" w:rsidR="00264E31" w:rsidRDefault="00264E31" w:rsidP="00BC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DDE63" w14:textId="4C353D60" w:rsidR="00CD027D" w:rsidRPr="00CD027D" w:rsidRDefault="00CD027D" w:rsidP="00C76E47">
    <w:pPr>
      <w:pStyle w:val="Footer"/>
      <w:rPr>
        <w:rStyle w:val="PageNumber"/>
        <w:rFonts w:ascii="Cambria" w:hAnsi="Cambria"/>
      </w:rPr>
    </w:pPr>
  </w:p>
  <w:p w14:paraId="16A15919" w14:textId="5794A107" w:rsidR="00CD027D" w:rsidRDefault="00CD027D" w:rsidP="00C76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C853" w14:textId="77777777" w:rsidR="00CD027D" w:rsidRPr="00CD027D" w:rsidRDefault="00CD027D" w:rsidP="00C76E47">
    <w:pPr>
      <w:pStyle w:val="Footer"/>
      <w:ind w:right="360"/>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50B00" w14:textId="77777777" w:rsidR="00264E31" w:rsidRDefault="00264E31" w:rsidP="00BC47B9">
      <w:r>
        <w:separator/>
      </w:r>
    </w:p>
  </w:footnote>
  <w:footnote w:type="continuationSeparator" w:id="0">
    <w:p w14:paraId="6B6DA416" w14:textId="77777777" w:rsidR="00264E31" w:rsidRDefault="00264E31" w:rsidP="00BC4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16F8" w14:textId="5E3099A2" w:rsidR="007E7635" w:rsidRDefault="007E7635">
    <w:pPr>
      <w:pStyle w:val="Header"/>
      <w:jc w:val="right"/>
    </w:pPr>
    <w:proofErr w:type="spellStart"/>
    <w:r>
      <w:t>Bleichmar</w:t>
    </w:r>
    <w:proofErr w:type="spellEnd"/>
    <w:r>
      <w:t>/</w:t>
    </w:r>
    <w:r w:rsidR="00266C60">
      <w:t xml:space="preserve">Codex </w:t>
    </w:r>
    <w:r>
      <w:t xml:space="preserve">Mendoza </w:t>
    </w:r>
    <w:sdt>
      <w:sdtPr>
        <w:id w:val="-12256016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53EB1A6" w14:textId="77777777" w:rsidR="003C5FBD" w:rsidRDefault="003C5FBD" w:rsidP="007E763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492561"/>
      <w:docPartObj>
        <w:docPartGallery w:val="Page Numbers (Top of Page)"/>
        <w:docPartUnique/>
      </w:docPartObj>
    </w:sdtPr>
    <w:sdtEndPr>
      <w:rPr>
        <w:noProof/>
      </w:rPr>
    </w:sdtEndPr>
    <w:sdtContent>
      <w:p w14:paraId="0EE0CF4F" w14:textId="2F67BDAD" w:rsidR="003C5FBD" w:rsidRDefault="003C5F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E5A09" w14:textId="77777777" w:rsidR="003C5FBD" w:rsidRDefault="003C5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7959"/>
    <w:multiLevelType w:val="hybridMultilevel"/>
    <w:tmpl w:val="30F6C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89"/>
    <w:rsid w:val="00011AA7"/>
    <w:rsid w:val="00023723"/>
    <w:rsid w:val="00035B61"/>
    <w:rsid w:val="00036841"/>
    <w:rsid w:val="00041DDC"/>
    <w:rsid w:val="00047727"/>
    <w:rsid w:val="00065359"/>
    <w:rsid w:val="00066DCE"/>
    <w:rsid w:val="00070E8B"/>
    <w:rsid w:val="00071971"/>
    <w:rsid w:val="0007250E"/>
    <w:rsid w:val="00084E0D"/>
    <w:rsid w:val="00085CE7"/>
    <w:rsid w:val="000A6F1B"/>
    <w:rsid w:val="000C46D5"/>
    <w:rsid w:val="000C789D"/>
    <w:rsid w:val="000D0382"/>
    <w:rsid w:val="000D1D3A"/>
    <w:rsid w:val="000D42F0"/>
    <w:rsid w:val="000E00D4"/>
    <w:rsid w:val="000E1FDF"/>
    <w:rsid w:val="000E457D"/>
    <w:rsid w:val="000F2D78"/>
    <w:rsid w:val="001119D6"/>
    <w:rsid w:val="00112584"/>
    <w:rsid w:val="001129CF"/>
    <w:rsid w:val="001229F4"/>
    <w:rsid w:val="0012625E"/>
    <w:rsid w:val="001269C4"/>
    <w:rsid w:val="0012758C"/>
    <w:rsid w:val="00144524"/>
    <w:rsid w:val="00147E0E"/>
    <w:rsid w:val="001520EC"/>
    <w:rsid w:val="00155D28"/>
    <w:rsid w:val="00162348"/>
    <w:rsid w:val="00173709"/>
    <w:rsid w:val="0017473F"/>
    <w:rsid w:val="001957AE"/>
    <w:rsid w:val="001B26F2"/>
    <w:rsid w:val="001B4E9A"/>
    <w:rsid w:val="001B71E8"/>
    <w:rsid w:val="001B73C9"/>
    <w:rsid w:val="001C0CD3"/>
    <w:rsid w:val="001D57D7"/>
    <w:rsid w:val="001E2C9D"/>
    <w:rsid w:val="001F3FBA"/>
    <w:rsid w:val="001F44DC"/>
    <w:rsid w:val="002000C5"/>
    <w:rsid w:val="0020131D"/>
    <w:rsid w:val="002100D6"/>
    <w:rsid w:val="0021537A"/>
    <w:rsid w:val="00216724"/>
    <w:rsid w:val="00220A7F"/>
    <w:rsid w:val="00236E8B"/>
    <w:rsid w:val="002447B4"/>
    <w:rsid w:val="0025692F"/>
    <w:rsid w:val="00264E31"/>
    <w:rsid w:val="00266C60"/>
    <w:rsid w:val="002718DF"/>
    <w:rsid w:val="00271F20"/>
    <w:rsid w:val="00274E4E"/>
    <w:rsid w:val="002828B3"/>
    <w:rsid w:val="00286004"/>
    <w:rsid w:val="00287479"/>
    <w:rsid w:val="002C6B92"/>
    <w:rsid w:val="002D3A78"/>
    <w:rsid w:val="002E17A0"/>
    <w:rsid w:val="002E1E2B"/>
    <w:rsid w:val="002E5CD8"/>
    <w:rsid w:val="002F7E22"/>
    <w:rsid w:val="0031418C"/>
    <w:rsid w:val="0032156B"/>
    <w:rsid w:val="003329E4"/>
    <w:rsid w:val="0033753C"/>
    <w:rsid w:val="00345ECE"/>
    <w:rsid w:val="003537EB"/>
    <w:rsid w:val="003630E5"/>
    <w:rsid w:val="00365AB0"/>
    <w:rsid w:val="00373387"/>
    <w:rsid w:val="00380C91"/>
    <w:rsid w:val="00387010"/>
    <w:rsid w:val="003A2C0D"/>
    <w:rsid w:val="003A66BE"/>
    <w:rsid w:val="003A7C92"/>
    <w:rsid w:val="003B0AB4"/>
    <w:rsid w:val="003C5CE1"/>
    <w:rsid w:val="003C5FBD"/>
    <w:rsid w:val="003C6866"/>
    <w:rsid w:val="003E0067"/>
    <w:rsid w:val="003F066A"/>
    <w:rsid w:val="003F3817"/>
    <w:rsid w:val="003F3D33"/>
    <w:rsid w:val="003F49B8"/>
    <w:rsid w:val="00406364"/>
    <w:rsid w:val="00420A78"/>
    <w:rsid w:val="00434FF2"/>
    <w:rsid w:val="00435C6B"/>
    <w:rsid w:val="004427D4"/>
    <w:rsid w:val="00462ACF"/>
    <w:rsid w:val="00475403"/>
    <w:rsid w:val="004773AD"/>
    <w:rsid w:val="0049204A"/>
    <w:rsid w:val="004925BB"/>
    <w:rsid w:val="004967A4"/>
    <w:rsid w:val="004A55CA"/>
    <w:rsid w:val="004A7A8B"/>
    <w:rsid w:val="004B7EFC"/>
    <w:rsid w:val="004C43DD"/>
    <w:rsid w:val="004C713A"/>
    <w:rsid w:val="004D01FA"/>
    <w:rsid w:val="004D5CAC"/>
    <w:rsid w:val="004D67DB"/>
    <w:rsid w:val="004F21AC"/>
    <w:rsid w:val="004F4DA4"/>
    <w:rsid w:val="004F6FAF"/>
    <w:rsid w:val="00507013"/>
    <w:rsid w:val="00515FB8"/>
    <w:rsid w:val="005203D7"/>
    <w:rsid w:val="00527228"/>
    <w:rsid w:val="0053142E"/>
    <w:rsid w:val="0053614E"/>
    <w:rsid w:val="005430FD"/>
    <w:rsid w:val="00543F13"/>
    <w:rsid w:val="00551648"/>
    <w:rsid w:val="00552C01"/>
    <w:rsid w:val="00557F72"/>
    <w:rsid w:val="00566A01"/>
    <w:rsid w:val="005864EC"/>
    <w:rsid w:val="00592207"/>
    <w:rsid w:val="00592B82"/>
    <w:rsid w:val="005946E4"/>
    <w:rsid w:val="00597558"/>
    <w:rsid w:val="005A13A0"/>
    <w:rsid w:val="005B0EBA"/>
    <w:rsid w:val="005C7EDD"/>
    <w:rsid w:val="005E5852"/>
    <w:rsid w:val="005F1D81"/>
    <w:rsid w:val="00604CC8"/>
    <w:rsid w:val="0061036F"/>
    <w:rsid w:val="0062617D"/>
    <w:rsid w:val="00633D1D"/>
    <w:rsid w:val="00660D7C"/>
    <w:rsid w:val="006615CD"/>
    <w:rsid w:val="00673A48"/>
    <w:rsid w:val="00691CA7"/>
    <w:rsid w:val="006A27B3"/>
    <w:rsid w:val="006C20AF"/>
    <w:rsid w:val="006D69C2"/>
    <w:rsid w:val="006E00C6"/>
    <w:rsid w:val="006E745B"/>
    <w:rsid w:val="00700285"/>
    <w:rsid w:val="007210FA"/>
    <w:rsid w:val="00721B9F"/>
    <w:rsid w:val="00722AB2"/>
    <w:rsid w:val="00740F83"/>
    <w:rsid w:val="0075228B"/>
    <w:rsid w:val="0077019C"/>
    <w:rsid w:val="007804C5"/>
    <w:rsid w:val="00781126"/>
    <w:rsid w:val="00781698"/>
    <w:rsid w:val="00781BA3"/>
    <w:rsid w:val="00781F37"/>
    <w:rsid w:val="00794A4B"/>
    <w:rsid w:val="00795E96"/>
    <w:rsid w:val="007D3A20"/>
    <w:rsid w:val="007E7635"/>
    <w:rsid w:val="007E7EE6"/>
    <w:rsid w:val="007F4CBF"/>
    <w:rsid w:val="008041AD"/>
    <w:rsid w:val="00816A89"/>
    <w:rsid w:val="0083523A"/>
    <w:rsid w:val="00845EF2"/>
    <w:rsid w:val="008463AC"/>
    <w:rsid w:val="0086295E"/>
    <w:rsid w:val="008B6FDF"/>
    <w:rsid w:val="008C4381"/>
    <w:rsid w:val="008C7210"/>
    <w:rsid w:val="008C7F26"/>
    <w:rsid w:val="008E4822"/>
    <w:rsid w:val="008F4DDB"/>
    <w:rsid w:val="008F78C7"/>
    <w:rsid w:val="00920981"/>
    <w:rsid w:val="0092568F"/>
    <w:rsid w:val="0092594D"/>
    <w:rsid w:val="00930FA1"/>
    <w:rsid w:val="0093147B"/>
    <w:rsid w:val="00934EC7"/>
    <w:rsid w:val="009522D7"/>
    <w:rsid w:val="00956728"/>
    <w:rsid w:val="00962DDB"/>
    <w:rsid w:val="00972676"/>
    <w:rsid w:val="00976A29"/>
    <w:rsid w:val="00984ABB"/>
    <w:rsid w:val="00987A97"/>
    <w:rsid w:val="009C2F25"/>
    <w:rsid w:val="009D5D53"/>
    <w:rsid w:val="009E3D59"/>
    <w:rsid w:val="00A101FE"/>
    <w:rsid w:val="00A13BDD"/>
    <w:rsid w:val="00A13CB6"/>
    <w:rsid w:val="00A6574C"/>
    <w:rsid w:val="00A71B29"/>
    <w:rsid w:val="00A83307"/>
    <w:rsid w:val="00A946FB"/>
    <w:rsid w:val="00AA3920"/>
    <w:rsid w:val="00AA7A38"/>
    <w:rsid w:val="00AA7B6A"/>
    <w:rsid w:val="00AB0022"/>
    <w:rsid w:val="00AC4F14"/>
    <w:rsid w:val="00AD2037"/>
    <w:rsid w:val="00AE0E99"/>
    <w:rsid w:val="00AE556E"/>
    <w:rsid w:val="00AF03A0"/>
    <w:rsid w:val="00AF43BC"/>
    <w:rsid w:val="00AF4716"/>
    <w:rsid w:val="00AF4F68"/>
    <w:rsid w:val="00B02B76"/>
    <w:rsid w:val="00B05FF6"/>
    <w:rsid w:val="00B173B1"/>
    <w:rsid w:val="00B24D4A"/>
    <w:rsid w:val="00B3783F"/>
    <w:rsid w:val="00B40D50"/>
    <w:rsid w:val="00B44E69"/>
    <w:rsid w:val="00B62C1E"/>
    <w:rsid w:val="00B63E2C"/>
    <w:rsid w:val="00B67018"/>
    <w:rsid w:val="00B9415C"/>
    <w:rsid w:val="00BA5142"/>
    <w:rsid w:val="00BB51CB"/>
    <w:rsid w:val="00BB5B22"/>
    <w:rsid w:val="00BC47B9"/>
    <w:rsid w:val="00BD2584"/>
    <w:rsid w:val="00BD67BA"/>
    <w:rsid w:val="00BF4202"/>
    <w:rsid w:val="00BF5626"/>
    <w:rsid w:val="00C05AE3"/>
    <w:rsid w:val="00C10883"/>
    <w:rsid w:val="00C149DD"/>
    <w:rsid w:val="00C24034"/>
    <w:rsid w:val="00C32DD7"/>
    <w:rsid w:val="00C616EA"/>
    <w:rsid w:val="00C63960"/>
    <w:rsid w:val="00C648EC"/>
    <w:rsid w:val="00C76E47"/>
    <w:rsid w:val="00CA0494"/>
    <w:rsid w:val="00CA6C23"/>
    <w:rsid w:val="00CB3941"/>
    <w:rsid w:val="00CB74A1"/>
    <w:rsid w:val="00CB774E"/>
    <w:rsid w:val="00CC01F4"/>
    <w:rsid w:val="00CC3152"/>
    <w:rsid w:val="00CC7D58"/>
    <w:rsid w:val="00CD027D"/>
    <w:rsid w:val="00CD5304"/>
    <w:rsid w:val="00CF1A35"/>
    <w:rsid w:val="00CF5CFB"/>
    <w:rsid w:val="00D027B0"/>
    <w:rsid w:val="00D13AAA"/>
    <w:rsid w:val="00D21584"/>
    <w:rsid w:val="00D31376"/>
    <w:rsid w:val="00D3491C"/>
    <w:rsid w:val="00D43273"/>
    <w:rsid w:val="00D72763"/>
    <w:rsid w:val="00DA23F1"/>
    <w:rsid w:val="00DC37B3"/>
    <w:rsid w:val="00DD3CA3"/>
    <w:rsid w:val="00DD6F10"/>
    <w:rsid w:val="00DE1340"/>
    <w:rsid w:val="00DE2C9A"/>
    <w:rsid w:val="00DE373D"/>
    <w:rsid w:val="00DE4267"/>
    <w:rsid w:val="00E05EF3"/>
    <w:rsid w:val="00E10ECC"/>
    <w:rsid w:val="00E2554E"/>
    <w:rsid w:val="00E309DD"/>
    <w:rsid w:val="00E360B2"/>
    <w:rsid w:val="00E37ADE"/>
    <w:rsid w:val="00E54932"/>
    <w:rsid w:val="00E6024E"/>
    <w:rsid w:val="00E861D4"/>
    <w:rsid w:val="00EA0B50"/>
    <w:rsid w:val="00EA22EB"/>
    <w:rsid w:val="00EB0E1A"/>
    <w:rsid w:val="00EC1C54"/>
    <w:rsid w:val="00EC23AC"/>
    <w:rsid w:val="00ED29D8"/>
    <w:rsid w:val="00ED557C"/>
    <w:rsid w:val="00EE1BC9"/>
    <w:rsid w:val="00EE5A6A"/>
    <w:rsid w:val="00EF77E9"/>
    <w:rsid w:val="00F07ED4"/>
    <w:rsid w:val="00F112FE"/>
    <w:rsid w:val="00F21210"/>
    <w:rsid w:val="00F21BDF"/>
    <w:rsid w:val="00F2326B"/>
    <w:rsid w:val="00F30A5C"/>
    <w:rsid w:val="00F3635E"/>
    <w:rsid w:val="00F5597F"/>
    <w:rsid w:val="00F64B88"/>
    <w:rsid w:val="00F64C94"/>
    <w:rsid w:val="00F706B6"/>
    <w:rsid w:val="00F7422E"/>
    <w:rsid w:val="00F76880"/>
    <w:rsid w:val="00F8136B"/>
    <w:rsid w:val="00F8562D"/>
    <w:rsid w:val="00F86C21"/>
    <w:rsid w:val="00F91A8B"/>
    <w:rsid w:val="00F928A2"/>
    <w:rsid w:val="00FA4975"/>
    <w:rsid w:val="00FB767E"/>
    <w:rsid w:val="00FC4572"/>
    <w:rsid w:val="00FD1C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A1621"/>
  <w14:defaultImageDpi w14:val="32767"/>
  <w15:chartTrackingRefBased/>
  <w15:docId w15:val="{31EA1188-A32A-EC4A-A651-426B39EF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C47B9"/>
    <w:rPr>
      <w:rFonts w:ascii="Cambria" w:eastAsia="MS Mincho" w:hAnsi="Cambria" w:cs="Times New Roman"/>
      <w:lang w:eastAsia="en-US"/>
    </w:rPr>
  </w:style>
  <w:style w:type="character" w:customStyle="1" w:styleId="EndnoteTextChar">
    <w:name w:val="Endnote Text Char"/>
    <w:basedOn w:val="DefaultParagraphFont"/>
    <w:link w:val="EndnoteText"/>
    <w:uiPriority w:val="99"/>
    <w:rsid w:val="00BC47B9"/>
    <w:rPr>
      <w:rFonts w:ascii="Cambria" w:eastAsia="MS Mincho" w:hAnsi="Cambria" w:cs="Times New Roman"/>
      <w:lang w:eastAsia="en-US"/>
    </w:rPr>
  </w:style>
  <w:style w:type="character" w:styleId="EndnoteReference">
    <w:name w:val="endnote reference"/>
    <w:uiPriority w:val="99"/>
    <w:unhideWhenUsed/>
    <w:rsid w:val="00BC47B9"/>
    <w:rPr>
      <w:vertAlign w:val="superscript"/>
    </w:rPr>
  </w:style>
  <w:style w:type="character" w:styleId="Hyperlink">
    <w:name w:val="Hyperlink"/>
    <w:uiPriority w:val="99"/>
    <w:unhideWhenUsed/>
    <w:rsid w:val="00BC47B9"/>
    <w:rPr>
      <w:color w:val="0000FF"/>
      <w:u w:val="single"/>
    </w:rPr>
  </w:style>
  <w:style w:type="character" w:customStyle="1" w:styleId="st">
    <w:name w:val="st"/>
    <w:basedOn w:val="DefaultParagraphFont"/>
    <w:rsid w:val="00BC47B9"/>
  </w:style>
  <w:style w:type="paragraph" w:styleId="FootnoteText">
    <w:name w:val="footnote text"/>
    <w:basedOn w:val="Normal"/>
    <w:link w:val="FootnoteTextChar"/>
    <w:uiPriority w:val="99"/>
    <w:semiHidden/>
    <w:unhideWhenUsed/>
    <w:rsid w:val="004F21AC"/>
    <w:rPr>
      <w:sz w:val="20"/>
      <w:szCs w:val="20"/>
    </w:rPr>
  </w:style>
  <w:style w:type="character" w:customStyle="1" w:styleId="FootnoteTextChar">
    <w:name w:val="Footnote Text Char"/>
    <w:basedOn w:val="DefaultParagraphFont"/>
    <w:link w:val="FootnoteText"/>
    <w:uiPriority w:val="99"/>
    <w:semiHidden/>
    <w:rsid w:val="004F21AC"/>
    <w:rPr>
      <w:sz w:val="20"/>
      <w:szCs w:val="20"/>
    </w:rPr>
  </w:style>
  <w:style w:type="character" w:styleId="FootnoteReference">
    <w:name w:val="footnote reference"/>
    <w:basedOn w:val="DefaultParagraphFont"/>
    <w:uiPriority w:val="99"/>
    <w:semiHidden/>
    <w:unhideWhenUsed/>
    <w:rsid w:val="004F21AC"/>
    <w:rPr>
      <w:vertAlign w:val="superscript"/>
    </w:rPr>
  </w:style>
  <w:style w:type="character" w:customStyle="1" w:styleId="citation">
    <w:name w:val="citation"/>
    <w:basedOn w:val="DefaultParagraphFont"/>
    <w:rsid w:val="007804C5"/>
  </w:style>
  <w:style w:type="character" w:customStyle="1" w:styleId="x-archive-meta-title">
    <w:name w:val="x-archive-meta-title"/>
    <w:basedOn w:val="DefaultParagraphFont"/>
    <w:rsid w:val="007804C5"/>
  </w:style>
  <w:style w:type="paragraph" w:styleId="Header">
    <w:name w:val="header"/>
    <w:basedOn w:val="Normal"/>
    <w:link w:val="HeaderChar"/>
    <w:uiPriority w:val="99"/>
    <w:unhideWhenUsed/>
    <w:rsid w:val="00CD027D"/>
    <w:pPr>
      <w:tabs>
        <w:tab w:val="center" w:pos="4680"/>
        <w:tab w:val="right" w:pos="9360"/>
      </w:tabs>
    </w:pPr>
  </w:style>
  <w:style w:type="character" w:customStyle="1" w:styleId="HeaderChar">
    <w:name w:val="Header Char"/>
    <w:basedOn w:val="DefaultParagraphFont"/>
    <w:link w:val="Header"/>
    <w:uiPriority w:val="99"/>
    <w:rsid w:val="00CD027D"/>
  </w:style>
  <w:style w:type="paragraph" w:styleId="Footer">
    <w:name w:val="footer"/>
    <w:basedOn w:val="Normal"/>
    <w:link w:val="FooterChar"/>
    <w:uiPriority w:val="99"/>
    <w:unhideWhenUsed/>
    <w:rsid w:val="00CD027D"/>
    <w:pPr>
      <w:tabs>
        <w:tab w:val="center" w:pos="4680"/>
        <w:tab w:val="right" w:pos="9360"/>
      </w:tabs>
    </w:pPr>
  </w:style>
  <w:style w:type="character" w:customStyle="1" w:styleId="FooterChar">
    <w:name w:val="Footer Char"/>
    <w:basedOn w:val="DefaultParagraphFont"/>
    <w:link w:val="Footer"/>
    <w:uiPriority w:val="99"/>
    <w:rsid w:val="00CD027D"/>
  </w:style>
  <w:style w:type="character" w:styleId="PageNumber">
    <w:name w:val="page number"/>
    <w:basedOn w:val="DefaultParagraphFont"/>
    <w:uiPriority w:val="99"/>
    <w:semiHidden/>
    <w:unhideWhenUsed/>
    <w:rsid w:val="00CD027D"/>
  </w:style>
  <w:style w:type="character" w:styleId="UnresolvedMention">
    <w:name w:val="Unresolved Mention"/>
    <w:basedOn w:val="DefaultParagraphFont"/>
    <w:uiPriority w:val="99"/>
    <w:rsid w:val="001C0CD3"/>
    <w:rPr>
      <w:color w:val="605E5C"/>
      <w:shd w:val="clear" w:color="auto" w:fill="E1DFDD"/>
    </w:rPr>
  </w:style>
  <w:style w:type="character" w:styleId="CommentReference">
    <w:name w:val="annotation reference"/>
    <w:basedOn w:val="DefaultParagraphFont"/>
    <w:uiPriority w:val="99"/>
    <w:semiHidden/>
    <w:unhideWhenUsed/>
    <w:rsid w:val="00CF5CFB"/>
    <w:rPr>
      <w:sz w:val="16"/>
      <w:szCs w:val="16"/>
    </w:rPr>
  </w:style>
  <w:style w:type="paragraph" w:styleId="CommentText">
    <w:name w:val="annotation text"/>
    <w:basedOn w:val="Normal"/>
    <w:link w:val="CommentTextChar"/>
    <w:uiPriority w:val="99"/>
    <w:semiHidden/>
    <w:unhideWhenUsed/>
    <w:rsid w:val="00CF5CFB"/>
    <w:rPr>
      <w:sz w:val="20"/>
      <w:szCs w:val="20"/>
    </w:rPr>
  </w:style>
  <w:style w:type="character" w:customStyle="1" w:styleId="CommentTextChar">
    <w:name w:val="Comment Text Char"/>
    <w:basedOn w:val="DefaultParagraphFont"/>
    <w:link w:val="CommentText"/>
    <w:uiPriority w:val="99"/>
    <w:semiHidden/>
    <w:rsid w:val="00CF5CFB"/>
    <w:rPr>
      <w:sz w:val="20"/>
      <w:szCs w:val="20"/>
    </w:rPr>
  </w:style>
  <w:style w:type="paragraph" w:styleId="CommentSubject">
    <w:name w:val="annotation subject"/>
    <w:basedOn w:val="CommentText"/>
    <w:next w:val="CommentText"/>
    <w:link w:val="CommentSubjectChar"/>
    <w:uiPriority w:val="99"/>
    <w:semiHidden/>
    <w:unhideWhenUsed/>
    <w:rsid w:val="00CF5CFB"/>
    <w:rPr>
      <w:b/>
      <w:bCs/>
    </w:rPr>
  </w:style>
  <w:style w:type="character" w:customStyle="1" w:styleId="CommentSubjectChar">
    <w:name w:val="Comment Subject Char"/>
    <w:basedOn w:val="CommentTextChar"/>
    <w:link w:val="CommentSubject"/>
    <w:uiPriority w:val="99"/>
    <w:semiHidden/>
    <w:rsid w:val="00CF5CFB"/>
    <w:rPr>
      <w:b/>
      <w:bCs/>
      <w:sz w:val="20"/>
      <w:szCs w:val="20"/>
    </w:rPr>
  </w:style>
  <w:style w:type="paragraph" w:styleId="BalloonText">
    <w:name w:val="Balloon Text"/>
    <w:basedOn w:val="Normal"/>
    <w:link w:val="BalloonTextChar"/>
    <w:uiPriority w:val="99"/>
    <w:semiHidden/>
    <w:unhideWhenUsed/>
    <w:rsid w:val="00CF5C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CFB"/>
    <w:rPr>
      <w:rFonts w:ascii="Segoe UI" w:hAnsi="Segoe UI" w:cs="Segoe UI"/>
      <w:sz w:val="18"/>
      <w:szCs w:val="18"/>
    </w:rPr>
  </w:style>
  <w:style w:type="paragraph" w:styleId="BodyText">
    <w:name w:val="Body Text"/>
    <w:basedOn w:val="Normal"/>
    <w:link w:val="BodyTextChar"/>
    <w:rsid w:val="008C7F26"/>
    <w:rPr>
      <w:rFonts w:ascii="Times New Roman" w:eastAsia="Times New Roman" w:hAnsi="Times New Roman" w:cs="Times New Roman"/>
      <w:i/>
    </w:rPr>
  </w:style>
  <w:style w:type="character" w:customStyle="1" w:styleId="BodyTextChar">
    <w:name w:val="Body Text Char"/>
    <w:basedOn w:val="DefaultParagraphFont"/>
    <w:link w:val="BodyText"/>
    <w:rsid w:val="008C7F26"/>
    <w:rPr>
      <w:rFonts w:ascii="Times New Roman" w:eastAsia="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157438">
      <w:bodyDiv w:val="1"/>
      <w:marLeft w:val="0"/>
      <w:marRight w:val="0"/>
      <w:marTop w:val="0"/>
      <w:marBottom w:val="0"/>
      <w:divBdr>
        <w:top w:val="none" w:sz="0" w:space="0" w:color="auto"/>
        <w:left w:val="none" w:sz="0" w:space="0" w:color="auto"/>
        <w:bottom w:val="none" w:sz="0" w:space="0" w:color="auto"/>
        <w:right w:val="none" w:sz="0" w:space="0" w:color="auto"/>
      </w:divBdr>
      <w:divsChild>
        <w:div w:id="267009219">
          <w:marLeft w:val="480"/>
          <w:marRight w:val="0"/>
          <w:marTop w:val="0"/>
          <w:marBottom w:val="0"/>
          <w:divBdr>
            <w:top w:val="none" w:sz="0" w:space="0" w:color="auto"/>
            <w:left w:val="none" w:sz="0" w:space="0" w:color="auto"/>
            <w:bottom w:val="none" w:sz="0" w:space="0" w:color="auto"/>
            <w:right w:val="none" w:sz="0" w:space="0" w:color="auto"/>
          </w:divBdr>
          <w:divsChild>
            <w:div w:id="18961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5043">
      <w:bodyDiv w:val="1"/>
      <w:marLeft w:val="0"/>
      <w:marRight w:val="0"/>
      <w:marTop w:val="0"/>
      <w:marBottom w:val="0"/>
      <w:divBdr>
        <w:top w:val="none" w:sz="0" w:space="0" w:color="auto"/>
        <w:left w:val="none" w:sz="0" w:space="0" w:color="auto"/>
        <w:bottom w:val="none" w:sz="0" w:space="0" w:color="auto"/>
        <w:right w:val="none" w:sz="0" w:space="0" w:color="auto"/>
      </w:divBdr>
      <w:divsChild>
        <w:div w:id="668219751">
          <w:marLeft w:val="480"/>
          <w:marRight w:val="0"/>
          <w:marTop w:val="0"/>
          <w:marBottom w:val="0"/>
          <w:divBdr>
            <w:top w:val="none" w:sz="0" w:space="0" w:color="auto"/>
            <w:left w:val="none" w:sz="0" w:space="0" w:color="auto"/>
            <w:bottom w:val="none" w:sz="0" w:space="0" w:color="auto"/>
            <w:right w:val="none" w:sz="0" w:space="0" w:color="auto"/>
          </w:divBdr>
          <w:divsChild>
            <w:div w:id="1045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8487">
      <w:bodyDiv w:val="1"/>
      <w:marLeft w:val="0"/>
      <w:marRight w:val="0"/>
      <w:marTop w:val="0"/>
      <w:marBottom w:val="0"/>
      <w:divBdr>
        <w:top w:val="none" w:sz="0" w:space="0" w:color="auto"/>
        <w:left w:val="none" w:sz="0" w:space="0" w:color="auto"/>
        <w:bottom w:val="none" w:sz="0" w:space="0" w:color="auto"/>
        <w:right w:val="none" w:sz="0" w:space="0" w:color="auto"/>
      </w:divBdr>
      <w:divsChild>
        <w:div w:id="1857889629">
          <w:marLeft w:val="480"/>
          <w:marRight w:val="0"/>
          <w:marTop w:val="0"/>
          <w:marBottom w:val="0"/>
          <w:divBdr>
            <w:top w:val="none" w:sz="0" w:space="0" w:color="auto"/>
            <w:left w:val="none" w:sz="0" w:space="0" w:color="auto"/>
            <w:bottom w:val="none" w:sz="0" w:space="0" w:color="auto"/>
            <w:right w:val="none" w:sz="0" w:space="0" w:color="auto"/>
          </w:divBdr>
          <w:divsChild>
            <w:div w:id="2094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Bleichmar</dc:creator>
  <cp:keywords/>
  <dc:description/>
  <cp:lastModifiedBy>Dr. Mark Thurner</cp:lastModifiedBy>
  <cp:revision>14</cp:revision>
  <cp:lastPrinted>2019-06-21T10:14:00Z</cp:lastPrinted>
  <dcterms:created xsi:type="dcterms:W3CDTF">2019-02-11T23:05:00Z</dcterms:created>
  <dcterms:modified xsi:type="dcterms:W3CDTF">2019-10-31T19:04:00Z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zotero-version="5.0.56-beta.21+e57e29715"&gt;&lt;session id="B6yaO4q9"/&gt;&lt;style id="http://www.zotero.org/styles/chicago-fullnote-bibliography" locale="en-US" hasBibliography="1" bibliographyStyleHasBeenSet="0"/&gt;&lt;prefs&gt;&lt;pref name="fieldTyp</vt:lpwstr>
  </property>
  <property fmtid="{D5CDD505-2E9C-101B-9397-08002B2CF9AE}" pid="3" name="ZOTERO_PREF_2">
    <vt:lpwstr>e" value="Field"/&gt;&lt;pref name="automaticJournalAbbreviations" value="true"/&gt;&lt;pref name="noteType" value="1"/&gt;&lt;/prefs&gt;&lt;/data&gt;</vt:lpwstr>
  </property>
</Properties>
</file>