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2"/>
          <w:szCs w:val="32"/>
        </w:rPr>
        <w:t xml:space="preserve">L3V3L BUSINESS MASTERMIND SUITE</w:t>
      </w:r>
    </w:p>
    <w:p>
      <w:pPr>
        <w:spacing w:after="60" w:before="0"/>
        <w:jc w:val="center"/>
      </w:pPr>
      <w:r>
        <w:rPr>
          <w:b/>
          <w:bCs/>
          <w:sz w:val="28"/>
          <w:szCs w:val="28"/>
        </w:rPr>
        <w:t xml:space="preserve">BUILD DECISIONS LOG</w:t>
      </w:r>
    </w:p>
    <w:p>
      <w:pPr>
        <w:spacing w:after="200" w:before="0"/>
        <w:jc w:val="center"/>
      </w:pPr>
      <w:r>
        <w:rPr>
          <w:i/>
          <w:iCs/>
          <w:sz w:val="20"/>
          <w:szCs w:val="20"/>
        </w:rPr>
        <w:t xml:space="preserve">Version 7.0   |   Updated: 2026-05-26   |   The Good Gate Publishing / Wadontei:io</w:t>
      </w:r>
    </w:p>
    <w:p>
      <w:pPr>
        <w:spacing w:after="80" w:before="80"/>
      </w:pPr>
      <w:r>
        <w:t xml:space="preserve">Authoritative record of all resolved technical, architectural, and design decisions for all Business Mastermind machine builds. Consult before starting any new machine build to avoid re-litigating known solutions.</w:t>
      </w:r>
    </w:p>
    <w:p>
      <w:pPr>
        <w:spacing w:after="80" w:before="80"/>
      </w:pPr>
      <w:r>
        <w:t xml:space="preserve">Applies to: L3V3L Business Mastermind Suite — all machine builds.</w:t>
      </w:r>
    </w:p>
    <w:p>
      <w:pPr>
        <w:pBdr>
          <w:bottom w:val="single" w:color="B8860B" w:sz="6" w:space="1"/>
        </w:pBdr>
        <w:spacing w:after="160" w:before="160"/>
      </w:pPr>
      <w:r>
        <w:t xml:space="preserve"/>
      </w:r>
    </w:p>
    <w:p>
      <w:pPr>
        <w:pBdr>
          <w:top w:val="single" w:color="CC2200" w:sz="8"/>
          <w:bottom w:val="single" w:color="CC2200" w:sz="8"/>
        </w:pBdr>
        <w:shd w:fill="1a0a0a" w:val="clear"/>
        <w:spacing w:after="60" w:before="0"/>
      </w:pPr>
      <w:r>
        <w:rPr>
          <w:b/>
          <w:bCs/>
          <w:color w:val="FF4422"/>
          <w:sz w:val="24"/>
          <w:szCs w:val="24"/>
        </w:rPr>
        <w:t xml:space="preserve">DOCUMENT INTEGRITY PROTOCOL — MANDATORY — READ BEFORE ANY EDIT</w:t>
      </w:r>
    </w:p>
    <w:p>
      <w:pPr>
        <w:pBdr>
          <w:top w:val="single" w:color="CC2200" w:sz="8"/>
          <w:bottom w:val="single" w:color="CC2200" w:sz="8"/>
        </w:pBdr>
        <w:shd w:fill="1a0a0a" w:val="clear"/>
        <w:spacing w:after="60" w:before="0"/>
      </w:pPr>
      <w:r>
        <w:rPr>
          <w:color w:val="F0C0B0"/>
          <w:sz w:val="20"/>
          <w:szCs w:val="20"/>
        </w:rPr>
        <w:t xml:space="preserve">This document is a cumulative living record. Under no circumstances is any existing content to be removed, summarised away, truncated, or replaced without explicit instruction from Jamie and a stated reason. The only permitted operations are:</w:t>
      </w:r>
    </w:p>
    <w:p>
      <w:pPr>
        <w:pBdr>
          <w:top w:val="single" w:color="CC2200" w:sz="8"/>
          <w:bottom w:val="single" w:color="CC2200" w:sz="8"/>
        </w:pBdr>
        <w:shd w:fill="1a0a0a" w:val="clear"/>
        <w:spacing w:after="60" w:before="0"/>
      </w:pPr>
      <w:r>
        <w:rPr>
          <w:color w:val="F0C0B0"/>
          <w:sz w:val="20"/>
          <w:szCs w:val="20"/>
        </w:rPr>
        <w:t xml:space="preserve">1. APPEND — add new decisions, addenda, or version history rows at the end of the document.</w:t>
      </w:r>
    </w:p>
    <w:p>
      <w:pPr>
        <w:pBdr>
          <w:top w:val="single" w:color="CC2200" w:sz="8"/>
          <w:bottom w:val="single" w:color="CC2200" w:sz="8"/>
        </w:pBdr>
        <w:shd w:fill="1a0a0a" w:val="clear"/>
        <w:spacing w:after="60" w:before="0"/>
      </w:pPr>
      <w:r>
        <w:rPr>
          <w:color w:val="F0C0B0"/>
          <w:sz w:val="20"/>
          <w:szCs w:val="20"/>
        </w:rPr>
        <w:t xml:space="preserve">2. UPDATE — change a specific cell or value in an existing table when a status changes (e.g. PENDING to CONFIRMED), and state what was changed.</w:t>
      </w:r>
    </w:p>
    <w:p>
      <w:pPr>
        <w:pBdr>
          <w:top w:val="single" w:color="CC2200" w:sz="8"/>
          <w:bottom w:val="single" w:color="CC2200" w:sz="8"/>
        </w:pBdr>
        <w:shd w:fill="1a0a0a" w:val="clear"/>
        <w:spacing w:after="60" w:before="0"/>
      </w:pPr>
      <w:r>
        <w:rPr>
          <w:color w:val="F0C0B0"/>
          <w:sz w:val="20"/>
          <w:szCs w:val="20"/>
        </w:rPr>
        <w:t xml:space="preserve">3. CORRECT — fix a factual error in an existing entry, state what was wrong and what the correction is, and log it in the version history.</w:t>
      </w:r>
    </w:p>
    <w:p>
      <w:pPr>
        <w:pBdr>
          <w:top w:val="single" w:color="CC2200" w:sz="8"/>
          <w:bottom w:val="single" w:color="CC2200" w:sz="8"/>
        </w:pBdr>
        <w:shd w:fill="1a0a0a" w:val="clear"/>
        <w:spacing w:after="120" w:before="0"/>
      </w:pPr>
      <w:r>
        <w:rPr>
          <w:b/>
          <w:bCs/>
          <w:color w:val="FF4422"/>
          <w:sz w:val="20"/>
          <w:szCs w:val="20"/>
        </w:rPr>
        <w:t xml:space="preserve">PROHIBITED: Rebuilding this document from scratch, replacing existing decisions with summaries, omitting decisions to save space, or removing any content without explicit instruction. If uncertain whether a proposed change is permitted — stop and ask Jamie before proceeding.</w:t>
      </w:r>
    </w:p>
    <w:p>
      <w:pPr>
        <w:pBdr>
          <w:bottom w:val="single" w:color="B8860B" w:sz="6" w:space="1"/>
        </w:pBdr>
        <w:spacing w:after="160" w:before="160"/>
      </w:pPr>
      <w:r>
        <w:t xml:space="preserve"/>
      </w:r>
    </w:p>
    <w:p>
      <w:pPr>
        <w:pStyle w:val="Heading1"/>
        <w:spacing w:after="120" w:before="240"/>
      </w:pPr>
      <w:r>
        <w:rPr>
          <w:b/>
          <w:bCs/>
          <w:sz w:val="28"/>
          <w:szCs w:val="28"/>
        </w:rPr>
        <w:t xml:space="preserve">VERSION HISTORY</w:t>
      </w:r>
    </w:p>
    <w:p>
      <w:pPr>
        <w:spacing w:after="80" w:before="80"/>
      </w:pPr>
      <w:r>
        <w:t xml:space="preserve">This is a living document. Version number increments with each session that resolves new decisions or closes open items. Always upload the current version at the start of a build session.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VERSION</w:t>
            </w:r>
          </w:p>
        </w:tc>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DATE</w:t>
            </w:r>
          </w:p>
        </w:tc>
        <w:tc>
          <w:tcPr>
            <w:tcW w:type="dxa" w:w="6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v1–v3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Early 2026</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Initial decisions through Negotiation Machine build completion.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May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Addendum 2 (Supabase Edge Functions architecture). Addendum 3 (Strategy Machine opening notes). Decision 7 open items identified.</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2026-05-25</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Decision 7 open items resolved (domain confirmed, access model confirmed, accent colour system established). Document reference protocol added. Living document versioning convention documented.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2026-05-26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Decision 9: RTTR author citation approach confirmed (lightweight prompt reference, not full reproduction). Strategy RTTR source library expanded to 12 authors. Decision 10: Index.html upload protocol established. Decision 11: Machine Spec + lightweight RTTR build path confirmed for all machines.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v7</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2026-05-26</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Decision 12: Typography and naming standards confirmed — Cinzel Decorative removed from all BM machine titles/buttons; Inter sans-serif mandatory; Phase II title set to The Strategic Resolution Imperative; RTTR citations renamed to Published Expertise Utilized; dropdown removal policy established. Decision 13: Strategy Machine accent colour #2E6AAF confirmed. Strategy Machine v2 built and deployed with all corrections.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2026-05-26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Decision 14: Machine title font size standardised at 34px suite-wide. Strategy Machine v3 built (48px corrected to 34px). Marketing Machine Specification v1.0 complete. Marketing Machine accent colour candidate #1a5c3a (deep forest green) approved for build.</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v9</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2026-05-27</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Decision 15: Minimum legibility threshold established — no readable text darker than #8888aa against dark background. Marketing Machine v1 live tested and confirmed working. Marketing Machine v2 built with: green colour unification to #4a9e6a, Tier 1 removed from subtitle, question label brightness raised, legibility floor applied throughout.</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1 — Deployment Architecture</w:t>
      </w:r>
    </w:p>
    <w:p>
      <w:pPr>
        <w:pStyle w:val="Heading2"/>
        <w:spacing w:after="120" w:before="240"/>
      </w:pPr>
      <w:r>
        <w:rPr>
          <w:b/>
          <w:bCs/>
          <w:sz w:val="24"/>
          <w:szCs w:val="24"/>
        </w:rPr>
        <w:t xml:space="preserve">1.1  The Problem</w:t>
      </w:r>
    </w:p>
    <w:p>
      <w:pPr>
        <w:spacing w:after="80" w:before="80"/>
      </w:pPr>
      <w:r>
        <w:t xml:space="preserve">Every L3V3L machine build requires calls to the Anthropic API. When an HTML file is opened by double-clicking from the local filesystem, the browser runs it under the file:// protocol. Modern browsers block all fetch() calls to external APIs from file:// origin — this is called a CORS (Cross-Origin Resource Sharing) block.</w:t>
      </w:r>
    </w:p>
    <w:p>
      <w:pPr>
        <w:pStyle w:val="Heading2"/>
        <w:spacing w:after="120" w:before="240"/>
      </w:pPr>
      <w:r>
        <w:rPr>
          <w:b/>
          <w:bCs/>
          <w:sz w:val="24"/>
          <w:szCs w:val="24"/>
        </w:rPr>
        <w:t xml:space="preserve">1.2  Solutions Tried and Rejected</w:t>
      </w:r>
    </w:p>
    <w:p>
      <w:pPr>
        <w:spacing w:after="80" w:before="80"/>
      </w:pPr>
      <w:r>
        <w:t xml:space="preserve">⚠ Python Local Server — REJECTED for production. Local testing only. DO NOT use as a build target.</w:t>
      </w:r>
    </w:p>
    <w:p>
      <w:pPr>
        <w:spacing w:after="80" w:before="80"/>
      </w:pPr>
      <w:r>
        <w:t xml:space="preserve">⚠ CORS Proxy Services (corsproxy.io, allorigins.win) — REJECTED. Strip x-api-key headers, producing 401 errors.</w:t>
      </w:r>
    </w:p>
    <w:p>
      <w:pPr>
        <w:pStyle w:val="Heading2"/>
        <w:spacing w:after="120" w:before="240"/>
      </w:pPr>
      <w:r>
        <w:rPr>
          <w:b/>
          <w:bCs/>
          <w:sz w:val="24"/>
          <w:szCs w:val="24"/>
        </w:rPr>
        <w:t xml:space="preserve">1.3  Resolved Solution — Netlify + Supabase Edge Function Proxy</w:t>
      </w:r>
    </w:p>
    <w:p>
      <w:pPr>
        <w:spacing w:after="80" w:before="80"/>
      </w:pPr>
      <w:r>
        <w:t xml:space="preserve">RESOLVED: All L3V3L Business Mastermind machines are built as Netlify-hosted services. All Anthropic API calls are proxied through Supabase Edge Functions (see Decision Addendum 2 — A10). The browser never calls the Anthropic API directly. The API key lives only in Supabase project secrets.</w:t>
      </w:r>
    </w:p>
    <w:p>
      <w:pPr>
        <w:pStyle w:val="Heading2"/>
        <w:spacing w:after="120" w:before="240"/>
      </w:pPr>
      <w:r>
        <w:rPr>
          <w:b/>
          <w:bCs/>
          <w:sz w:val="24"/>
          <w:szCs w:val="24"/>
        </w:rPr>
        <w:t xml:space="preserve">1.4  Architecture Overview — Current (Supersedes original 1.4)</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LAYER</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TECHNOLOGY</w:t>
            </w:r>
          </w:p>
        </w:tc>
        <w:tc>
          <w:tcPr>
            <w:tcW w:type="dxa" w:w="4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Frontend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Static HTML/CSS/JS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UI, intake, output rendering — single file per machine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Netlify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Serves HTML over HTTPS. No AI proxy calls — those go to Supabase.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AI Proxy</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Edge Function (Deno)</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One function per machine. No timeout constraint. System prompt stored server-side.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Secrets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Project Secrets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ANTHROPIC_API_KEY set once, applies to all Edge Functions automatically.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Domain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level33businessmastermind.com</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Registered at Cloudflare, pointed to Netlify via CNAME. LIVE.</w:t>
            </w:r>
          </w:p>
        </w:tc>
      </w:tr>
    </w:tbl>
    <w:p>
      <w:pPr>
        <w:pStyle w:val="Heading2"/>
        <w:spacing w:after="120" w:before="240"/>
      </w:pPr>
      <w:r>
        <w:rPr>
          <w:b/>
          <w:bCs/>
          <w:sz w:val="24"/>
          <w:szCs w:val="24"/>
        </w:rPr>
        <w:t xml:space="preserve">1.5  Supabase Edge Function Pattern</w:t>
      </w:r>
    </w:p>
    <w:p>
      <w:pPr>
        <w:spacing w:after="80" w:before="80"/>
      </w:pPr>
      <w:r>
        <w:t xml:space="preserve">Each machine gets its own named Edge Function in the l3v3l-business-mastermind Supabase project (wljxufilyobwpbavvwsr). Function name matches machine name (e.g. 'strategy', 'marketing', 'negotiate'). See Addendum 2 — A11 for the step-by-step build pattern.</w:t>
      </w:r>
    </w:p>
    <w:p>
      <w:pPr>
        <w:pStyle w:val="Heading2"/>
        <w:spacing w:after="120" w:before="240"/>
      </w:pPr>
      <w:r>
        <w:rPr>
          <w:b/>
          <w:bCs/>
          <w:sz w:val="24"/>
          <w:szCs w:val="24"/>
        </w:rPr>
        <w:t xml:space="preserve">1.6  Environment Variables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VARIABLE</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LOCATION</w:t>
            </w:r>
          </w:p>
        </w:tc>
        <w:tc>
          <w:tcPr>
            <w:tcW w:type="dxa" w:w="37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ANTHROPIC_API_KEY</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Project Secrets</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Set once. Mark as secret. Applies to all Edge Functions automatically.</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2 — Visual Design System</w:t>
      </w:r>
    </w:p>
    <w:p>
      <w:pPr>
        <w:spacing w:after="80" w:before="80"/>
      </w:pPr>
      <w:r>
        <w:t xml:space="preserve">RESOLVED: All L3V3L Business Mastermind machines share a single design system. Never deviate without a documented decision.</w:t>
      </w:r>
    </w:p>
    <w:p>
      <w:pPr>
        <w:pStyle w:val="Heading2"/>
        <w:spacing w:after="120" w:before="240"/>
      </w:pPr>
      <w:r>
        <w:rPr>
          <w:b/>
          <w:bCs/>
          <w:sz w:val="24"/>
          <w:szCs w:val="24"/>
        </w:rPr>
        <w:t xml:space="preserve">2.1  CSS Variables (Canonical)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VARIABLE</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HEX</w:t>
            </w:r>
          </w:p>
        </w:tc>
        <w:tc>
          <w:tcPr>
            <w:tcW w:type="dxa" w:w="5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--gold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#f0c040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Primary accent — logo, active states, primary buttons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--gold-mid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#c8982e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Button borders, active card borders, badge text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--gold-dim</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#8a7040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Dimmed gold — inactive chevrons, secondary labels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--gold-dark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#5a4820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Button background gradient base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#06060a</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#0f0f18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card / panel background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--card-dark</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#090912</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Default card / input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#252535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border colour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--border-act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#7a6030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Active / focused border colour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#f0f0fa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body text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--text-mid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#b0b0c8</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Secondary / descriptive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--text-dim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#7878a0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Tertiary / label text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--text-faint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#555570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Placeholder / decorative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#f8f8ff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Near-white for headings and emphasis</w:t>
            </w:r>
          </w:p>
        </w:tc>
      </w:tr>
    </w:tbl>
    <w:p>
      <w:pPr>
        <w:pStyle w:val="Heading2"/>
        <w:spacing w:after="120" w:before="240"/>
      </w:pPr>
      <w:r>
        <w:rPr>
          <w:b/>
          <w:bCs/>
          <w:sz w:val="24"/>
          <w:szCs w:val="24"/>
        </w:rPr>
        <w:t xml:space="preserve">2.2  Machine Accent Colours</w:t>
      </w:r>
    </w:p>
    <w:p>
      <w:pPr>
        <w:spacing w:after="80" w:before="80"/>
      </w:pPr>
      <w:r>
        <w:t xml:space="preserve">Accent colours are assigned at build time and logged here. Base gold design system is always preserved — accent is a layer on top.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200"/>
        <w:gridCol w:w="1960"/>
      </w:tblGrid>
      <w:tr>
        <w:trPr>
          <w:tblHeader/>
        </w:trP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MACHINE</w:t>
            </w:r>
          </w:p>
        </w:tc>
        <w:tc>
          <w:tcPr>
            <w:tcW w:type="dxa" w:w="1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ACCENT HEX</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DESCRIPTION</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c>
          <w:tcPr>
            <w:tcW w:type="dxa" w:w="1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Negotiation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#B8860B</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Burnished amber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Established in RTTR spec and build</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 and log here at Strategy Machine build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Gaps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Game Theory</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Shifts + Trends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Optimization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Rescue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Scenario Planning</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Extrapolation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Competition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Acceleration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bl>
    <w:p>
      <w:pPr>
        <w:pStyle w:val="Heading2"/>
        <w:spacing w:after="120" w:before="240"/>
      </w:pPr>
      <w:r>
        <w:rPr>
          <w:b/>
          <w:bCs/>
          <w:sz w:val="24"/>
          <w:szCs w:val="24"/>
        </w:rPr>
        <w:t xml:space="preserve">2.3  Typography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FONT</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SOURCE</w:t>
            </w:r>
          </w:p>
        </w:tc>
        <w:tc>
          <w:tcPr>
            <w:tcW w:type="dxa" w:w="5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Google Fonts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Brand mark (L3V3L), machine titles, button labels, section headers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Crimson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Fonts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Body text, question text, descriptions, brief output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Share Tech Mono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Google Fonts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Labels, badges, tags, code, tier indicators, RTTR citations</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3 — Document Formatting Preferences</w:t>
      </w:r>
    </w:p>
    <w:p>
      <w:pPr>
        <w:spacing w:after="80" w:before="80"/>
      </w:pPr>
      <w:r>
        <w:t xml:space="preserve">RESOLVED: All Word documents drafted for Jamie use en dash (–) not em dash (—). No page breaks are inserted — Jamie places them manually.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RULE</w:t>
            </w:r>
          </w:p>
        </w:tc>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CORRECT</w:t>
            </w:r>
          </w:p>
        </w:tc>
        <w:tc>
          <w:tcPr>
            <w:tcW w:type="dxa" w:w="4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NEVER USE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Dash style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En dash –</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Em dash — (produces overly heavy typography)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breaks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 Jamie inserts manually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Never insert PageBreak() in any document build script</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4 — Machine Intake Architecture</w:t>
      </w:r>
    </w:p>
    <w:p>
      <w:pPr>
        <w:spacing w:after="80" w:before="80"/>
      </w:pPr>
      <w:r>
        <w:t xml:space="preserve">RESOLVED: All L3V3L Business Mastermind machines use an adaptive two-layer intake. Layer 1 is a fixed classification set. Layer 2 is adaptively generated by the machine from Layer 1 answers via an API call.</w:t>
      </w:r>
    </w:p>
    <w:p>
      <w:pPr>
        <w:pStyle w:val="Heading2"/>
        <w:spacing w:after="120" w:before="240"/>
      </w:pPr>
      <w:r>
        <w:rPr>
          <w:b/>
          <w:bCs/>
          <w:sz w:val="24"/>
          <w:szCs w:val="24"/>
        </w:rPr>
        <w:t xml:space="preserve">4.1  Negotiation Machine — Established Quantities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LAYER</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QUESTIONS</w:t>
            </w:r>
          </w:p>
        </w:tc>
        <w:tc>
          <w:tcPr>
            <w:tcW w:type="dxa" w:w="4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Layer 1 — Classification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6 (fixed)</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All 6 CRITICAL tier. Q6 is the open intelligence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Layer 2 — Deep Preparation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(adaptive)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Generated by API call from Layer 1. Tailored to negotiation type and counterpart profile. Never a fixed set.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Total maximum</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16</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Full Intelligence Brief: 8-10 Layer 2 answers. Emergency Brief: Layer 1 only.</w:t>
            </w:r>
          </w:p>
        </w:tc>
      </w:tr>
    </w:tbl>
    <w:p>
      <w:pPr>
        <w:pStyle w:val="Heading2"/>
        <w:spacing w:after="120" w:before="240"/>
      </w:pPr>
      <w:r>
        <w:rPr>
          <w:b/>
          <w:bCs/>
          <w:sz w:val="24"/>
          <w:szCs w:val="24"/>
        </w:rPr>
        <w:t xml:space="preserve">4.2  All Machines — Intake Reference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MACHINE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INDEX BADGE</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ARCHITECTURE</w:t>
            </w:r>
          </w:p>
        </w:tc>
        <w:tc>
          <w:tcPr>
            <w:tcW w:type="dxa" w:w="2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Negotiation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6 L1 → 10 L2</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9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Gaps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Game Theory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8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Shifts + Trends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Optimization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Rescue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Scenario Planning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9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Extrapolation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Competition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8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Acceleration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5 — File Naming and Version Control</w:t>
      </w:r>
    </w:p>
    <w:p>
      <w:pPr>
        <w:spacing w:after="80" w:before="80"/>
      </w:pPr>
      <w:r>
        <w:t xml:space="preserve">RESOLVED: All machine HTML files are named with a version suffix: L3V3L_[MachineName]_Machine_v[N].html. Version numbers increment with each build iteration.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FILE TYPE</w:t>
            </w:r>
          </w:p>
        </w:tc>
        <w:tc>
          <w:tcPr>
            <w:tcW w:type="dxa" w:w="6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NAMING CONVENTION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HTML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L3V3L_[MachineName]_Machine_v[N].html — e.g. L3V3L_Negotiation_Machine_v10.html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L3V3L_Business_Mastermind_Index.html — no version suffix, single master file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Specification docs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L3V3L_[MachineName]_Machine_Specification.docx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RTTR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L3V3L_[MachineName]_RTTR_Specification.docx</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Build Decisions Log</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L3V3L_Business_Mastermind_Build_Decisions_Log_v[N].docx — THIS document. Living document; version increments each session with resolved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Sitrep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L3V3L_Platform_Sitrep_v[X.Y.Z].docx — uses three-level version convention. See Sitrep version control section.</w:t>
            </w:r>
          </w:p>
        </w:tc>
      </w:tr>
    </w:tbl>
    <w:p>
      <w:pPr>
        <w:spacing w:after="120" w:before="120"/>
      </w:pPr>
      <w:r>
        <w:t xml:space="preserve"/>
      </w:r>
    </w:p>
    <w:p>
      <w:pPr>
        <w:spacing w:after="80" w:before="80"/>
      </w:pPr>
      <w:r>
        <w:t xml:space="preserve">Current confirmed file versions: Negotiation Machine v10 (working). Build Decisions Log v6 (this document). Platform Sitrep v1.3.</w:t>
      </w:r>
    </w:p>
    <w:p>
      <w:pPr>
        <w:pBdr>
          <w:bottom w:val="single" w:color="B8860B" w:sz="6" w:space="1"/>
        </w:pBdr>
        <w:spacing w:after="160" w:before="160"/>
      </w:pPr>
      <w:r>
        <w:t xml:space="preserve"/>
      </w:r>
    </w:p>
    <w:p>
      <w:pPr>
        <w:pStyle w:val="Heading1"/>
        <w:spacing w:after="120" w:before="240"/>
      </w:pPr>
      <w:r>
        <w:rPr>
          <w:b/>
          <w:bCs/>
          <w:sz w:val="28"/>
          <w:szCs w:val="28"/>
        </w:rPr>
        <w:t xml:space="preserve">Decision 6 — Machine Build Sequence</w:t>
      </w:r>
    </w:p>
    <w:p>
      <w:pPr>
        <w:spacing w:after="80" w:before="80"/>
      </w:pPr>
      <w:r>
        <w:t xml:space="preserve">RESOLVED: The Negotiation Machine established the canonical build sequence for all future machines. Follow this order for every new machine build.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STEP</w:t>
            </w:r>
          </w:p>
        </w:tc>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DELIVERABLE</w:t>
            </w:r>
          </w:p>
        </w:tc>
        <w:tc>
          <w:tcPr>
            <w:tcW w:type="dxa" w:w="6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Specification Document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Architectural spec first: intake protocol, output architecture, adjudication framework. RTTR source library referenced by name — full RTTR Spec is post-launch.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HTML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self-contained HTML. Two-layer adaptive intake. Calls Supabase Edge Function for API proxy. Lightweight RTTR prompt (see Decision 11) embedded in system prompt.</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Edge Function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Deploy named Edge Function to wljxufilyobwpbavvwsr. Turn off JWT verify. Confirm ANTHROPIC_API_KEY in secrets.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Netlify 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HTML to Netlify. No ANTHROPIC_API_KEY needed here — key lives in Supabase.</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Index Update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Update L3V3L_Business_Mastermind_Index.html to wire Activate button to deployed machine URL. Upload current index.html at start of session (see Decision 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 Update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this BDL: record accent colour, intake quantities, any new resolved decisions. Increment version.</w:t>
            </w:r>
          </w:p>
        </w:tc>
      </w:tr>
    </w:tbl>
    <w:p>
      <w:pPr>
        <w:spacing w:after="80" w:before="80"/>
      </w:pPr>
      <w:r>
        <w:t xml:space="preserve">NOTE: RTTR Specification Documents (previously Step 1) are deferred to post-launch. The Machine Specification contains a reference to the RTTR source library. The full RTTR Spec deepens the system prompt after launch without requiring architectural changes.</w:t>
      </w:r>
    </w:p>
    <w:p>
      <w:pPr>
        <w:pBdr>
          <w:bottom w:val="single" w:color="B8860B" w:sz="6" w:space="1"/>
        </w:pBdr>
        <w:spacing w:after="160" w:before="160"/>
      </w:pPr>
      <w:r>
        <w:t xml:space="preserve"/>
      </w:r>
    </w:p>
    <w:p>
      <w:pPr>
        <w:pStyle w:val="Heading1"/>
        <w:spacing w:after="120" w:before="240"/>
      </w:pPr>
      <w:r>
        <w:rPr>
          <w:b/>
          <w:bCs/>
          <w:sz w:val="28"/>
          <w:szCs w:val="28"/>
        </w:rPr>
        <w:t xml:space="preserve">Decision 7 — Previously Open Items: Now Resolved</w:t>
      </w:r>
    </w:p>
    <w:p>
      <w:pPr>
        <w:spacing w:after="80" w:before="80"/>
      </w:pPr>
      <w:r>
        <w:t xml:space="preserve">These items were logged as open in v4. All three are now resolved as of v5 (2026-05-25).</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800"/>
        <w:gridCol w:w="1560"/>
      </w:tblGrid>
      <w:tr>
        <w:trPr>
          <w:tblHeader/>
        </w:trPr>
        <w:tc>
          <w:tcPr>
            <w:tcW w:type="dxa" w:w="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w:t>
            </w:r>
          </w:p>
        </w:tc>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ITEM</w:t>
            </w:r>
          </w:p>
        </w:tc>
        <w:tc>
          <w:tcPr>
            <w:tcW w:type="dxa" w:w="4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RESOLUTION</w:t>
            </w:r>
          </w:p>
        </w:tc>
        <w:tc>
          <w:tcPr>
            <w:tcW w:type="dxa" w:w="1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Domain for Business Mastermind Suite</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RESOLVED: level33businessmastermind.com — registered at Cloudflare, pointed to Netlify via CNAME. Live and confirmed.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RESOLVED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 model — API key entered by user vs. Supabase-gated subscription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RESOLVED: Supabase-gated subscription model confirmed — consistent with the full L3V3L platform pattern. Stripe + Supabase + Resend added to the stack. Payment activation is a pending build task, not an architectural question.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RESOLVED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accent colours — remaining 11 machines</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RESOLVED (process): Accent colour is assigned and logged in Decision 2.2 at the start of each machine build session. Not pre-assigned — chosen at build time to ensure coherence with each machine's visual character within the dark gold system.</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RESOLVED</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8 — Document Reference Protocol</w:t>
      </w:r>
    </w:p>
    <w:p>
      <w:pPr>
        <w:spacing w:after="80" w:before="80"/>
      </w:pPr>
      <w:r>
        <w:t xml:space="preserve">RESOLVED: The Platform Sitrep is the navigation hub for the entire L3V3L platform. Specialist documents (this BDL, machine specifications, RTTR documents) are referenced from the Sitrep but remain as standalone files. They are never merged into the Sitrep.</w:t>
      </w:r>
    </w:p>
    <w:p>
      <w:pPr>
        <w:pStyle w:val="Heading2"/>
        <w:spacing w:after="120" w:before="240"/>
      </w:pPr>
      <w:r>
        <w:rPr>
          <w:b/>
          <w:bCs/>
          <w:sz w:val="24"/>
          <w:szCs w:val="24"/>
        </w:rPr>
        <w:t xml:space="preserve">8.1  Rationale</w:t>
      </w:r>
    </w:p>
    <w:p>
      <w:pPr>
        <w:spacing w:after="80" w:before="80"/>
      </w:pPr>
      <w:r>
        <w:t xml:space="preserve">The Sitrep and specialist documents serve fundamentally different purposes. The Sitrep is a status dashboard — it tells you where everything stands at a glance. The BDL is a technical reference — it tells you how to build and why specific decisions were made. Merging them would make both documents unwieldy and dilute their clarity of purpose.</w:t>
      </w:r>
    </w:p>
    <w:p>
      <w:pPr>
        <w:pStyle w:val="Heading2"/>
        <w:spacing w:after="120" w:before="240"/>
      </w:pPr>
      <w:r>
        <w:rPr>
          <w:b/>
          <w:bCs/>
          <w:sz w:val="24"/>
          <w:szCs w:val="24"/>
        </w:rPr>
        <w:t xml:space="preserve">8.2  Reference Convention in the Sitrep</w:t>
      </w:r>
    </w:p>
    <w:p>
      <w:pPr>
        <w:spacing w:after="80" w:before="80"/>
      </w:pPr>
      <w:r>
        <w:t xml:space="preserve">Each service section in the Sitrep carries a Governing Documents table listing all specialist documents with their current version and GitHub location. The Sitrep version field for living documents (like this BDL) reads 'Current — see GitHub' rather than a hardcoded version number, with a note that the version is updated each time the BDL is uploaded for a session update.</w:t>
      </w:r>
    </w:p>
    <w:p>
      <w:pPr>
        <w:pStyle w:val="Heading2"/>
        <w:spacing w:after="120" w:before="240"/>
      </w:pPr>
      <w:r>
        <w:rPr>
          <w:b/>
          <w:bCs/>
          <w:sz w:val="24"/>
          <w:szCs w:val="24"/>
        </w:rPr>
        <w:t xml:space="preserve">8.3  Living Document Versioning Convention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DOCUMENT</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TYPE</w:t>
            </w:r>
          </w:p>
        </w:tc>
        <w:tc>
          <w:tcPr>
            <w:tcW w:type="dxa" w:w="4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VERSION TREATMENT IN SITREP</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Build Decisions Log (this document)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Living — grows with each build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'v[N] — Current' updated each upload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Specification 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per machine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 version number once machine is built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RTTR Specification docs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Deferred to post-launch</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Fixed version number when completed post-launch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Corporate Prediction 10-doc portfolio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 IP filed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 v1.0 — these do not change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Causal Parallax Service Spec</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Completed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Fixed v2.0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Sitrep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Living — updated each session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Three-level version: vX.Y (structural) / vX.Y.Z (service patch)</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9 — RTTR Author Citation Approach</w:t>
      </w:r>
    </w:p>
    <w:p>
      <w:pPr>
        <w:spacing w:after="80" w:before="80"/>
      </w:pPr>
      <w:r>
        <w:t xml:space="preserve">RESOLVED: The RTTR (Research, Theory, Technique, Reference) framework for all Business Mastermind machines uses a lightweight author-citation approach embedded in the system prompt. Full RTTR Specification documents are deferred to post-launch and will deepen the system prompt without requiring architectural changes.</w:t>
      </w:r>
    </w:p>
    <w:p>
      <w:pPr>
        <w:pStyle w:val="Heading2"/>
        <w:spacing w:after="120" w:before="240"/>
      </w:pPr>
      <w:r>
        <w:rPr>
          <w:b/>
          <w:bCs/>
          <w:sz w:val="24"/>
          <w:szCs w:val="24"/>
        </w:rPr>
        <w:t xml:space="preserve">9.1  Why This Is Not a Legal Risk</w:t>
      </w:r>
    </w:p>
    <w:p>
      <w:pPr>
        <w:spacing w:after="80" w:before="80"/>
      </w:pPr>
      <w:r>
        <w:t xml:space="preserve">Citing authors and attributing frameworks by name is standard academic and professional practice. The machine output says 'this analysis draws on Porter's Five Forces framework' — it does not reproduce copyrighted text. Authors cannot and do not pursue citation; they pursue reproduction. The RTTR citation in the output brief benefits authors by extending the reach of their frameworks.</w:t>
      </w:r>
    </w:p>
    <w:p>
      <w:pPr>
        <w:spacing w:after="80" w:before="80"/>
      </w:pPr>
      <w:r>
        <w:t xml:space="preserve">Risk zone (never do): embedding pages of verbatim text from cited works in the system prompt or output. The lightweight approach below is safe.</w:t>
      </w:r>
    </w:p>
    <w:p>
      <w:pPr>
        <w:pStyle w:val="Heading2"/>
        <w:spacing w:after="120" w:before="240"/>
      </w:pPr>
      <w:r>
        <w:rPr>
          <w:b/>
          <w:bCs/>
          <w:sz w:val="24"/>
          <w:szCs w:val="24"/>
        </w:rPr>
        <w:t xml:space="preserve">9.2  Lightweight RTTR Prompt Pattern</w:t>
      </w:r>
    </w:p>
    <w:p>
      <w:pPr>
        <w:spacing w:after="80" w:before="80"/>
      </w:pPr>
      <w:r>
        <w:t xml:space="preserve">Include in every machine system prompt — adapted to the machine's domain:</w:t>
      </w:r>
    </w:p>
    <w:p>
      <w:pPr>
        <w:spacing w:after="120" w:before="120"/>
      </w:pPr>
      <w:r>
        <w:t xml:space="preserve"/>
      </w:r>
    </w:p>
    <w:p>
      <w:pPr>
        <w:shd w:fill="F0F0F0" w:val="clear"/>
        <w:spacing w:after="80" w:before="80"/>
      </w:pPr>
      <w:r>
        <w:rPr>
          <w:i/>
          <w:iCs/>
          <w:sz w:val="20"/>
          <w:szCs w:val="20"/>
        </w:rPr>
        <w:t xml:space="preserve">"In forming your [domain] analysis, pay particular attention to the frameworks and thinking of: [Author list]. Attribute insights to their frameworks where relevant in your output."</w:t>
      </w:r>
    </w:p>
    <w:p>
      <w:pPr>
        <w:spacing w:after="80" w:before="80"/>
      </w:pPr>
      <w:r>
        <w:t xml:space="preserve">Full RTTR Specification (post-launch): a formal document that identifies specific frameworks, concepts, and analytical tools from each author, and refines the system prompt to reference them precisely. Completing this does not change machine architecture — it is a system prompt enhancement only.</w:t>
      </w:r>
    </w:p>
    <w:p>
      <w:pPr>
        <w:pStyle w:val="Heading2"/>
        <w:spacing w:after="120" w:before="240"/>
      </w:pPr>
      <w:r>
        <w:rPr>
          <w:b/>
          <w:bCs/>
          <w:sz w:val="24"/>
          <w:szCs w:val="24"/>
        </w:rPr>
        <w:t xml:space="preserve">9.3  Strategy Machine RTTR Source Library — 12 Authors (Canonical)</w:t>
      </w:r>
    </w:p>
    <w:p>
      <w:pPr>
        <w:spacing w:after="80" w:before="80"/>
      </w:pPr>
      <w:r>
        <w:t xml:space="preserve">Expanded from 8 to 12 in BDL v6. Authoritative list for Strategy Machine system prompt.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AUTHOR(S)</w:t>
            </w:r>
          </w:p>
        </w:tc>
        <w:tc>
          <w:tcPr>
            <w:tcW w:type="dxa" w:w="3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KEY WORKS</w:t>
            </w:r>
          </w:p>
        </w:tc>
        <w:tc>
          <w:tcPr>
            <w:tcW w:type="dxa" w:w="3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STRATEGIC CONTRIBUTION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Michael Porter</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Competitive Strategy (1980); Competitive Advantage (1985); What Is Strategy? (HBR, 1996)</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Five Forces, value chain, generic strategies, strategic positioning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Richard Rumelt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Good Strategy Bad Strategy (2011); The Crux (2022)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Diagnosis-guiding policy-coherent action; kernel of strategy; identifying the crux</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W. Chan Kim &amp; Renée Mauborgne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Blue Ocean Strategy (2005); Blue Ocean Shift (2017)</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Value innovation; uncontested market space; eliminate-reduce-raise-create grid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Roger Martin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Playing to Win (2013); The Execution Trap (HBR, 2010)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 as integrated choices; where-to-play / how-to-win; strategy vs. planning distinction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Clayton Christensen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Innovator's Dilemma (1997); Jobs to Be Done framework</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Disruptive innovation theory; jobs-to-be-done; sustaining vs. disruptive trajectories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Henry Mintzberg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Rise and Fall of Strategic Planning (1994); Strategy Safari (1998)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Emergent vs. deliberate strategy; ten schools of strategic thought; crafting strategy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Geoffrey Moore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Crossing the Chasm (1991); Zone to Win (2015)</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Technology adoption lifecycle; whole product concept; portfolio zone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Sun Tzu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Art of War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Terrain and positioning; winning without fighting; asymmetric advantage; intelligence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Rita McGrath</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End of Competitive Advantage (2013); Seeing Around Corners (2019)</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Transient advantage; strategic inflection points; arena-based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Alex Osterwalder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Model Generation (2010); Value Proposition Design (2014)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Model Canvas; value proposition mapping; business model innovation as strategy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Robert Kaplan &amp; David Norton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Balanced Scorecard (1996); Strategy Maps (2004)</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Strategy execution; balanced scorecard; strategy maps linking cause and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Richard D'Aveni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Hypercompetition (1994)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Competitive dynamics in fast-moving markets; 7-S framework; temporary advantage cycles</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10 — Index.html Upload Protocol</w:t>
      </w:r>
    </w:p>
    <w:p>
      <w:pPr>
        <w:spacing w:after="80" w:before="80"/>
      </w:pPr>
      <w:r>
        <w:t xml:space="preserve">RESOLVED: At the start of any session that includes an index wiring step (Decision 6, Step 5), upload the current L3V3L_Business_Mastermind_Index.html file. This ensures the index update is made to the precise live file rather than a reconstructed version. The index file evolves with each machine addition and must not be edited from memory.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WHEN</w:t>
            </w:r>
          </w:p>
        </w:tc>
        <w:tc>
          <w:tcPr>
            <w:tcW w:type="dxa" w:w="6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Session start — if index wiring is planned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Upload current L3V3L_Business_Mastermind_Index.html before any build work begins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index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updated file to l3v3l-business-mastermind-index repo on GitHub</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Never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Edit or reconstruct the index from memory — always work from the uploaded live file</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11 — Machine Spec + Lightweight RTTR Build Path</w:t>
      </w:r>
    </w:p>
    <w:p>
      <w:pPr>
        <w:spacing w:after="80" w:before="80"/>
      </w:pPr>
      <w:r>
        <w:t xml:space="preserve">RESOLVED: The confirmed build path for all Business Mastermind machines at initial launch is: Machine Specification Document first, then HTML build with lightweight RTTR prompt embedded. Full RTTR Specification documents are post-launch deliverables.</w:t>
      </w:r>
    </w:p>
    <w:p>
      <w:pPr>
        <w:pStyle w:val="Heading2"/>
        <w:spacing w:after="120" w:before="240"/>
      </w:pPr>
      <w:r>
        <w:rPr>
          <w:b/>
          <w:bCs/>
          <w:sz w:val="24"/>
          <w:szCs w:val="24"/>
        </w:rPr>
        <w:t xml:space="preserve">11.1  What the Machine Specification Contains</w:t>
      </w:r>
    </w:p>
    <w:p>
      <w:pPr>
        <w:spacing w:after="80" w:before="80"/>
      </w:pPr>
      <w:r>
        <w:t xml:space="preserve">The Machine Specification defines the structural logic of the machine independently of RTTR content: intake architecture (Layer 1 question set, Layer 2 generation logic), output section architecture (phases, what each section delivers), adjudication framework (how the machine weighs inputs), accent colour, citation format, and any machine-specific UX decisions. It contains a reference to the RTTR source library (by author name) and a note that the full RTTR Spec will be completed post-launch.</w:t>
      </w:r>
    </w:p>
    <w:p>
      <w:pPr>
        <w:pStyle w:val="Heading2"/>
        <w:spacing w:after="120" w:before="240"/>
      </w:pPr>
      <w:r>
        <w:rPr>
          <w:b/>
          <w:bCs/>
          <w:sz w:val="24"/>
          <w:szCs w:val="24"/>
        </w:rPr>
        <w:t xml:space="preserve">11.2  What the Lightweight RTTR Prompt Contains</w:t>
      </w:r>
    </w:p>
    <w:p>
      <w:pPr>
        <w:spacing w:after="80" w:before="80"/>
      </w:pPr>
      <w:r>
        <w:t xml:space="preserve">A single directive embedded in the system prompt naming the 12 canonical authors and instructing the model to attribute insights to their frameworks in the output. No verbatim reproduction of copyrighted text. No legal risk. Full RTTR Spec post-launch refines this directive with specific framework names and analytical tools — it does not require rebuilding the machine.</w:t>
      </w:r>
    </w:p>
    <w:p>
      <w:pPr>
        <w:pStyle w:val="Heading2"/>
        <w:spacing w:after="120" w:before="240"/>
      </w:pPr>
      <w:r>
        <w:rPr>
          <w:b/>
          <w:bCs/>
          <w:sz w:val="24"/>
          <w:szCs w:val="24"/>
        </w:rPr>
        <w:t xml:space="preserve">11.3  Build Quality Assessment</w:t>
      </w:r>
    </w:p>
    <w:p>
      <w:pPr>
        <w:spacing w:after="80" w:before="80"/>
      </w:pPr>
      <w:r>
        <w:t xml:space="preserve">Build quality is not compromised by this path. The Negotiation Machine's quality derives from its architecture — the six output phases, the adaptive intake, the citation format — not from the formal completeness of the RTTR document. The same applies to all machines. The Machine Specification carries the architecture; the RTTR prompt carries the intellectual tradition. Both are present at launch.</w:t>
      </w:r>
    </w:p>
    <w:p>
      <w:pPr>
        <w:pBdr>
          <w:bottom w:val="single" w:color="B8860B" w:sz="6" w:space="1"/>
        </w:pBdr>
        <w:spacing w:after="160" w:before="160"/>
      </w:pPr>
      <w:r>
        <w:t xml:space="preserve"/>
      </w:r>
    </w:p>
    <w:p>
      <w:pPr>
        <w:pStyle w:val="Heading1"/>
        <w:spacing w:after="120" w:before="240"/>
      </w:pPr>
      <w:r>
        <w:rPr>
          <w:b/>
          <w:bCs/>
          <w:sz w:val="28"/>
          <w:szCs w:val="28"/>
        </w:rPr>
        <w:t xml:space="preserve">Addendum 2 — Supabase Edge Functions: Production Proxy Architecture</w:t>
      </w:r>
    </w:p>
    <w:p>
      <w:pPr>
        <w:spacing w:after="80" w:before="80"/>
      </w:pPr>
      <w:r>
        <w:t xml:space="preserve">Confirmed during Negotiation Machine build (May 2026). Supersedes Decision 1 Section 1.4 Netlify serverless function proxy for all AI calls.</w:t>
      </w:r>
    </w:p>
    <w:p>
      <w:pPr>
        <w:pStyle w:val="Heading2"/>
        <w:spacing w:after="120" w:before="240"/>
      </w:pPr>
      <w:r>
        <w:rPr>
          <w:b/>
          <w:bCs/>
          <w:sz w:val="24"/>
          <w:szCs w:val="24"/>
        </w:rPr>
        <w:t xml:space="preserve">A9 — Netlify Hard Network Timeout</w:t>
      </w:r>
    </w:p>
    <w:p>
      <w:pPr>
        <w:spacing w:after="80" w:before="80"/>
      </w:pPr>
      <w:r>
        <w:rPr>
          <w:b/>
          <w:bCs/>
          <w:sz w:val="20"/>
          <w:szCs w:val="20"/>
        </w:rPr>
        <w:t xml:space="preserve">⚠ CONFIRMED PROBLEM: Netlify's edge network has a hard timeout of approximately 20-22 seconds that cannot be overridden by any configuration. At Claude Sonnet output speeds, any response above approximately 1200 tokens will 504 timeout. Do not use Netlify functions for AI proxy calls on any machine.</w:t>
      </w:r>
    </w:p>
    <w:p>
      <w:pPr>
        <w:spacing w:after="80" w:before="80"/>
      </w:pPr>
      <w:r>
        <w:t xml:space="preserve">Cost of discovering this: approximately 3 hours of token limit testing. The Supabase Edge Function migration that solved it took 30 minutes. Do not repeat this path.</w:t>
      </w:r>
    </w:p>
    <w:p>
      <w:pPr>
        <w:pStyle w:val="Heading2"/>
        <w:spacing w:after="120" w:before="240"/>
      </w:pPr>
      <w:r>
        <w:rPr>
          <w:b/>
          <w:bCs/>
          <w:sz w:val="24"/>
          <w:szCs w:val="24"/>
        </w:rPr>
        <w:t xml:space="preserve">A10 — Supabase Edge Functions: The Correct Solution</w:t>
      </w:r>
    </w:p>
    <w:p>
      <w:pPr>
        <w:spacing w:after="80" w:before="80"/>
      </w:pPr>
      <w:r>
        <w:t xml:space="preserve">CONFIRMED SOLUTION: All Anthropic API proxy calls use Supabase Edge Functions. Edge Functions run on Deno and have no meaningful timeout constraint. Full 4000-token briefs complete without issue.</w:t>
      </w:r>
    </w:p>
    <w:p>
      <w:pPr>
        <w:spacing w:after="80" w:before="80"/>
      </w:pPr>
      <w:r>
        <w:t xml:space="preserve">Supabase project: l3v3l-business-mastermind · https://wljxufilyobwpbavvwsr.supabase.co · Canada Central · Separate from all other L3V3L Supabase projects.</w:t>
      </w:r>
    </w:p>
    <w:p>
      <w:pPr>
        <w:spacing w:after="80" w:before="80"/>
      </w:pPr>
      <w:r>
        <w:t xml:space="preserve">Negotiate Edge Function endpoint: https://wljxufilyobwpbavvwsr.supabase.co/functions/v1/negotiate</w:t>
      </w:r>
    </w:p>
    <w:p>
      <w:pPr>
        <w:pStyle w:val="Heading2"/>
        <w:spacing w:after="120" w:before="240"/>
      </w:pPr>
      <w:r>
        <w:rPr>
          <w:b/>
          <w:bCs/>
          <w:sz w:val="24"/>
          <w:szCs w:val="24"/>
        </w:rPr>
        <w:t xml:space="preserve">A11 — Edge Function Build Pattern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STEP</w:t>
            </w:r>
          </w:p>
        </w:tc>
        <w:tc>
          <w:tcPr>
            <w:tcW w:type="dxa" w:w="8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w:t>
            </w:r>
          </w:p>
        </w:tc>
        <w:tc>
          <w:tcPr>
            <w:tcW w:type="dxa" w:w="8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dashboard → l3v3l-business-mastermind → Edge Functions → Open Editor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Paste machine index.ts code (system prompt + Deno.serve proxy)</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w:t>
            </w:r>
          </w:p>
        </w:tc>
        <w:tc>
          <w:tcPr>
            <w:tcW w:type="dxa" w:w="8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Set function name matching machine (e.g. 'strategy', 'marketing') → Deploy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Turn off 'Verify JWT with legacy secret' in function Settings</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w:t>
            </w:r>
          </w:p>
        </w:tc>
        <w:tc>
          <w:tcPr>
            <w:tcW w:type="dxa" w:w="8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Confirm ANTHROPIC_API_KEY is in project Secrets (set once, applies to all functions)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machine HTML fetch URL to https://wljxufilyobwpbavvwsr.supabase.co/functions/v1/[name]</w:t>
            </w:r>
          </w:p>
        </w:tc>
      </w:tr>
    </w:tbl>
    <w:p>
      <w:pPr>
        <w:pBdr>
          <w:bottom w:val="single" w:color="B8860B" w:sz="6" w:space="1"/>
        </w:pBdr>
        <w:spacing w:after="160" w:before="160"/>
      </w:pPr>
      <w:r>
        <w:t xml:space="preserve"/>
      </w:r>
    </w:p>
    <w:p>
      <w:pPr>
        <w:pStyle w:val="Heading1"/>
        <w:spacing w:after="120" w:before="240"/>
      </w:pPr>
      <w:r>
        <w:rPr>
          <w:b/>
          <w:bCs/>
          <w:sz w:val="28"/>
          <w:szCs w:val="28"/>
        </w:rPr>
        <w:t xml:space="preserve">Addendum 3 — Strategy Machine: Build Session Notes</w:t>
      </w:r>
    </w:p>
    <w:p>
      <w:pPr>
        <w:spacing w:after="80" w:before="80"/>
      </w:pPr>
      <w:r>
        <w:t xml:space="preserve">Added May 2026. Updated BDL v6 with expanded RTTR library and confirmed build path.</w:t>
      </w:r>
    </w:p>
    <w:p>
      <w:pPr>
        <w:pStyle w:val="Heading2"/>
        <w:spacing w:after="120" w:before="240"/>
      </w:pPr>
      <w:r>
        <w:rPr>
          <w:b/>
          <w:bCs/>
          <w:sz w:val="24"/>
          <w:szCs w:val="24"/>
        </w:rPr>
        <w:t xml:space="preserve">Strategy Machine RTTR Source Library</w:t>
      </w:r>
    </w:p>
    <w:p>
      <w:pPr>
        <w:spacing w:after="80" w:before="80"/>
      </w:pPr>
      <w:r>
        <w:t xml:space="preserve">See Decision 9.3 for the full 12-author canonical list. The list below is the system prompt reference — use it verbatim in the lightweight RTTR directive.</w:t>
      </w:r>
    </w:p>
    <w:p>
      <w:pPr>
        <w:spacing w:after="80" w:before="80"/>
      </w:pPr>
      <w:r>
        <w:rPr>
          <w:i/>
          <w:iCs/>
          <w:sz w:val="20"/>
          <w:szCs w:val="20"/>
        </w:rPr>
        <w:t xml:space="preserve">Porter, Rumelt, Kim &amp; Mauborgne, Roger Martin, Christensen, Mintzberg, Moore, Sun Tzu, McGrath, Osterwalder, Kaplan &amp; Norton, D'Aveni</w:t>
      </w:r>
    </w:p>
    <w:p>
      <w:pPr>
        <w:pStyle w:val="Heading2"/>
        <w:spacing w:after="120" w:before="240"/>
      </w:pPr>
      <w:r>
        <w:rPr>
          <w:b/>
          <w:bCs/>
          <w:sz w:val="24"/>
          <w:szCs w:val="24"/>
        </w:rPr>
        <w:t xml:space="preserve">Build Session Start Checklist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
            </w:r>
          </w:p>
        </w:tc>
        <w:tc>
          <w:tcPr>
            <w:tcW w:type="dxa" w:w="87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Upload current BDL to confirm architecture decisions before writing any 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Strategy Machine accent colour — must work within dark gold system — log in Decision 2.2</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Build Machine Specification Document first (Decision 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sequence after spec: HTML file → Supabase Edge Function ('strategy') → Deploy → Wire index Activate button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Upload current index.html before index wiring step (Decision 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 file → l3v3l-business-mastermind repo root. Edge Function → wljxufilyobwpbavvwsr.supabase.co. Index update → l3v3l-business-mastermind-index repo.</w:t>
            </w:r>
          </w:p>
        </w:tc>
      </w:tr>
    </w:tbl>
    <w:p>
      <w:pPr>
        <w:pBdr>
          <w:bottom w:val="single" w:color="B8860B" w:sz="6" w:space="1"/>
        </w:pBdr>
        <w:spacing w:after="160" w:before="160"/>
      </w:pPr>
      <w:r>
        <w:t xml:space="preserve"/>
      </w:r>
    </w:p>
    <w:p>
      <w:pPr>
        <w:spacing w:after="0" w:before="240"/>
        <w:jc w:val="center"/>
      </w:pPr>
      <w:r>
        <w:rPr>
          <w:i/>
          <w:iCs/>
          <w:color w:val="666666"/>
          <w:sz w:val="18"/>
          <w:szCs w:val="18"/>
        </w:rPr>
        <w:t xml:space="preserve">L3V3L Business Mastermind Suite — Build Decisions Log v7.0  |  Living Document — increment version with each resolved decision  |  The Good Gate Publishing / Wadontei:io  |  Confidential</w:t>
      </w:r>
    </w:p>
    <w:p>
      <w:pPr>
        <w:pStyle w:val="Heading1"/>
        <w:spacing w:after="120" w:before="240"/>
      </w:pPr>
      <w:r>
        <w:rPr>
          <w:b/>
          <w:bCs/>
          <w:sz w:val="28"/>
          <w:szCs w:val="28"/>
        </w:rPr>
        <w:t xml:space="preserve">Decision 12 — Typography, Phase Naming, and Output Terminology Standards</w:t>
      </w:r>
    </w:p>
    <w:p>
      <w:pPr>
        <w:spacing w:after="80" w:before="80"/>
      </w:pPr>
      <w:r>
        <w:t xml:space="preserve">RESOLVED: A set of suite-wide standards confirmed during Strategy Machine live build and testing session (2026-05-26). Apply to all Business Mastermind machines — current and future.</w:t>
      </w:r>
    </w:p>
    <w:p>
      <w:pPr>
        <w:spacing w:after="120" w:before="120"/>
      </w:pPr>
      <w:r>
        <w:t xml:space="preserve"/>
      </w:r>
    </w:p>
    <w:p>
      <w:pPr>
        <w:pStyle w:val="Heading2"/>
        <w:spacing w:after="120" w:before="240"/>
      </w:pPr>
      <w:r>
        <w:rPr>
          <w:b/>
          <w:bCs/>
          <w:sz w:val="24"/>
          <w:szCs w:val="24"/>
        </w:rPr>
        <w:t xml:space="preserve">12.1  Typography — Cinzel Decorative Removal</w:t>
      </w:r>
    </w:p>
    <w:p>
      <w:pPr>
        <w:spacing w:after="80" w:before="80"/>
      </w:pPr>
      <w:r>
        <w:t xml:space="preserve">RESOLVED: Cinzel Decorative is removed from all Business Mastermind machine titles and button labels. At larger sizes it reads as ornate and unsuitable for serious business intelligence tools. It is retained only for the small L3V3L suite wordmark in the site header where it operates at small decorative scale — pending wordmark review (see note below).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ELEMENT</w:t>
            </w:r>
          </w:p>
        </w:tc>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FONT REMOVED</w:t>
            </w:r>
          </w:p>
        </w:tc>
        <w:tc>
          <w:tcPr>
            <w:tcW w:type="dxa" w:w="4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FONT CONFIRMED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title (e.g. Strategy)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 Decorative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Inter — weight 700, clean sans-serif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Button labels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Cinzel Decorative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 — weight 600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Phase headings in brief output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 Decorative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Inter — weight 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subtitle / tagline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 Tech Mono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 Tech Mono — unchanged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 wordmark in header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 Decorative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 Decorative — retained pending wordmark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Body / question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Crimson Pro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Crimson Pro — unchanged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Badges / labels / citations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Share Tech Mono</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Share Tech Mono — unchanged</w:t>
            </w:r>
          </w:p>
        </w:tc>
      </w:tr>
    </w:tbl>
    <w:p>
      <w:pPr>
        <w:spacing w:after="120" w:before="120"/>
      </w:pPr>
      <w:r>
        <w:t xml:space="preserve"/>
      </w:r>
    </w:p>
    <w:p>
      <w:pPr>
        <w:spacing w:after="80" w:before="80"/>
      </w:pPr>
      <w:r>
        <w:t xml:space="preserve">WORDMARK REVIEW NOTE: Before finalising the L3V3L header wordmark across the suite, review the deployed Negotiation Machine to locate the agreed wordmark treatment. Do not assume Cinzel Decorative is correct — confirm against the live Negotiation Machine. Add wordmark review to the start-of-session checklist for any machine that introduces a new header design.</w:t>
      </w:r>
    </w:p>
    <w:p>
      <w:pPr>
        <w:spacing w:after="120" w:before="120"/>
      </w:pPr>
      <w:r>
        <w:t xml:space="preserve"/>
      </w:r>
    </w:p>
    <w:p>
      <w:pPr>
        <w:pStyle w:val="Heading2"/>
        <w:spacing w:after="120" w:before="240"/>
      </w:pPr>
      <w:r>
        <w:rPr>
          <w:b/>
          <w:bCs/>
          <w:sz w:val="24"/>
          <w:szCs w:val="24"/>
        </w:rPr>
        <w:t xml:space="preserve">12.2  Phase II Canonical Title — The Strategic Resolution Imperative</w:t>
      </w:r>
    </w:p>
    <w:p>
      <w:pPr>
        <w:spacing w:after="80" w:before="80"/>
      </w:pPr>
      <w:r>
        <w:t xml:space="preserve">RESOLVED: Phase II of all Business Mastermind Strategy Machine output briefs is titled "The Strategic Resolution Imperative." Rationale: Phase I (Situation Diagnosis) establishes what is happening. Phase II identifies the single obstacle that must be resolved before anything else can succeed — the bridge between diagnosis and prescription. The title carries both the problem identification and the mandate to resolve it. The word Crux (Rumelt internal terminology) is removed from all user-facing output. It is retained in internal system prompt and BDL references only.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PHASE</w:t>
            </w:r>
          </w:p>
        </w:tc>
        <w:tc>
          <w:tcPr>
            <w:tcW w:type="dxa" w:w="3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USER-FACING TITLE REMOVED</w:t>
            </w:r>
          </w:p>
        </w:tc>
        <w:tc>
          <w:tcPr>
            <w:tcW w:type="dxa" w:w="4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USER-FACING TITLE CONFIRMED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Phase II</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Crux</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Strategic Resolution Imperative</w:t>
            </w:r>
          </w:p>
        </w:tc>
      </w:tr>
    </w:tbl>
    <w:p>
      <w:pPr>
        <w:spacing w:after="120" w:before="120"/>
      </w:pPr>
      <w:r>
        <w:t xml:space="preserve"/>
      </w:r>
    </w:p>
    <w:p>
      <w:pPr>
        <w:pStyle w:val="Heading2"/>
        <w:spacing w:after="120" w:before="240"/>
      </w:pPr>
      <w:r>
        <w:rPr>
          <w:b/>
          <w:bCs/>
          <w:sz w:val="24"/>
          <w:szCs w:val="24"/>
        </w:rPr>
        <w:t xml:space="preserve">12.3  Output Terminology — Published Expertise Utilized</w:t>
      </w:r>
    </w:p>
    <w:p>
      <w:pPr>
        <w:spacing w:after="80" w:before="80"/>
      </w:pPr>
      <w:r>
        <w:t xml:space="preserve">RESOLVED: The citation block in Phase VI of all Business Mastermind machine output briefs is labelled "Published Expertise Utilized" — not "RTTR Citations." Rationale: RTTR is an internal framework acronym that is cryptic to business users until the full RTTR Specification is deployed and explained. "Published Expertise Utilized" is immediately self-explanatory to any executive reader. Internal system prompts and BDL documents continue to reference RTTR as the framework name.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ELEMENT</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LABEL REMOVED</w:t>
            </w:r>
          </w:p>
        </w:tc>
        <w:tc>
          <w:tcPr>
            <w:tcW w:type="dxa" w:w="4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LABEL CONFIRMED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Phase VI citation block — user-facing</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RTTR Citations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Published Expertise Utilized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prompt / BDL internal 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RTTR (internal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RTTR retained internally — user-facing label only changes</w:t>
            </w:r>
          </w:p>
        </w:tc>
      </w:tr>
    </w:tbl>
    <w:p>
      <w:pPr>
        <w:spacing w:after="120" w:before="120"/>
      </w:pPr>
      <w:r>
        <w:t xml:space="preserve"/>
      </w:r>
    </w:p>
    <w:p>
      <w:pPr>
        <w:pStyle w:val="Heading2"/>
        <w:spacing w:after="120" w:before="240"/>
      </w:pPr>
      <w:r>
        <w:rPr>
          <w:b/>
          <w:bCs/>
          <w:sz w:val="24"/>
          <w:szCs w:val="24"/>
        </w:rPr>
        <w:t xml:space="preserve">12.4  Intake Question Format — Dropdown Removal Policy</w:t>
      </w:r>
    </w:p>
    <w:p>
      <w:pPr>
        <w:spacing w:after="80" w:before="80"/>
      </w:pPr>
      <w:r>
        <w:t xml:space="preserve">RESOLVED: Pre-conceived dropdown menus are removed from strategic characterisation and aspiration questions in all Business Mastermind machines. Dropdowns constrain the user's thinking before the machine has begun its diagnostic work. Q3 (Competitive Position) and Q4 (Primary Strategic Objective) in the Strategy Machine are both converted to open text fields in v2. Rule: dropdowns are only appropriate for genuinely categorical inputs where the option set is exhaustive and non-constraining. All questions requiring strategic characterisation, outcome aspiration, or self-assessment default to open text.</w:t>
      </w:r>
    </w:p>
    <w:p>
      <w:pPr>
        <w:pBdr>
          <w:bottom w:val="single" w:color="B8860B" w:sz="6" w:space="1"/>
        </w:pBdr>
        <w:spacing w:after="160" w:before="160"/>
      </w:pPr>
      <w:r>
        <w:t xml:space="preserve"/>
      </w:r>
    </w:p>
    <w:p>
      <w:pPr>
        <w:pStyle w:val="Heading1"/>
        <w:spacing w:after="120" w:before="240"/>
      </w:pPr>
      <w:r>
        <w:rPr>
          <w:b/>
          <w:bCs/>
          <w:sz w:val="28"/>
          <w:szCs w:val="28"/>
        </w:rPr>
        <w:t xml:space="preserve">Decision 13 — Strategy Machine Accent Colour and Colour System Confirmed</w:t>
      </w:r>
    </w:p>
    <w:p>
      <w:pPr>
        <w:spacing w:after="80" w:before="80"/>
      </w:pPr>
      <w:r>
        <w:t xml:space="preserve">RESOLVED: Strategy Machine accent colour confirmed as #2E6AAF (deep slate blue) following visual review, brightness iteration, and explicit approval (2026-05-26). All supporting colour values confirmed for consistent application across all Strategy Machine UI elements.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UI ELEMENT</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HEX VALUE</w:t>
            </w:r>
          </w:p>
        </w:tc>
        <w:tc>
          <w:tcPr>
            <w:tcW w:type="dxa" w:w="5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Primary accent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#2E6AAF</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title colour, phase number badges, active borders, button gradient top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Accent deep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#1a3a6a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Button gradient base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Accent dark (badge bg)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#0d1a2e</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Badge and label background fills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Accent highlight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#7ab4e8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Citation author names in Published Expertise Utilized block</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Subtitle / secondary text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#b8b8d0</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tagline, secondary descriptive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Citation body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#c8c8e0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Citation body lines in Published Expertise Utilized block</w:t>
            </w:r>
          </w:p>
        </w:tc>
      </w:tr>
    </w:tbl>
    <w:p>
      <w:pPr>
        <w:spacing w:after="120" w:before="120"/>
      </w:pPr>
      <w:r>
        <w:t xml:space="preserve"/>
      </w:r>
    </w:p>
    <w:p>
      <w:pPr>
        <w:spacing w:after="80" w:before="80"/>
      </w:pPr>
      <w:r>
        <w:t xml:space="preserve">Updated machine accent colour registry (supersedes Decision 2.2 registry in this version):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MACHINE</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ACCENT HEX</w:t>
            </w:r>
          </w:p>
        </w:tc>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DESCRIPTION</w:t>
            </w:r>
          </w:p>
        </w:tc>
        <w:tc>
          <w:tcPr>
            <w:tcW w:type="dxa" w:w="3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Negotiation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#B8860B</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Burnished amber</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#2E6AAF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Deep slate blue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CONFIRMED — v2</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Gaps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Game Theory</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Shifts + Trends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Optimization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Rescue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Scenario Planning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Extrapolation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Competition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Acceleration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14 — Machine Title Font Size Standard</w:t>
      </w:r>
    </w:p>
    <w:p>
      <w:pPr>
        <w:spacing w:after="80" w:before="80"/>
      </w:pPr>
      <w:r>
        <w:t xml:space="preserve">RESOLVED: All Business Mastermind machine titles use 34px as the suite-wide standard font size. Confirmed during Marketing Machine build session (2026-05-26) after visual comparison of Strategy (48px) and Marketing (34px) side by side. At 48px, longer machine names read as oversized. 34px gives all machine names appropriate visual weight without dominating the card.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PARAMETER</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VALUE</w:t>
            </w:r>
          </w:p>
        </w:tc>
        <w:tc>
          <w:tcPr>
            <w:tcW w:type="dxa" w:w="4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title font size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34px</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Suite-wide standard — applies to all machines past and future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title font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Weight 700 — per Decision 12.1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title letter-spacing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-0.5px to -1px</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Adjust per machine name length for optical comfort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Correction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 Machine v2 — 48px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Corrected to 34px in Strategy Machine v3</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All future machines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34px from first build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Do not default to larger sizes — 34px is confirmed standard</w:t>
            </w:r>
          </w:p>
        </w:tc>
      </w:tr>
    </w:tbl>
    <w:p>
      <w:pPr>
        <w:spacing w:after="120" w:before="120"/>
      </w:pPr>
      <w:r>
        <w:t xml:space="preserve"/>
      </w:r>
    </w:p>
    <w:p>
      <w:pPr>
        <w:spacing w:after="80" w:before="80"/>
      </w:pPr>
      <w:r>
        <w:t xml:space="preserve">Strategy Machine v3 built with 34px title size correction. Strategy Machine v2 superseded by v3 for deployment.</w:t>
      </w:r>
    </w:p>
    <w:p>
      <w:pPr>
        <w:pBdr>
          <w:bottom w:val="single" w:color="B8860B" w:sz="6" w:space="1"/>
        </w:pBdr>
        <w:spacing w:after="160" w:before="160"/>
      </w:pPr>
      <w:r>
        <w:t xml:space="preserve"/>
      </w:r>
    </w:p>
    <w:p>
      <w:pPr>
        <w:pStyle w:val="Heading1"/>
        <w:spacing w:after="120" w:before="240"/>
      </w:pPr>
      <w:r>
        <w:rPr>
          <w:b/>
          <w:bCs/>
          <w:sz w:val="28"/>
          <w:szCs w:val="28"/>
        </w:rPr>
        <w:t xml:space="preserve">Decision 15 — Minimum Legibility Threshold for All Machine UI Text</w:t>
      </w:r>
    </w:p>
    <w:p>
      <w:pPr>
        <w:spacing w:after="80" w:before="80"/>
      </w:pPr>
      <w:r>
        <w:t xml:space="preserve">RESOLVED: No text element in any Business Mastermind machine that the user is expected to read may use a colour value darker than #8888aa against the dark suite background (#06060a). This applies to all text regardless of role — question number labels, phase indicators, badges, section headers, loading labels, hint text, and citation block headers. Confirmed after live testing revealed Q-number labels (e.g. Q6 — DEEP ANALYSIS) and other secondary labels were too dim to read comfortably.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ELEMENT TYPE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MINIMUM COLOUR</w:t>
            </w:r>
          </w:p>
        </w:tc>
        <w:tc>
          <w:tcPr>
            <w:tcW w:type="dxa" w:w="4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Question number labels (Q1 — DEEP ANALYSIS etc.)</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#9999bb</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Raised from accent colour to ensure readability at small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indicator 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#9999bb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 OF 3 etc. — must be clearly readable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Section header labels (RTTR block, intake headers)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#8888aa minimum</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Hard floor — nothing darker against --bg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Hint / descriptive text below questions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#8888aa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Italicised — needs to clear legibility floor despite italic rendering</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Loading sublabel text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#8888aa minimum</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Secondary line below loading label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Badge text on dark backgrounds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Accent colour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Never use text-faint (#555570) for any readable badge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PROHIBITED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#555570 (--text-faint)</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Reserved for purely decorative elements only — never for readable text</w:t>
            </w:r>
          </w:p>
        </w:tc>
      </w:tr>
    </w:tbl>
    <w:p>
      <w:pPr>
        <w:spacing w:after="120" w:before="120"/>
      </w:pPr>
      <w:r>
        <w:t xml:space="preserve"/>
      </w:r>
    </w:p>
    <w:p>
      <w:pPr>
        <w:spacing w:after="80" w:before="80"/>
      </w:pPr>
      <w:r>
        <w:t xml:space="preserve">This rule applies retroactively to all machines. Strategy Machine v3 and Marketing Machine v2 are the first builds to fully implement this standard. All future machines apply it from first build. When reviewing any machine for a new build, check all secondary text colours against this floor before deployment.</w:t>
      </w:r>
    </w:p>
    <w:p>
      <w:pPr>
        <w:pBdr>
          <w:bottom w:val="single" w:color="B8860B" w:sz="6" w:space="1"/>
        </w:pBdr>
        <w:spacing w:after="160"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33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2026-05-27T05:08:25.258Z</dcterms:created>
  <dcterms:modified xsi:type="dcterms:W3CDTF">2026-05-27T05:08:25.274Z</dcterms:modified>
</cp:coreProperties>
</file>

<file path=docProps/custom.xml><?xml version="1.0" encoding="utf-8"?>
<Properties xmlns="http://schemas.openxmlformats.org/officeDocument/2006/custom-properties" xmlns:vt="http://schemas.openxmlformats.org/officeDocument/2006/docPropsVTypes"/>
</file>