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pPr>
      <w:r>
        <w:rPr>
          <w:rFonts w:ascii="Arial" w:cs="Arial" w:eastAsia="Arial" w:hAnsi="Arial"/>
          <w:b/>
          <w:bCs/>
          <w:color w:val="1A1A1A"/>
          <w:sz w:val="52"/>
          <w:szCs w:val="52"/>
        </w:rPr>
        <w:t xml:space="preserve">L3V3L Business Mastermind Suite</w:t>
      </w:r>
    </w:p>
    <w:p>
      <w:pPr>
        <w:spacing w:after="200" w:before="0"/>
      </w:pPr>
      <w:r>
        <w:rPr>
          <w:rFonts w:ascii="Arial" w:cs="Arial" w:eastAsia="Arial" w:hAnsi="Arial"/>
          <w:b/>
          <w:bCs/>
          <w:color w:val="C8982E"/>
          <w:sz w:val="36"/>
          <w:szCs w:val="36"/>
        </w:rPr>
        <w:t xml:space="preserve">Build Decisions Log</w:t>
      </w:r>
    </w:p>
    <w:p>
      <w:pPr>
        <w:spacing w:after="160" w:before="0"/>
      </w:pPr>
      <w:r>
        <w:rPr>
          <w:rFonts w:ascii="Arial" w:cs="Arial" w:eastAsia="Arial" w:hAnsi="Arial"/>
          <w:i/>
          <w:iCs/>
          <w:color w:val="555555"/>
          <w:sz w:val="21"/>
          <w:szCs w:val="21"/>
        </w:rPr>
        <w:t xml:space="preserve">Authoritative record of resolved technical, architectural, and design decisions for all machine builds. Consult before starting any new machine build to avoid re-litigating known solutions.</w:t>
      </w:r>
    </w:p>
    <w:p>
      <w:pPr>
        <w:pBdr>
          <w:bottom w:val="single" w:color="C8982E" w:sz="8" w:space="4"/>
        </w:pBdr>
        <w:spacing w:after="60" w:before="0"/>
      </w:pPr>
    </w:p>
    <w:p>
      <w:pPr>
        <w:spacing w:after="120" w:before="0"/>
      </w:pPr>
    </w:p>
    <w:p>
      <w:pPr>
        <w:spacing w:after="100" w:before="0"/>
      </w:pPr>
      <w:r>
        <w:rPr>
          <w:rFonts w:ascii="Arial" w:cs="Arial" w:eastAsia="Arial" w:hAnsi="Arial"/>
          <w:b/>
          <w:bCs/>
          <w:color w:val="1A1A1A"/>
          <w:sz w:val="21"/>
          <w:szCs w:val="21"/>
        </w:rPr>
        <w:t xml:space="preserve">Maintained by: </w:t>
      </w:r>
      <w:r>
        <w:rPr>
          <w:rFonts w:ascii="Arial" w:cs="Arial" w:eastAsia="Arial" w:hAnsi="Arial"/>
          <w:color w:val="1A1A1A"/>
          <w:sz w:val="21"/>
          <w:szCs w:val="21"/>
        </w:rPr>
        <w:t xml:space="preserve">The Good Gate Publishing / Wadontei:io</w:t>
      </w:r>
    </w:p>
    <w:p>
      <w:pPr>
        <w:spacing w:after="100" w:before="0"/>
      </w:pPr>
      <w:r>
        <w:rPr>
          <w:rFonts w:ascii="Arial" w:cs="Arial" w:eastAsia="Arial" w:hAnsi="Arial"/>
          <w:b/>
          <w:bCs/>
          <w:color w:val="1A1A1A"/>
          <w:sz w:val="21"/>
          <w:szCs w:val="21"/>
        </w:rPr>
        <w:t xml:space="preserve">Applies to: </w:t>
      </w:r>
      <w:r>
        <w:rPr>
          <w:rFonts w:ascii="Arial" w:cs="Arial" w:eastAsia="Arial" w:hAnsi="Arial"/>
          <w:color w:val="1A1A1A"/>
          <w:sz w:val="21"/>
          <w:szCs w:val="21"/>
        </w:rPr>
        <w:t xml:space="preserve">L3V3L Business Mastermind Suite — all machine builds</w:t>
      </w:r>
    </w:p>
    <w:p>
      <w:pPr>
        <w:spacing w:after="100" w:before="0"/>
      </w:pPr>
      <w:r>
        <w:rPr>
          <w:rFonts w:ascii="Arial" w:cs="Arial" w:eastAsia="Arial" w:hAnsi="Arial"/>
          <w:b/>
          <w:bCs/>
          <w:color w:val="1A1A1A"/>
          <w:sz w:val="21"/>
          <w:szCs w:val="21"/>
        </w:rPr>
        <w:t xml:space="preserve">Last updated: </w:t>
      </w:r>
      <w:r>
        <w:rPr>
          <w:rFonts w:ascii="Arial" w:cs="Arial" w:eastAsia="Arial" w:hAnsi="Arial"/>
          <w:color w:val="1A1A1A"/>
          <w:sz w:val="21"/>
          <w:szCs w:val="21"/>
        </w:rPr>
        <w:t xml:space="preserve">May 2026 — Negotiation Machine build</w:t>
      </w:r>
    </w:p>
    <w:p>
      <w:pPr>
        <w:spacing w:after="480" w:before="0"/>
      </w:pPr>
    </w:p>
    <w:p>
      <w:r>
        <w:rPr>
          <w:rFonts w:ascii="Arial" w:cs="Arial" w:eastAsia="Arial" w:hAnsi="Arial"/>
          <w:color w:val="888888"/>
          <w:sz w:val="18"/>
          <w:szCs w:val="18"/>
        </w:rPr>
        <w:t xml:space="preserve">Confidential — The Good Gate Publishing</w:t>
      </w:r>
    </w:p>
    <w:p>
      <w:pPr>
        <w:spacing w:after="200" w:before="0"/>
      </w:pPr>
    </w:p>
    <w:p>
      <w:pPr>
        <w:pStyle w:val="Heading1"/>
        <w:pBdr>
          <w:bottom w:val="single" w:color="C8982E" w:sz="8" w:space="4"/>
        </w:pBdr>
        <w:spacing w:after="140" w:before="360"/>
      </w:pPr>
      <w:r>
        <w:rPr>
          <w:rFonts w:ascii="Arial" w:cs="Arial" w:eastAsia="Arial" w:hAnsi="Arial"/>
          <w:b/>
          <w:bCs/>
          <w:color w:val="1A1A1A"/>
          <w:sz w:val="34"/>
          <w:szCs w:val="34"/>
        </w:rPr>
        <w:t xml:space="preserve">Decision 1 — Deployment Architecture</w:t>
      </w:r>
    </w:p>
    <w:p>
      <w:pPr>
        <w:spacing w:after="60" w:before="0"/>
      </w:pPr>
    </w:p>
    <w:p>
      <w:pPr>
        <w:pStyle w:val="Heading2"/>
        <w:spacing w:after="100" w:before="280"/>
      </w:pPr>
      <w:r>
        <w:rPr>
          <w:rFonts w:ascii="Arial" w:cs="Arial" w:eastAsia="Arial" w:hAnsi="Arial"/>
          <w:b/>
          <w:bCs/>
          <w:color w:val="C8982E"/>
          <w:sz w:val="26"/>
          <w:szCs w:val="26"/>
        </w:rPr>
        <w:t xml:space="preserve">1.1  The Problem</w:t>
      </w:r>
    </w:p>
    <w:p>
      <w:pPr>
        <w:spacing w:after="140" w:before="0"/>
      </w:pPr>
      <w:r>
        <w:rPr>
          <w:rFonts w:ascii="Arial" w:cs="Arial" w:eastAsia="Arial" w:hAnsi="Arial"/>
          <w:color w:val="1A1A1A"/>
          <w:sz w:val="21"/>
          <w:szCs w:val="21"/>
        </w:rPr>
        <w:t xml:space="preserve">Every L3V3L machine build requires calls to the Anthropic API. When an HTML file is opened by double-clicking from the local filesystem, the browser runs it under the file:// protocol. Modern browsers block all fetch() calls to external APIs from file:// origin — this is called a CORS (Cross-Origin Resource Sharing) block. The error message is:</w:t>
      </w:r>
    </w:p>
    <w:p>
      <w:pPr>
        <w:spacing w:after="4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Access to fetch at 'https://api.anthropic.com/v1/messages' from origin 'null' has been blocked by CORS policy: Response to preflight request doesn't pass access control check: No 'Access-Control-Allow-Origin' header is present on the requested resource.</w:t>
      </w:r>
    </w:p>
    <w:p>
      <w:pPr>
        <w:spacing w:after="80" w:before="0"/>
      </w:pPr>
    </w:p>
    <w:p>
      <w:pPr>
        <w:pStyle w:val="Heading2"/>
        <w:spacing w:after="100" w:before="280"/>
      </w:pPr>
      <w:r>
        <w:rPr>
          <w:rFonts w:ascii="Arial" w:cs="Arial" w:eastAsia="Arial" w:hAnsi="Arial"/>
          <w:b/>
          <w:bCs/>
          <w:color w:val="C8982E"/>
          <w:sz w:val="26"/>
          <w:szCs w:val="26"/>
        </w:rPr>
        <w:t xml:space="preserve">1.2  Solutions Tried and Rejected</w:t>
      </w:r>
    </w:p>
    <w:p>
      <w:pPr>
        <w:spacing w:after="40" w:before="0"/>
      </w:pPr>
    </w:p>
    <w:p>
      <w:pPr>
        <w:pStyle w:val="Heading3"/>
        <w:spacing w:after="80" w:before="200"/>
      </w:pPr>
      <w:r>
        <w:rPr>
          <w:rFonts w:ascii="Arial" w:cs="Arial" w:eastAsia="Arial" w:hAnsi="Arial"/>
          <w:b/>
          <w:bCs/>
          <w:color w:val="1A1A1A"/>
          <w:sz w:val="22"/>
          <w:szCs w:val="22"/>
        </w:rPr>
        <w:t xml:space="preserve">Python Local Server (Rejected for production)</w:t>
      </w:r>
    </w:p>
    <w:p>
      <w:pPr>
        <w:spacing w:after="140" w:before="0"/>
      </w:pPr>
      <w:r>
        <w:rPr>
          <w:rFonts w:ascii="Arial" w:cs="Arial" w:eastAsia="Arial" w:hAnsi="Arial"/>
          <w:color w:val="1A1A1A"/>
          <w:sz w:val="21"/>
          <w:szCs w:val="21"/>
        </w:rPr>
        <w:t xml:space="preserve">Works for local testing only. Requires Terminal to remain open, requires the user to run command-line instructions, and provides no path to deployment for real users. Useful only as a last-resort testing tool when building on a machine without internet access.</w:t>
      </w:r>
    </w:p>
    <w:p>
      <w:pPr>
        <w:pBdr>
          <w:left w:val="single" w:color="8B1A1A" w:sz="6" w:space="100"/>
        </w:pBdr>
        <w:shd w:fill="FDF0F0" w:val="clear"/>
        <w:spacing w:after="80" w:before="80"/>
        <w:ind w:left="200"/>
      </w:pPr>
      <w:r>
        <w:rPr>
          <w:rFonts w:ascii="Arial" w:cs="Arial" w:eastAsia="Arial" w:hAnsi="Arial"/>
          <w:b/>
          <w:bCs/>
          <w:color w:val="8B1A1A"/>
          <w:sz w:val="21"/>
          <w:szCs w:val="21"/>
        </w:rPr>
        <w:t xml:space="preserve">DO NOT USE:  </w:t>
      </w:r>
      <w:r>
        <w:rPr>
          <w:rFonts w:ascii="Arial" w:cs="Arial" w:eastAsia="Arial" w:hAnsi="Arial"/>
          <w:color w:val="1A1A1A"/>
          <w:sz w:val="21"/>
          <w:szCs w:val="21"/>
        </w:rPr>
        <w:t xml:space="preserve">python3 -m http.server 8000 — do not use as a build target for any machine. Local testing only.</w:t>
      </w:r>
    </w:p>
    <w:p>
      <w:pPr>
        <w:spacing w:after="80" w:before="0"/>
      </w:pPr>
    </w:p>
    <w:p>
      <w:pPr>
        <w:pStyle w:val="Heading3"/>
        <w:spacing w:after="80" w:before="200"/>
      </w:pPr>
      <w:r>
        <w:rPr>
          <w:rFonts w:ascii="Arial" w:cs="Arial" w:eastAsia="Arial" w:hAnsi="Arial"/>
          <w:b/>
          <w:bCs/>
          <w:color w:val="1A1A1A"/>
          <w:sz w:val="22"/>
          <w:szCs w:val="22"/>
        </w:rPr>
        <w:t xml:space="preserve">CORS Proxy Services (Rejected)</w:t>
      </w:r>
    </w:p>
    <w:p>
      <w:pPr>
        <w:spacing w:after="140" w:before="0"/>
      </w:pPr>
      <w:r>
        <w:rPr>
          <w:rFonts w:ascii="Arial" w:cs="Arial" w:eastAsia="Arial" w:hAnsi="Arial"/>
          <w:color w:val="1A1A1A"/>
          <w:sz w:val="21"/>
          <w:szCs w:val="21"/>
        </w:rPr>
        <w:t xml:space="preserve">Third-party CORS proxies such as corsproxy.io and allorigins.win strip authentication headers (x-api-key) before forwarding to the Anthropic API, producing a 401 Unauthorized error. These services are unreliable, slow, and not suitable for a professional product.</w:t>
      </w:r>
    </w:p>
    <w:p>
      <w:pPr>
        <w:pBdr>
          <w:left w:val="single" w:color="8B1A1A" w:sz="6" w:space="100"/>
        </w:pBdr>
        <w:shd w:fill="FDF0F0" w:val="clear"/>
        <w:spacing w:after="80" w:before="80"/>
        <w:ind w:left="200"/>
      </w:pPr>
      <w:r>
        <w:rPr>
          <w:rFonts w:ascii="Arial" w:cs="Arial" w:eastAsia="Arial" w:hAnsi="Arial"/>
          <w:b/>
          <w:bCs/>
          <w:color w:val="8B1A1A"/>
          <w:sz w:val="21"/>
          <w:szCs w:val="21"/>
        </w:rPr>
        <w:t xml:space="preserve">DO NOT USE:  </w:t>
      </w:r>
      <w:r>
        <w:rPr>
          <w:rFonts w:ascii="Arial" w:cs="Arial" w:eastAsia="Arial" w:hAnsi="Arial"/>
          <w:color w:val="1A1A1A"/>
          <w:sz w:val="21"/>
          <w:szCs w:val="21"/>
        </w:rPr>
        <w:t xml:space="preserve">corsproxy.io, allorigins.win, or any third-party CORS proxy — they strip x-api-key headers.</w:t>
      </w:r>
    </w:p>
    <w:p>
      <w:pPr>
        <w:spacing w:after="80" w:before="0"/>
      </w:pPr>
    </w:p>
    <w:p>
      <w:pPr>
        <w:pStyle w:val="Heading2"/>
        <w:spacing w:after="100" w:before="280"/>
      </w:pPr>
      <w:r>
        <w:rPr>
          <w:rFonts w:ascii="Arial" w:cs="Arial" w:eastAsia="Arial" w:hAnsi="Arial"/>
          <w:b/>
          <w:bCs/>
          <w:color w:val="C8982E"/>
          <w:sz w:val="26"/>
          <w:szCs w:val="26"/>
        </w:rPr>
        <w:t xml:space="preserve">1.3  The Resolved Solution — Netlify + Serverless Function Proxy</w:t>
      </w:r>
    </w:p>
    <w:p>
      <w:pPr>
        <w:spacing w:after="4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machines are built as Netlify-hosted services with a serverless function (netlify/functions/generate.js or equivalent) that proxies all Anthropic API calls server-side. The browser never calls the Anthropic API directly. The API key lives only in Netlify environment variables and never touches the client.</w:t>
      </w:r>
    </w:p>
    <w:p>
      <w:pPr>
        <w:spacing w:after="80" w:before="0"/>
      </w:pPr>
    </w:p>
    <w:p>
      <w:pPr>
        <w:spacing w:after="140" w:before="0"/>
      </w:pPr>
      <w:r>
        <w:rPr>
          <w:rFonts w:ascii="Arial" w:cs="Arial" w:eastAsia="Arial" w:hAnsi="Arial"/>
          <w:color w:val="1A1A1A"/>
          <w:sz w:val="21"/>
          <w:szCs w:val="21"/>
        </w:rPr>
        <w:t xml:space="preserve">This is the architecture already running successfully at level33tutorials.com (the PrecisionStep Tutorials SaaS product). It is the proven production pattern for this entire suite.</w:t>
      </w:r>
    </w:p>
    <w:p>
      <w:pPr>
        <w:spacing w:after="80" w:before="0"/>
      </w:pPr>
    </w:p>
    <w:p>
      <w:pPr>
        <w:pStyle w:val="Heading2"/>
        <w:spacing w:after="100" w:before="280"/>
      </w:pPr>
      <w:r>
        <w:rPr>
          <w:rFonts w:ascii="Arial" w:cs="Arial" w:eastAsia="Arial" w:hAnsi="Arial"/>
          <w:b/>
          <w:bCs/>
          <w:color w:val="C8982E"/>
          <w:sz w:val="26"/>
          <w:szCs w:val="26"/>
        </w:rPr>
        <w:t xml:space="preserve">1.4  Architecture Overview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8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Frontend</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HTML/CSS/JS — single file per machine</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UI, intake, output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Hosting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(free tier sufficient)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Serves the HTML file over HTTPS, no CORS issues</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API Proxy</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Serverless Function (Node.js)</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Receives browser requests, forwards to Anthropic with API key, returns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Secrets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Environment Variables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ANTHROPIC_API_KEY stored server-side only, never in browser</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Domain</w:t>
            </w:r>
          </w:p>
        </w:tc>
        <w:tc>
          <w:tcPr>
            <w:tcW w:type="dxa" w:w="38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Cloudflare Registrar — to be confirmed per suite</w:t>
            </w:r>
          </w:p>
        </w:tc>
        <w:tc>
          <w:tcPr>
            <w:tcW w:type="dxa" w:w="32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 domain pointed to Netlify via CNAME</w:t>
            </w:r>
          </w:p>
        </w:tc>
      </w:tr>
    </w:tbl>
    <w:p>
      <w:pPr>
        <w:spacing w:after="140" w:before="0"/>
      </w:pPr>
    </w:p>
    <w:p>
      <w:pPr>
        <w:pStyle w:val="Heading2"/>
        <w:spacing w:after="100" w:before="280"/>
      </w:pPr>
      <w:r>
        <w:rPr>
          <w:rFonts w:ascii="Arial" w:cs="Arial" w:eastAsia="Arial" w:hAnsi="Arial"/>
          <w:b/>
          <w:bCs/>
          <w:color w:val="C8982E"/>
          <w:sz w:val="26"/>
          <w:szCs w:val="26"/>
        </w:rPr>
        <w:t xml:space="preserve">1.5  Serverless Function Pattern</w:t>
      </w:r>
    </w:p>
    <w:p>
      <w:pPr>
        <w:spacing w:after="140" w:before="0"/>
      </w:pPr>
      <w:r>
        <w:rPr>
          <w:rFonts w:ascii="Arial" w:cs="Arial" w:eastAsia="Arial" w:hAnsi="Arial"/>
          <w:color w:val="1A1A1A"/>
          <w:sz w:val="21"/>
          <w:szCs w:val="21"/>
        </w:rPr>
        <w:t xml:space="preserve">Every machine's Netlify function follows this exact pattern — adapted from the working level33tutorials.com generate.js:</w:t>
      </w:r>
    </w:p>
    <w:p>
      <w:pPr>
        <w:spacing w:after="60" w:before="0"/>
      </w:pPr>
    </w:p>
    <w:p>
      <w:pPr>
        <w:spacing w:after="60" w:before="60"/>
        <w:ind w:left="720"/>
      </w:pPr>
      <w:r>
        <w:rPr>
          <w:rFonts w:ascii="Courier New" w:cs="Courier New" w:eastAsia="Courier New" w:hAnsi="Courier New"/>
          <w:color w:val="334455"/>
          <w:sz w:val="19"/>
          <w:szCs w:val="19"/>
        </w:rPr>
        <w:t xml:space="preserve">// netlify/functions/negotiate.js (or machine-specific name)</w:t>
      </w:r>
    </w:p>
    <w:p>
      <w:pPr>
        <w:spacing w:after="60" w:before="60"/>
        <w:ind w:left="720"/>
      </w:pPr>
      <w:r>
        <w:rPr>
          <w:rFonts w:ascii="Courier New" w:cs="Courier New" w:eastAsia="Courier New" w:hAnsi="Courier New"/>
          <w:color w:val="334455"/>
          <w:sz w:val="19"/>
          <w:szCs w:val="19"/>
        </w:rPr>
        <w:t xml:space="preserve">exports.handler = async (event) =&gt; {</w:t>
      </w:r>
    </w:p>
    <w:p>
      <w:pPr>
        <w:spacing w:after="60" w:before="60"/>
        <w:ind w:left="720"/>
      </w:pPr>
      <w:r>
        <w:rPr>
          <w:rFonts w:ascii="Courier New" w:cs="Courier New" w:eastAsia="Courier New" w:hAnsi="Courier New"/>
          <w:color w:val="334455"/>
          <w:sz w:val="19"/>
          <w:szCs w:val="19"/>
        </w:rPr>
        <w:t xml:space="preserve">  if (event.httpMethod === 'OPTIONS') return corsOK();</w:t>
      </w:r>
    </w:p>
    <w:p>
      <w:pPr>
        <w:spacing w:after="60" w:before="60"/>
        <w:ind w:left="720"/>
      </w:pPr>
      <w:r>
        <w:rPr>
          <w:rFonts w:ascii="Courier New" w:cs="Courier New" w:eastAsia="Courier New" w:hAnsi="Courier New"/>
          <w:color w:val="334455"/>
          <w:sz w:val="19"/>
          <w:szCs w:val="19"/>
        </w:rPr>
        <w:t xml:space="preserve">  const { messages, system, max_tokens, model } = JSON.parse(event.body);</w:t>
      </w:r>
    </w:p>
    <w:p>
      <w:pPr>
        <w:spacing w:after="60" w:before="60"/>
        <w:ind w:left="720"/>
      </w:pPr>
      <w:r>
        <w:rPr>
          <w:rFonts w:ascii="Courier New" w:cs="Courier New" w:eastAsia="Courier New" w:hAnsi="Courier New"/>
          <w:color w:val="334455"/>
          <w:sz w:val="19"/>
          <w:szCs w:val="19"/>
        </w:rPr>
        <w:t xml:space="preserve">  const res = await fetch('https://api.anthropic.com/v1/messages', {</w:t>
      </w:r>
    </w:p>
    <w:p>
      <w:pPr>
        <w:spacing w:after="60" w:before="60"/>
        <w:ind w:left="720"/>
      </w:pPr>
      <w:r>
        <w:rPr>
          <w:rFonts w:ascii="Courier New" w:cs="Courier New" w:eastAsia="Courier New" w:hAnsi="Courier New"/>
          <w:color w:val="334455"/>
          <w:sz w:val="19"/>
          <w:szCs w:val="19"/>
        </w:rPr>
        <w:t xml:space="preserve">    method: 'POST',</w:t>
      </w:r>
    </w:p>
    <w:p>
      <w:pPr>
        <w:spacing w:after="60" w:before="60"/>
        <w:ind w:left="720"/>
      </w:pPr>
      <w:r>
        <w:rPr>
          <w:rFonts w:ascii="Courier New" w:cs="Courier New" w:eastAsia="Courier New" w:hAnsi="Courier New"/>
          <w:color w:val="334455"/>
          <w:sz w:val="19"/>
          <w:szCs w:val="19"/>
        </w:rPr>
        <w:t xml:space="preserve">    headers: {</w:t>
      </w:r>
    </w:p>
    <w:p>
      <w:pPr>
        <w:spacing w:after="60" w:before="60"/>
        <w:ind w:left="720"/>
      </w:pPr>
      <w:r>
        <w:rPr>
          <w:rFonts w:ascii="Courier New" w:cs="Courier New" w:eastAsia="Courier New" w:hAnsi="Courier New"/>
          <w:color w:val="334455"/>
          <w:sz w:val="19"/>
          <w:szCs w:val="19"/>
        </w:rPr>
        <w:t xml:space="preserve">      'Content-Type': 'application/json',</w:t>
      </w:r>
    </w:p>
    <w:p>
      <w:pPr>
        <w:spacing w:after="60" w:before="60"/>
        <w:ind w:left="720"/>
      </w:pPr>
      <w:r>
        <w:rPr>
          <w:rFonts w:ascii="Courier New" w:cs="Courier New" w:eastAsia="Courier New" w:hAnsi="Courier New"/>
          <w:color w:val="334455"/>
          <w:sz w:val="19"/>
          <w:szCs w:val="19"/>
        </w:rPr>
        <w:t xml:space="preserve">      'x-api-key': process.env.ANTHROPIC_API_KEY,</w:t>
      </w:r>
    </w:p>
    <w:p>
      <w:pPr>
        <w:spacing w:after="60" w:before="60"/>
        <w:ind w:left="720"/>
      </w:pPr>
      <w:r>
        <w:rPr>
          <w:rFonts w:ascii="Courier New" w:cs="Courier New" w:eastAsia="Courier New" w:hAnsi="Courier New"/>
          <w:color w:val="334455"/>
          <w:sz w:val="19"/>
          <w:szCs w:val="19"/>
        </w:rPr>
        <w:t xml:space="preserve">      'anthropic-version': '2023-06-01'</w:t>
      </w:r>
    </w:p>
    <w:p>
      <w:pPr>
        <w:spacing w:after="60" w:before="60"/>
        <w:ind w:left="720"/>
      </w:pPr>
      <w:r>
        <w:rPr>
          <w:rFonts w:ascii="Courier New" w:cs="Courier New" w:eastAsia="Courier New" w:hAnsi="Courier New"/>
          <w:color w:val="334455"/>
          <w:sz w:val="19"/>
          <w:szCs w:val="19"/>
        </w:rPr>
        <w:t xml:space="preserve">    },</w:t>
      </w:r>
    </w:p>
    <w:p>
      <w:pPr>
        <w:spacing w:after="60" w:before="60"/>
        <w:ind w:left="720"/>
      </w:pPr>
      <w:r>
        <w:rPr>
          <w:rFonts w:ascii="Courier New" w:cs="Courier New" w:eastAsia="Courier New" w:hAnsi="Courier New"/>
          <w:color w:val="334455"/>
          <w:sz w:val="19"/>
          <w:szCs w:val="19"/>
        </w:rPr>
        <w:t xml:space="preserve">    body: JSON.stringify({ model, max_tokens, system, messages })</w:t>
      </w:r>
    </w:p>
    <w:p>
      <w:pPr>
        <w:spacing w:after="60" w:before="60"/>
        <w:ind w:left="720"/>
      </w:pPr>
      <w:r>
        <w:rPr>
          <w:rFonts w:ascii="Courier New" w:cs="Courier New" w:eastAsia="Courier New" w:hAnsi="Courier New"/>
          <w:color w:val="334455"/>
          <w:sz w:val="19"/>
          <w:szCs w:val="19"/>
        </w:rPr>
        <w:t xml:space="preserve">  });</w:t>
      </w:r>
    </w:p>
    <w:p>
      <w:pPr>
        <w:spacing w:after="60" w:before="60"/>
        <w:ind w:left="720"/>
      </w:pPr>
      <w:r>
        <w:rPr>
          <w:rFonts w:ascii="Courier New" w:cs="Courier New" w:eastAsia="Courier New" w:hAnsi="Courier New"/>
          <w:color w:val="334455"/>
          <w:sz w:val="19"/>
          <w:szCs w:val="19"/>
        </w:rPr>
        <w:t xml:space="preserve">  const data = await res.json();</w:t>
      </w:r>
    </w:p>
    <w:p>
      <w:pPr>
        <w:spacing w:after="60" w:before="60"/>
        <w:ind w:left="720"/>
      </w:pPr>
      <w:r>
        <w:rPr>
          <w:rFonts w:ascii="Courier New" w:cs="Courier New" w:eastAsia="Courier New" w:hAnsi="Courier New"/>
          <w:color w:val="334455"/>
          <w:sz w:val="19"/>
          <w:szCs w:val="19"/>
        </w:rPr>
        <w:t xml:space="preserve">  return { statusCode: res.status, headers: corsJson(), body: JSON.stringify(data) };</w:t>
      </w:r>
    </w:p>
    <w:p>
      <w:pPr>
        <w:spacing w:after="60" w:before="60"/>
        <w:ind w:left="720"/>
      </w:pPr>
      <w:r>
        <w:rPr>
          <w:rFonts w:ascii="Courier New" w:cs="Courier New" w:eastAsia="Courier New" w:hAnsi="Courier New"/>
          <w:color w:val="334455"/>
          <w:sz w:val="19"/>
          <w:szCs w:val="19"/>
        </w:rPr>
        <w:t xml:space="preserve">};</w:t>
      </w:r>
    </w:p>
    <w:p>
      <w:pPr>
        <w:spacing w:after="80" w:before="0"/>
      </w:pPr>
    </w:p>
    <w:p>
      <w:pPr>
        <w:spacing w:after="140" w:before="0"/>
      </w:pPr>
      <w:r>
        <w:rPr>
          <w:rFonts w:ascii="Arial" w:cs="Arial" w:eastAsia="Arial" w:hAnsi="Arial"/>
          <w:color w:val="1A1A1A"/>
          <w:sz w:val="21"/>
          <w:szCs w:val="21"/>
        </w:rPr>
        <w:t xml:space="preserve">The browser-side fetch calls /api/negotiate (or machine-specific path) — never api.anthropic.com directly. netlify.toml maps the /api/* path to the function.</w:t>
      </w:r>
    </w:p>
    <w:p>
      <w:pPr>
        <w:spacing w:after="80" w:before="0"/>
      </w:pPr>
    </w:p>
    <w:p>
      <w:pPr>
        <w:pStyle w:val="Heading2"/>
        <w:spacing w:after="100" w:before="280"/>
      </w:pPr>
      <w:r>
        <w:rPr>
          <w:rFonts w:ascii="Arial" w:cs="Arial" w:eastAsia="Arial" w:hAnsi="Arial"/>
          <w:b/>
          <w:bCs/>
          <w:color w:val="C8982E"/>
          <w:sz w:val="26"/>
          <w:szCs w:val="26"/>
        </w:rPr>
        <w:t xml:space="preserve">1.6  Netlify Environment Variables Required Per Machine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29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ANTHROPIC_API_KEY</w:t>
            </w:r>
          </w:p>
        </w:tc>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sk-ant-...</w:t>
            </w:r>
          </w:p>
        </w:tc>
        <w:tc>
          <w:tcPr>
            <w:tcW w:type="dxa" w:w="2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 as Secret. Scopes: all available.</w:t>
            </w:r>
          </w:p>
        </w:tc>
      </w:tr>
    </w:tbl>
    <w:p>
      <w:pPr>
        <w:spacing w:after="80" w:before="0"/>
      </w:pPr>
      <w:r>
        <w:rPr>
          <w:rFonts w:ascii="Arial" w:cs="Arial" w:eastAsia="Arial" w:hAnsi="Arial"/>
          <w:color w:val="1A1A1A"/>
          <w:sz w:val="21"/>
          <w:szCs w:val="21"/>
        </w:rPr>
        <w:t xml:space="preserve">Additional variables (Supabase, Stripe, Resend) are added when the machine requires auth, payments, or email — as built for level33tutorials.com.</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2 — Visual Design System</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Business Mastermind machines share a single design system. Never deviate from these parameters without a documented decision.</w:t>
      </w:r>
    </w:p>
    <w:p>
      <w:pPr>
        <w:spacing w:after="80" w:before="0"/>
      </w:pPr>
    </w:p>
    <w:p>
      <w:pPr>
        <w:pStyle w:val="Heading2"/>
        <w:spacing w:after="100" w:before="280"/>
      </w:pPr>
      <w:r>
        <w:rPr>
          <w:rFonts w:ascii="Arial" w:cs="Arial" w:eastAsia="Arial" w:hAnsi="Arial"/>
          <w:b/>
          <w:bCs/>
          <w:color w:val="C8982E"/>
          <w:sz w:val="26"/>
          <w:szCs w:val="26"/>
        </w:rPr>
        <w:t xml:space="preserve">2.1  CSS Variables (Canonical)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Hex Value</w:t>
            </w:r>
          </w:p>
        </w:tc>
        <w:tc>
          <w:tcPr>
            <w:tcW w:type="dxa" w:w="47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--gold</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#f0c040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 accent — logo, active states, primary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--gold-mid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#c8982e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Button borders, active card borders, badge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--gold-dim</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#8a7040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Dimmed gold — inactive chevrons, secondary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--gold-dark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#5a4820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Button background gradient base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--bg</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#06060a</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#0f0f18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Active card / panel background</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--card-dark</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#090912</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card / input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#252535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border colour</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--border-act</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#7a6030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Active / focused border colour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#f0f0fa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 body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--text-mid</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#b0b0c8</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Secondary / descriptive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--text-dim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#7878a0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Tertiary / label text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--text-faint</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#555570</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Placeholder / decorative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#f8f8ff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Near-white for headings and emphasis</w:t>
            </w:r>
          </w:p>
        </w:tc>
      </w:tr>
    </w:tbl>
    <w:p>
      <w:pPr>
        <w:spacing w:after="140" w:before="0"/>
      </w:pPr>
    </w:p>
    <w:p>
      <w:pPr>
        <w:pStyle w:val="Heading2"/>
        <w:spacing w:after="100" w:before="280"/>
      </w:pPr>
      <w:r>
        <w:rPr>
          <w:rFonts w:ascii="Arial" w:cs="Arial" w:eastAsia="Arial" w:hAnsi="Arial"/>
          <w:b/>
          <w:bCs/>
          <w:color w:val="C8982E"/>
          <w:sz w:val="26"/>
          <w:szCs w:val="26"/>
        </w:rPr>
        <w:t xml:space="preserve">2.2  Machine-Specific Accent Colours</w:t>
      </w:r>
    </w:p>
    <w:p>
      <w:pPr>
        <w:spacing w:after="140" w:before="0"/>
      </w:pPr>
      <w:r>
        <w:rPr>
          <w:rFonts w:ascii="Arial" w:cs="Arial" w:eastAsia="Arial" w:hAnsi="Arial"/>
          <w:color w:val="1A1A1A"/>
          <w:sz w:val="21"/>
          <w:szCs w:val="21"/>
        </w:rPr>
        <w:t xml:space="preserve">Each machine carries a secondary accent colour applied to its intake badges, classification banners, inline citations, and output section headers. The base gold design system is always preserved — the machine accent is a layer on top.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Machine</w:t>
            </w:r>
          </w:p>
        </w:tc>
        <w:tc>
          <w:tcPr>
            <w:tcW w:type="dxa" w:w="1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Accent Hex</w:t>
            </w:r>
          </w:p>
        </w:tc>
        <w:tc>
          <w:tcPr>
            <w:tcW w:type="dxa" w:w="4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Negotiation Machine</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#B8860B</w:t>
            </w:r>
          </w:p>
        </w:tc>
        <w:tc>
          <w:tcPr>
            <w:tcW w:type="dxa" w:w="4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Burnished amber — established in RTTR spec and machine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All others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TBD per machine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 be assigned and logged here as each machine is built</w:t>
            </w:r>
          </w:p>
        </w:tc>
      </w:tr>
    </w:tbl>
    <w:p>
      <w:pPr>
        <w:spacing w:after="140" w:before="0"/>
      </w:pPr>
    </w:p>
    <w:p>
      <w:pPr>
        <w:pStyle w:val="Heading2"/>
        <w:spacing w:after="100" w:before="280"/>
      </w:pPr>
      <w:r>
        <w:rPr>
          <w:rFonts w:ascii="Arial" w:cs="Arial" w:eastAsia="Arial" w:hAnsi="Arial"/>
          <w:b/>
          <w:bCs/>
          <w:color w:val="C8982E"/>
          <w:sz w:val="26"/>
          <w:szCs w:val="26"/>
        </w:rPr>
        <w:t xml:space="preserve">2.3  Typography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Font</w:t>
            </w:r>
          </w:p>
        </w:tc>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5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Cinzel</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Brand mark (L3V3L), machine titles, button labels, section headers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Crimson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Body text, question text, descriptions, brief output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Share Tech Mono</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Fonts</w:t>
            </w:r>
          </w:p>
        </w:tc>
        <w:tc>
          <w:tcPr>
            <w:tcW w:type="dxa" w:w="4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Labels, badges, tags, code, tier indicators, RTTR citations</w:t>
            </w:r>
          </w:p>
        </w:tc>
      </w:tr>
    </w:tbl>
    <w:p>
      <w:pPr>
        <w:spacing w:after="14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Google Fonts import line — always include all three: @import url('https://fonts.googleapis.com/css2?family=Cinzel:wght@400;600;800&amp;family=Crimson+Pro:ital,wght@0,300;0,400;1,300;1,400&amp;family=Share+Tech+Mono&amp;display=swap');</w:t>
      </w:r>
    </w:p>
    <w:p>
      <w:pPr>
        <w:spacing w:after="140" w:before="0"/>
      </w:pPr>
    </w:p>
    <w:p>
      <w:pPr>
        <w:pStyle w:val="Heading2"/>
        <w:spacing w:after="100" w:before="280"/>
      </w:pPr>
      <w:r>
        <w:rPr>
          <w:rFonts w:ascii="Arial" w:cs="Arial" w:eastAsia="Arial" w:hAnsi="Arial"/>
          <w:b/>
          <w:bCs/>
          <w:color w:val="C8982E"/>
          <w:sz w:val="26"/>
          <w:szCs w:val="26"/>
        </w:rPr>
        <w:t xml:space="preserve">2.4  Standard UI Components</w:t>
      </w:r>
    </w:p>
    <w:p>
      <w:pPr>
        <w:pStyle w:val="ListParagraph"/>
        <w:numPr>
          <w:ilvl w:val="0"/>
          <w:numId w:val="2"/>
        </w:numPr>
        <w:spacing w:after="80" w:before="40"/>
      </w:pPr>
      <w:r>
        <w:rPr>
          <w:rFonts w:ascii="Arial" w:cs="Arial" w:eastAsia="Arial" w:hAnsi="Arial"/>
          <w:b w:val="false"/>
          <w:bCs w:val="false"/>
          <w:color w:val="1A1A1A"/>
          <w:sz w:val="21"/>
          <w:szCs w:val="21"/>
        </w:rPr>
        <w:t xml:space="preserve">Primary button: dark amber gradient (#2e2208 to #1e1606), --gold-mid border, Cinzel 10px, 4px letter-spacing, uppercase. Hover: lighter gradient, --gold border, white text.</w:t>
      </w:r>
    </w:p>
    <w:p>
      <w:pPr>
        <w:pStyle w:val="ListParagraph"/>
        <w:numPr>
          <w:ilvl w:val="0"/>
          <w:numId w:val="2"/>
        </w:numPr>
        <w:spacing w:after="80" w:before="40"/>
      </w:pPr>
      <w:r>
        <w:rPr>
          <w:rFonts w:ascii="Arial" w:cs="Arial" w:eastAsia="Arial" w:hAnsi="Arial"/>
          <w:b w:val="false"/>
          <w:bCs w:val="false"/>
          <w:color w:val="1A1A1A"/>
          <w:sz w:val="21"/>
          <w:szCs w:val="21"/>
        </w:rPr>
        <w:t xml:space="preserve">Secondary button: transparent background, --border border, Share Tech Mono 8px, 2px letter-spacing, uppercase.</w:t>
      </w:r>
    </w:p>
    <w:p>
      <w:pPr>
        <w:pStyle w:val="ListParagraph"/>
        <w:numPr>
          <w:ilvl w:val="0"/>
          <w:numId w:val="2"/>
        </w:numPr>
        <w:spacing w:after="80" w:before="40"/>
      </w:pPr>
      <w:r>
        <w:rPr>
          <w:rFonts w:ascii="Arial" w:cs="Arial" w:eastAsia="Arial" w:hAnsi="Arial"/>
          <w:b w:val="false"/>
          <w:bCs w:val="false"/>
          <w:color w:val="1A1A1A"/>
          <w:sz w:val="21"/>
          <w:szCs w:val="21"/>
        </w:rPr>
        <w:t xml:space="preserve">Input / textarea: --card-dark background, --border border, Crimson Pro, focus state uses --border-act border.</w:t>
      </w:r>
    </w:p>
    <w:p>
      <w:pPr>
        <w:pStyle w:val="ListParagraph"/>
        <w:numPr>
          <w:ilvl w:val="0"/>
          <w:numId w:val="2"/>
        </w:numPr>
        <w:spacing w:after="80" w:before="40"/>
      </w:pPr>
      <w:r>
        <w:rPr>
          <w:rFonts w:ascii="Arial" w:cs="Arial" w:eastAsia="Arial" w:hAnsi="Arial"/>
          <w:b w:val="false"/>
          <w:bCs w:val="false"/>
          <w:color w:val="1A1A1A"/>
          <w:sz w:val="21"/>
          <w:szCs w:val="21"/>
        </w:rPr>
        <w:t xml:space="preserve">Progress bar: 2px height, gradient from --gold-dark to machine accent colour.</w:t>
      </w:r>
    </w:p>
    <w:p>
      <w:pPr>
        <w:pStyle w:val="ListParagraph"/>
        <w:numPr>
          <w:ilvl w:val="0"/>
          <w:numId w:val="2"/>
        </w:numPr>
        <w:spacing w:after="80" w:before="40"/>
      </w:pPr>
      <w:r>
        <w:rPr>
          <w:rFonts w:ascii="Arial" w:cs="Arial" w:eastAsia="Arial" w:hAnsi="Arial"/>
          <w:b w:val="false"/>
          <w:bCs w:val="false"/>
          <w:color w:val="1A1A1A"/>
          <w:sz w:val="21"/>
          <w:szCs w:val="21"/>
        </w:rPr>
        <w:t xml:space="preserve">Ambient glow: three fixed radial gradients — top-left gold, bottom-right blue, mid-left gold. Always present behind all content.</w:t>
      </w:r>
    </w:p>
    <w:p>
      <w:pPr>
        <w:pStyle w:val="ListParagraph"/>
        <w:numPr>
          <w:ilvl w:val="0"/>
          <w:numId w:val="2"/>
        </w:numPr>
        <w:spacing w:after="80" w:before="40"/>
      </w:pPr>
      <w:r>
        <w:rPr>
          <w:rFonts w:ascii="Arial" w:cs="Arial" w:eastAsia="Arial" w:hAnsi="Arial"/>
          <w:b w:val="false"/>
          <w:bCs w:val="false"/>
          <w:color w:val="1A1A1A"/>
          <w:sz w:val="21"/>
          <w:szCs w:val="21"/>
        </w:rPr>
        <w:t xml:space="preserve">Row divider: 1px linear-gradient horizontal rule — transparent to --border to transparent.</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3 — Document Formatting Preferences</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Word documents drafted for Jamie use en dash (–) not em dash (—). No page breaks are inserted — Jamie places them manually based on his own graphic design sensibilities.</w:t>
      </w:r>
    </w:p>
    <w:p>
      <w:pPr>
        <w:spacing w:after="80" w:before="0"/>
      </w:pPr>
    </w:p>
    <w:p>
      <w:pPr>
        <w:spacing w:after="140" w:before="0"/>
      </w:pPr>
      <w:r>
        <w:rPr>
          <w:rFonts w:ascii="Arial" w:cs="Arial" w:eastAsia="Arial" w:hAnsi="Arial"/>
          <w:color w:val="1A1A1A"/>
          <w:sz w:val="21"/>
          <w:szCs w:val="21"/>
        </w:rPr>
        <w:t xml:space="preserve">These rules apply to every .docx file produced — specification documents, delineation documents, suite overviews, and any other formatted output.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Correct</w:t>
            </w:r>
          </w:p>
        </w:tc>
        <w:tc>
          <w:tcPr>
            <w:tcW w:type="dxa" w:w="4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Never Use</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Dash style</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En dash –</w:t>
            </w:r>
          </w:p>
        </w:tc>
        <w:tc>
          <w:tcPr>
            <w:tcW w:type="dxa" w:w="4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Em dash — (produces overly heavy typography)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Page breaks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 — Jamie inserts manually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Never insert PageBreak() in any document build script</w:t>
            </w:r>
          </w:p>
        </w:tc>
      </w:tr>
    </w:tbl>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4 — Machine Intake Architecture</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L3V3L Business Mastermind machines use an adaptive two-layer intake. Layer 1 is a fixed set of classification questions. Layer 2 is adaptively generated by the machine from Layer 1 answers via an API call. Layer 1 quantity and Layer 2 quantity are set per machine based on complexity.</w:t>
      </w:r>
    </w:p>
    <w:p>
      <w:pPr>
        <w:spacing w:after="80" w:before="0"/>
      </w:pPr>
    </w:p>
    <w:p>
      <w:pPr>
        <w:pStyle w:val="Heading2"/>
        <w:spacing w:after="100" w:before="280"/>
      </w:pPr>
      <w:r>
        <w:rPr>
          <w:rFonts w:ascii="Arial" w:cs="Arial" w:eastAsia="Arial" w:hAnsi="Arial"/>
          <w:b/>
          <w:bCs/>
          <w:color w:val="C8982E"/>
          <w:sz w:val="26"/>
          <w:szCs w:val="26"/>
        </w:rPr>
        <w:t xml:space="preserve">4.1  Negotiation Machine — Established Quantities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6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Questions</w:t>
            </w:r>
          </w:p>
        </w:tc>
        <w:tc>
          <w:tcPr>
            <w:tcW w:type="dxa" w:w="53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Layer 1 — Classification</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6 (fixed)</w:t>
            </w:r>
          </w:p>
        </w:tc>
        <w:tc>
          <w:tcPr>
            <w:tcW w:type="dxa" w:w="5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6 CRITICAL tier. Q6 is the open intelligence field — machine weights it heavily for Layer 2 generation and negotiation type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Layer 2 — Deep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 (adaptive)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Generated by API call from Layer 1 answers. Tailored to negotiation type, counterpart profile, and Q6 signals. Never a fixed set.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Total maximum</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16</w:t>
            </w:r>
          </w:p>
        </w:tc>
        <w:tc>
          <w:tcPr>
            <w:tcW w:type="dxa" w:w="5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Intelligence Brief requires 8-10 Layer 2 answers. Emergency Brief requires Layer 1 only.</w:t>
            </w:r>
          </w:p>
        </w:tc>
      </w:tr>
    </w:tbl>
    <w:p>
      <w:pPr>
        <w:spacing w:after="80" w:before="0"/>
      </w:pPr>
    </w:p>
    <w:p>
      <w:pPr>
        <w:spacing w:after="140" w:before="0"/>
      </w:pPr>
      <w:r>
        <w:rPr>
          <w:rFonts w:ascii="Arial" w:cs="Arial" w:eastAsia="Arial" w:hAnsi="Arial"/>
          <w:color w:val="1A1A1A"/>
          <w:sz w:val="21"/>
          <w:szCs w:val="21"/>
        </w:rPr>
        <w:t xml:space="preserve">The time-pressure instruction displayed to users: "Complete as many questions as your time allows. The machine will generate the most powerful brief possible from whatever you provide. If you have four minutes, complete all six Layer 1 questions and as many Layer 2 questions as time permits — Layer 1 alone is sufficient for an Emergency Brief."</w:t>
      </w:r>
    </w:p>
    <w:p>
      <w:pPr>
        <w:spacing w:after="80" w:before="0"/>
      </w:pPr>
    </w:p>
    <w:p>
      <w:pPr>
        <w:pStyle w:val="Heading2"/>
        <w:spacing w:after="100" w:before="280"/>
      </w:pPr>
      <w:r>
        <w:rPr>
          <w:rFonts w:ascii="Arial" w:cs="Arial" w:eastAsia="Arial" w:hAnsi="Arial"/>
          <w:b/>
          <w:bCs/>
          <w:color w:val="C8982E"/>
          <w:sz w:val="26"/>
          <w:szCs w:val="26"/>
        </w:rPr>
        <w:t xml:space="preserve">4.2  Other Machines — Intake Quantity Reference</w:t>
      </w:r>
    </w:p>
    <w:p>
      <w:pPr>
        <w:spacing w:after="140" w:before="0"/>
      </w:pPr>
      <w:r>
        <w:rPr>
          <w:rFonts w:ascii="Arial" w:cs="Arial" w:eastAsia="Arial" w:hAnsi="Arial"/>
          <w:color w:val="1A1A1A"/>
          <w:sz w:val="21"/>
          <w:szCs w:val="21"/>
        </w:rPr>
        <w:t xml:space="preserve">The Business Mastermind Index file (L3V3L_Business_Mastermind_Index.html) records the current intake badge for each machine. These were the confirmed quantities as of the index build: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Machine</w:t>
            </w:r>
          </w:p>
        </w:tc>
        <w:tc>
          <w:tcPr>
            <w:tcW w:type="dxa" w:w="30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Index Badge</w:t>
            </w:r>
          </w:p>
        </w:tc>
        <w:tc>
          <w:tcPr>
            <w:tcW w:type="dxa" w:w="308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Strategy</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Marketing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Negotiation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6 Layer 1 → 10 Layer 2</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BUILT — v3 file. Two-layer adaptive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Optimization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Acceleration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Market Gaps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Extrapolation</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Competition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Shifts + Trends</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7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Game Theory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Scenario Planning</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9 Seed → 12 Custom</w:t>
            </w:r>
          </w:p>
        </w:tc>
        <w:tc>
          <w:tcPr>
            <w:tcW w:type="dxa" w:w="30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Crisis Navigation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 Seed → 12 Custom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only — machine not yet built</w:t>
            </w:r>
          </w:p>
        </w:tc>
      </w:tr>
    </w:tbl>
    <w:p>
      <w:pPr>
        <w:spacing w:after="80" w:before="0"/>
      </w:pPr>
    </w:p>
    <w:p>
      <w:pPr>
        <w:pBdr>
          <w:left w:val="single" w:color="C8982E" w:sz="8" w:space="120"/>
        </w:pBdr>
        <w:shd w:fill="FFF8E7" w:val="clear"/>
        <w:spacing w:after="140" w:before="140"/>
        <w:ind w:left="720"/>
      </w:pPr>
      <w:r>
        <w:rPr>
          <w:rFonts w:ascii="Arial" w:cs="Arial" w:eastAsia="Arial" w:hAnsi="Arial"/>
          <w:i/>
          <w:iCs/>
          <w:color w:val="1A1A1A"/>
          <w:sz w:val="21"/>
          <w:szCs w:val="21"/>
        </w:rPr>
        <w:t xml:space="preserve">Note: Index badges say "Seed → Custom" — this was the earlier design language before the two-layer adaptive architecture was formalised with the Negotiation Machine. When each machine is built, the intake architecture follows the two-layer adaptive pattern with quantities confirmed at build time and logged here.</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5 — File Naming and Version Control</w:t>
      </w:r>
    </w:p>
    <w:p>
      <w:pPr>
        <w:spacing w:after="60" w:before="0"/>
      </w:pPr>
    </w:p>
    <w:p>
      <w:pPr>
        <w:pBdr>
          <w:left w:val="single" w:color="1A6B2A" w:sz="6" w:space="100"/>
        </w:pBdr>
        <w:shd w:fill="EDF7EE" w:val="clear"/>
        <w:spacing w:after="80" w:before="80"/>
        <w:ind w:left="200"/>
      </w:pPr>
      <w:r>
        <w:rPr>
          <w:rFonts w:ascii="Arial" w:cs="Arial" w:eastAsia="Arial" w:hAnsi="Arial"/>
          <w:b/>
          <w:bCs/>
          <w:color w:val="1A6B2A"/>
          <w:sz w:val="21"/>
          <w:szCs w:val="21"/>
        </w:rPr>
        <w:t xml:space="preserve">RESOLVED DECISION:  </w:t>
      </w:r>
      <w:r>
        <w:rPr>
          <w:rFonts w:ascii="Arial" w:cs="Arial" w:eastAsia="Arial" w:hAnsi="Arial"/>
          <w:color w:val="1A1A1A"/>
          <w:sz w:val="21"/>
          <w:szCs w:val="21"/>
        </w:rPr>
        <w:t xml:space="preserve">All machine HTML files are named with a version suffix: L3V3L_[MachineName]_Machine_v[N].html. Version numbers increment with each build iteration. Jamie maintains his own copy history on his desktop.</w:t>
      </w:r>
    </w:p>
    <w:p>
      <w:pPr>
        <w:spacing w:after="80" w:before="0"/>
      </w:pPr>
    </w:p>
    <w:p>
      <w:pPr>
        <w:pStyle w:val="ListParagraph"/>
        <w:numPr>
          <w:ilvl w:val="0"/>
          <w:numId w:val="2"/>
        </w:numPr>
        <w:spacing w:after="80" w:before="40"/>
      </w:pPr>
      <w:r>
        <w:rPr>
          <w:rFonts w:ascii="Arial" w:cs="Arial" w:eastAsia="Arial" w:hAnsi="Arial"/>
          <w:b w:val="false"/>
          <w:bCs w:val="false"/>
          <w:color w:val="1A1A1A"/>
          <w:sz w:val="21"/>
          <w:szCs w:val="21"/>
        </w:rPr>
        <w:t xml:space="preserve">Negotiation Machine: L3V3L_Negotiation_Machine_v10.html (current) — Supabase Edge Function proxy, full 6-phase brief, markdown rendering, generous h3 spacing</w:t>
      </w:r>
    </w:p>
    <w:p>
      <w:pPr>
        <w:pStyle w:val="ListParagraph"/>
        <w:numPr>
          <w:ilvl w:val="0"/>
          <w:numId w:val="2"/>
        </w:numPr>
        <w:spacing w:after="80" w:before="40"/>
      </w:pPr>
      <w:r>
        <w:rPr>
          <w:rFonts w:ascii="Arial" w:cs="Arial" w:eastAsia="Arial" w:hAnsi="Arial"/>
          <w:b w:val="false"/>
          <w:bCs w:val="false"/>
          <w:color w:val="1A1A1A"/>
          <w:sz w:val="21"/>
          <w:szCs w:val="21"/>
        </w:rPr>
        <w:t xml:space="preserve">Index file: L3V3L_Business_Mastermind_Index.html (no version suffix — single master file)</w:t>
      </w:r>
    </w:p>
    <w:p>
      <w:pPr>
        <w:pStyle w:val="ListParagraph"/>
        <w:numPr>
          <w:ilvl w:val="0"/>
          <w:numId w:val="2"/>
        </w:numPr>
        <w:spacing w:after="80" w:before="40"/>
      </w:pPr>
      <w:r>
        <w:rPr>
          <w:rFonts w:ascii="Arial" w:cs="Arial" w:eastAsia="Arial" w:hAnsi="Arial"/>
          <w:b w:val="false"/>
          <w:bCs w:val="false"/>
          <w:color w:val="1A1A1A"/>
          <w:sz w:val="21"/>
          <w:szCs w:val="21"/>
        </w:rPr>
        <w:t xml:space="preserve">Specification documents: L3V3L_[MachineName]_Machine_Specification.docx</w:t>
      </w:r>
    </w:p>
    <w:p>
      <w:pPr>
        <w:pStyle w:val="ListParagraph"/>
        <w:numPr>
          <w:ilvl w:val="0"/>
          <w:numId w:val="2"/>
        </w:numPr>
        <w:spacing w:after="80" w:before="40"/>
      </w:pPr>
      <w:r>
        <w:rPr>
          <w:rFonts w:ascii="Arial" w:cs="Arial" w:eastAsia="Arial" w:hAnsi="Arial"/>
          <w:b w:val="false"/>
          <w:bCs w:val="false"/>
          <w:color w:val="1A1A1A"/>
          <w:sz w:val="21"/>
          <w:szCs w:val="21"/>
        </w:rPr>
        <w:t xml:space="preserve">RTTR documents: L3V3L_[MachineName]_RTTR_Specification.docx</w:t>
      </w:r>
    </w:p>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6 — Machine Build Sequence</w:t>
      </w:r>
    </w:p>
    <w:p>
      <w:pPr>
        <w:spacing w:after="60" w:before="0"/>
      </w:pPr>
    </w:p>
    <w:p>
      <w:pPr>
        <w:spacing w:after="140" w:before="0"/>
      </w:pPr>
      <w:r>
        <w:rPr>
          <w:rFonts w:ascii="Arial" w:cs="Arial" w:eastAsia="Arial" w:hAnsi="Arial"/>
          <w:color w:val="1A1A1A"/>
          <w:sz w:val="21"/>
          <w:szCs w:val="21"/>
        </w:rPr>
        <w:t xml:space="preserve">The Negotiation Machine established the canonical build sequence for all future machines. Follow this order for every new machine: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564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1</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RTTR Specification Document</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 base first. Web-searched, legally attributed. Defines the canonical source library the machine draws from.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Specification Document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Architectural spec: intake protocol, output architecture, adjudication framework, citation format. Built from the RTTR document.</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3</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HTML File</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 self-contained HTML file. Two-layer adaptive intake. Netlify serverless function for API proxy. Built to spec.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Netlify Deployment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 to Netlify. Set ANTHROPIC_API_KEY environment variable. Test full intake and brief generation flow.</w:t>
            </w:r>
          </w:p>
        </w:tc>
      </w:tr>
      <w:tr>
        <w:tc>
          <w:tcPr>
            <w:tcW w:type="dxa" w:w="7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5</w:t>
            </w:r>
          </w:p>
        </w:tc>
        <w:tc>
          <w:tcPr>
            <w:tcW w:type="dxa" w:w="3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Index Update</w:t>
            </w:r>
          </w:p>
        </w:tc>
        <w:tc>
          <w:tcPr>
            <w:tcW w:type="dxa" w:w="56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L3V3L_Business_Mastermind_Index.html to wire the Activate button to the deployed machine URL.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Log Update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this document: record accent colour, intake quantities, and any new resolved decisions.</w:t>
            </w:r>
          </w:p>
        </w:tc>
      </w:tr>
    </w:tbl>
    <w:p>
      <w:pPr>
        <w:spacing w:after="160" w:before="0"/>
      </w:pPr>
    </w:p>
    <w:p>
      <w:pPr>
        <w:pBdr>
          <w:bottom w:val="single" w:color="DDDDDD" w:sz="4" w:space="4"/>
        </w:pBdr>
        <w:spacing w:after="280" w:before="80"/>
      </w:pPr>
    </w:p>
    <w:p>
      <w:pPr>
        <w:pStyle w:val="Heading1"/>
        <w:pBdr>
          <w:bottom w:val="single" w:color="C8982E" w:sz="8" w:space="4"/>
        </w:pBdr>
        <w:spacing w:after="140" w:before="360"/>
      </w:pPr>
      <w:r>
        <w:rPr>
          <w:rFonts w:ascii="Arial" w:cs="Arial" w:eastAsia="Arial" w:hAnsi="Arial"/>
          <w:b/>
          <w:bCs/>
          <w:color w:val="1A1A1A"/>
          <w:sz w:val="34"/>
          <w:szCs w:val="34"/>
        </w:rPr>
        <w:t xml:space="preserve">Decision 7 — Open Items (Pending Resolution)</w:t>
      </w:r>
    </w:p>
    <w:p>
      <w:pPr>
        <w:spacing w:after="60" w:before="0"/>
      </w:pPr>
    </w:p>
    <w:p>
      <w:pPr>
        <w:spacing w:after="140" w:before="0"/>
      </w:pPr>
      <w:r>
        <w:rPr>
          <w:rFonts w:ascii="Arial" w:cs="Arial" w:eastAsia="Arial" w:hAnsi="Arial"/>
          <w:color w:val="1A1A1A"/>
          <w:sz w:val="21"/>
          <w:szCs w:val="21"/>
        </w:rPr>
        <w:t xml:space="preserve">The following items are not yet resolved and must be decided before the Netlify deployment of the Negotiation Machine and the build of subsequent machines: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160"/>
        <w:gridCol w:w="4760"/>
      </w:tblGrid>
      <w:tr>
        <w:trPr>
          <w:tblHeader/>
        </w:trPr>
        <w:tc>
          <w:tcPr>
            <w:tcW w:type="dxa" w:w="44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1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Open Item</w:t>
            </w:r>
          </w:p>
        </w:tc>
        <w:tc>
          <w:tcPr>
            <w:tcW w:type="dxa" w:w="4760"/>
            <w:tcBorders>
              <w:top w:val="single" w:color="CCCCCC" w:sz="1"/>
              <w:left w:val="single" w:color="CCCCCC" w:sz="1"/>
              <w:bottom w:val="single" w:color="CCCCCC" w:sz="1"/>
              <w:right w:val="single" w:color="CCCCCC" w:sz="1"/>
            </w:tcBorders>
            <w:shd w:fill="C8982E"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4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1</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Domain for Business Mastermind Suite — does it get its own domain, or share infrastructure with an existing property?</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Determines whether a new Netlify site is created or the existing level33tutorials.com Netlify account is extended.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Access model — API key entered by user (current), or Supabase-gated subscription (level33tutorials.com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 subscription-gated, adds Stripe + Supabase + Resend to the stack. If API-key model, much simpler but users must supply their own key.</w:t>
            </w:r>
          </w:p>
        </w:tc>
      </w:tr>
      <w:tr>
        <w:tc>
          <w:tcPr>
            <w:tcW w:type="dxa" w:w="4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1A1A"/>
                <w:sz w:val="19"/>
                <w:szCs w:val="19"/>
              </w:rPr>
              <w:t xml:space="preserve">3</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Machine accent colours for the remaining 11 machines — to be assigned and logged as each machine is built.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machine must have a distinct accent that works within the dark gold design system.</w:t>
            </w:r>
          </w:p>
        </w:tc>
      </w:tr>
    </w:tbl>
    <w:p>
      <w:pPr>
        <w:spacing w:after="200" w:before="0"/>
      </w:pPr>
    </w:p>
    <w:p>
      <w:pPr>
        <w:pStyle w:val="Heading1"/>
        <w:pBdr>
          <w:bottom w:val="single" w:sz="8" w:space="4" w:color="C8982E"/>
        </w:pBdr>
        <w:spacing w:before="400" w:after="140"/>
      </w:pPr>
      <w:r>
        <w:rPr>
          <w:rFonts w:ascii="Arial" w:cs="Arial" w:hAnsi="Arial"/>
          <w:b/>
          <w:sz w:val="34"/>
          <w:color w:val="1A1A1A"/>
        </w:rPr>
        <w:t>Addendum 2 – Supabase Edge Functions: The Production Proxy Architecture</w:t>
      </w:r>
    </w:p>
    <w:p>
      <w:pPr>
        <w:spacing w:before="0" w:after="140"/>
      </w:pPr>
      <w:r>
        <w:rPr>
          <w:rFonts w:ascii="Arial" w:cs="Arial" w:hAnsi="Arial"/>
          <w:sz w:val="21"/>
          <w:color w:val="1A1A1A"/>
          <w:i/>
        </w:rPr>
        <w:t>Confirmed during the Negotiation Machine build session (May 2026). This decision supersedes the Netlify serverless function proxy for all AI-response calls across all Business Mastermind machines. Apply from the first line of every future machine build.</w:t>
      </w:r>
    </w:p>
    <w:p>
      <w:pPr>
        <w:pStyle w:val="Heading2"/>
        <w:spacing w:before="280" w:after="100"/>
      </w:pPr>
      <w:r>
        <w:rPr>
          <w:rFonts w:ascii="Arial" w:cs="Arial" w:hAnsi="Arial"/>
          <w:b/>
          <w:sz w:val="26"/>
          <w:color w:val="C8982E"/>
        </w:rPr>
        <w:t>A9 – Netlify Has a Hard Network Timeout That Cannot Be Overridden</w:t>
      </w:r>
    </w:p>
    <w:p>
      <w:pPr>
        <w:pBdr>
          <w:left w:val="single" w:sz="6" w:space="100" w:color="8B1A1A"/>
        </w:pBdr>
        <w:shd w:val="clear" w:fill="FDF0F0"/>
        <w:spacing w:before="0" w:after="100"/>
        <w:ind w:left="200"/>
      </w:pPr>
      <w:r>
        <w:rPr>
          <w:rFonts w:ascii="Arial" w:cs="Arial" w:hAnsi="Arial"/>
          <w:b/>
          <w:sz w:val="21"/>
          <w:color w:val="8B1A1A"/>
        </w:rPr>
        <w:t xml:space="preserve">CONFIRMED PROBLEM:  </w:t>
      </w:r>
      <w:r>
        <w:rPr>
          <w:rFonts w:ascii="Arial" w:cs="Arial" w:hAnsi="Arial"/>
          <w:sz w:val="21"/>
          <w:color w:val="1A1A1A"/>
        </w:rPr>
        <w:t>Netlify Pro gives 26-second function timeouts. However, Netlify’s edge network has its own hard timeout upstream of the function setting – approximately 20–22 seconds – that cannot be overridden by netlify.toml, function configuration, or any other setting. At claude-sonnet output speeds of 100–150 tokens/second, any response above approximately 1200 tokens will 504 timeout. This was confirmed by binary search testing across 800, 1000, 1200, 1750, 2500, and 4000 token settings. The 504 error reads: “Inactivity Timeout: Too much time has passed without sending any data.”</w:t>
      </w:r>
    </w:p>
    <w:p>
      <w:pPr>
        <w:spacing w:before="80" w:after="100"/>
      </w:pPr>
      <w:r>
        <w:rPr>
          <w:rFonts w:ascii="Arial" w:cs="Arial" w:hAnsi="Arial"/>
          <w:b/>
          <w:sz w:val="21"/>
          <w:color w:val="1A1A1A"/>
        </w:rPr>
        <w:t xml:space="preserve">Cost of discovering this: </w:t>
      </w:r>
      <w:r>
        <w:rPr>
          <w:rFonts w:ascii="Arial" w:cs="Arial" w:hAnsi="Arial"/>
          <w:sz w:val="21"/>
          <w:color w:val="1A1A1A"/>
        </w:rPr>
        <w:t>Approximately 3 hours of token limit testing that could have been avoided. The Supabase Edge Function migration that solved it took 30 minutes. Do not repeat this path on any future machine.</w:t>
      </w:r>
    </w:p>
    <w:p>
      <w:pPr>
        <w:pStyle w:val="Heading2"/>
        <w:spacing w:before="280" w:after="100"/>
      </w:pPr>
      <w:r>
        <w:rPr>
          <w:rFonts w:ascii="Arial" w:cs="Arial" w:hAnsi="Arial"/>
          <w:b/>
          <w:sz w:val="26"/>
          <w:color w:val="C8982E"/>
        </w:rPr>
        <w:t>A10 – Supabase Edge Functions: The Correct Proxy Architecture</w:t>
      </w:r>
    </w:p>
    <w:p>
      <w:pPr>
        <w:pBdr>
          <w:left w:val="single" w:sz="6" w:space="100" w:color="1A6B2A"/>
        </w:pBdr>
        <w:shd w:val="clear" w:fill="EDF7EE"/>
        <w:spacing w:before="0" w:after="100"/>
        <w:ind w:left="200"/>
      </w:pPr>
      <w:r>
        <w:rPr>
          <w:rFonts w:ascii="Arial" w:cs="Arial" w:hAnsi="Arial"/>
          <w:b/>
          <w:sz w:val="21"/>
          <w:color w:val="1A6B2A"/>
        </w:rPr>
        <w:t xml:space="preserve">CONFIRMED SOLUTION:  </w:t>
      </w:r>
      <w:r>
        <w:rPr>
          <w:rFonts w:ascii="Arial" w:cs="Arial" w:hAnsi="Arial"/>
          <w:sz w:val="21"/>
          <w:color w:val="1A1A1A"/>
        </w:rPr>
        <w:t>All Anthropic API proxy calls for the Business Mastermind Suite use Supabase Edge Functions, not Netlify serverless functions. Edge Functions run on Deno and have no meaningful timeout constraint. The same call that timed out at 1200 tokens on Netlify completes a full 4000-token brief on Supabase Edge Functions without issue.</w:t>
      </w:r>
    </w:p>
    <w:p>
      <w:pPr>
        <w:spacing w:before="80" w:after="100"/>
      </w:pPr>
      <w:r>
        <w:rPr>
          <w:rFonts w:ascii="Arial" w:cs="Arial" w:hAnsi="Arial"/>
          <w:b/>
          <w:sz w:val="21"/>
          <w:color w:val="1A1A1A"/>
        </w:rPr>
        <w:t xml:space="preserve">Supabase project for Business Mastermind Suite: </w:t>
      </w:r>
      <w:r>
        <w:rPr>
          <w:rFonts w:ascii="Arial" w:cs="Arial" w:hAnsi="Arial"/>
          <w:sz w:val="21"/>
          <w:color w:val="1A1A1A"/>
        </w:rPr>
        <w:t>l3v3l-business-mastermind · https://wljxufilyobwpbavvwsr.supabase.co · Canada Central region · Separate from level33tutorials.com Supabase project (intentionally isolated).</w:t>
      </w:r>
    </w:p>
    <w:p>
      <w:pPr>
        <w:spacing w:before="80" w:after="100"/>
      </w:pPr>
      <w:r>
        <w:rPr>
          <w:rFonts w:ascii="Arial" w:cs="Arial" w:hAnsi="Arial"/>
          <w:b/>
          <w:sz w:val="21"/>
          <w:color w:val="1A1A1A"/>
        </w:rPr>
        <w:t xml:space="preserve">Negotiate Edge Function endpoint: </w:t>
      </w:r>
      <w:r>
        <w:rPr>
          <w:rFonts w:ascii="Arial" w:cs="Arial" w:hAnsi="Arial"/>
          <w:sz w:val="21"/>
          <w:color w:val="1A1A1A"/>
        </w:rPr>
        <w:t>https://wljxufilyobwpbavvwsr.supabase.co/functions/v1/negotiate</w:t>
      </w:r>
    </w:p>
    <w:p>
      <w:pPr>
        <w:pStyle w:val="Heading2"/>
        <w:spacing w:before="280" w:after="100"/>
      </w:pPr>
      <w:r>
        <w:rPr>
          <w:rFonts w:ascii="Arial" w:cs="Arial" w:hAnsi="Arial"/>
          <w:b/>
          <w:sz w:val="26"/>
          <w:color w:val="C8982E"/>
        </w:rPr>
        <w:t>A11 – Edge Function Build Pattern for Every New Machine</w:t>
      </w:r>
    </w:p>
    <w:p>
      <w:pPr>
        <w:spacing w:before="0" w:after="100"/>
      </w:pPr>
      <w:r>
        <w:rPr>
          <w:rFonts w:ascii="Arial" w:cs="Arial" w:hAnsi="Arial"/>
          <w:sz w:val="21"/>
          <w:color w:val="1A1A1A"/>
        </w:rPr>
        <w:t>Each new machine gets its own named Edge Function in the l3v3l-business-mastermind Supabase project. The function contains the machine’s system prompt as a server-side constant. The HTML calls the Supabase function URL directly. The pattern is identical across all machines – only the function name, endpoint URL, and system prompt change.</w:t>
      </w:r>
    </w:p>
    <w:p>
      <w:pPr>
        <w:spacing w:before="60" w:after="40"/>
        <w:ind w:left="720"/>
      </w:pPr>
      <w:r>
        <w:rPr>
          <w:rFonts w:ascii="Courier New" w:cs="Courier New" w:hAnsi="Courier New"/>
          <w:sz w:val="19"/>
          <w:color w:val="334455"/>
        </w:rPr>
        <w:t>Step 1: Open Supabase dashboard → l3v3l-business-mastermind → Edge Functions → Open Editor</w:t>
      </w:r>
    </w:p>
    <w:p>
      <w:pPr>
        <w:spacing w:before="0" w:after="40"/>
        <w:ind w:left="720"/>
      </w:pPr>
      <w:r>
        <w:rPr>
          <w:rFonts w:ascii="Courier New" w:cs="Courier New" w:hAnsi="Courier New"/>
          <w:sz w:val="19"/>
          <w:color w:val="334455"/>
        </w:rPr>
        <w:t>Step 2: Paste the machine's index.ts code (system prompt + Deno.serve proxy)</w:t>
      </w:r>
    </w:p>
    <w:p>
      <w:pPr>
        <w:spacing w:before="0" w:after="40"/>
        <w:ind w:left="720"/>
      </w:pPr>
      <w:r>
        <w:rPr>
          <w:rFonts w:ascii="Courier New" w:cs="Courier New" w:hAnsi="Courier New"/>
          <w:sz w:val="19"/>
          <w:color w:val="334455"/>
        </w:rPr>
        <w:t>Step 3: Set function name (e.g. "strategy", "optimize") → Deploy</w:t>
      </w:r>
    </w:p>
    <w:p>
      <w:pPr>
        <w:spacing w:before="0" w:after="40"/>
        <w:ind w:left="720"/>
      </w:pPr>
      <w:r>
        <w:rPr>
          <w:rFonts w:ascii="Courier New" w:cs="Courier New" w:hAnsi="Courier New"/>
          <w:sz w:val="19"/>
          <w:color w:val="334455"/>
        </w:rPr>
        <w:t>Step 4: Turn off "Verify JWT with legacy secret" in function Settings</w:t>
      </w:r>
    </w:p>
    <w:p>
      <w:pPr>
        <w:spacing w:before="0" w:after="40"/>
        <w:ind w:left="720"/>
      </w:pPr>
      <w:r>
        <w:rPr>
          <w:rFonts w:ascii="Courier New" w:cs="Courier New" w:hAnsi="Courier New"/>
          <w:sz w:val="19"/>
          <w:color w:val="334455"/>
        </w:rPr>
        <w:t>Step 5: Confirm ANTHROPIC_API_KEY is in project Secrets (set once, applies to all functions)</w:t>
      </w:r>
    </w:p>
    <w:p>
      <w:pPr>
        <w:spacing w:before="0" w:after="100"/>
        <w:ind w:left="720"/>
      </w:pPr>
      <w:r>
        <w:rPr>
          <w:rFonts w:ascii="Courier New" w:cs="Courier New" w:hAnsi="Courier New"/>
          <w:sz w:val="19"/>
          <w:color w:val="334455"/>
        </w:rPr>
        <w:t>Step 6: Update machine HTML fetch URL to https://wljxufilyobwpbavvwsr.supabase.co/functions/v1/[name]</w:t>
      </w:r>
    </w:p>
    <w:p>
      <w:pPr>
        <w:pStyle w:val="Heading2"/>
        <w:spacing w:before="280" w:after="100"/>
      </w:pPr>
      <w:r>
        <w:rPr>
          <w:rFonts w:ascii="Arial" w:cs="Arial" w:hAnsi="Arial"/>
          <w:b/>
          <w:sz w:val="26"/>
          <w:color w:val="C8982E"/>
        </w:rPr>
        <w:t>A12 – Updated Architecture Overview</w:t>
      </w:r>
    </w:p>
    <w:p>
      <w:pPr>
        <w:spacing w:before="0" w:after="100"/>
      </w:pPr>
      <w:r>
        <w:rPr>
          <w:rFonts w:ascii="Arial" w:cs="Arial" w:hAnsi="Arial"/>
          <w:sz w:val="21"/>
          <w:color w:val="1A1A1A"/>
        </w:rPr>
        <w:t>Decision 1 Section 1.4 is superseded by this addendum. The updated architecture for all Business Mastermind machines is:</w:t>
      </w:r>
    </w:p>
    <w:p>
      <w:pPr>
        <w:numPr>
          <w:ilvl w:val="0"/>
          <w:numId w:val="1"/>
        </w:numPr>
        <w:spacing w:before="40" w:after="80"/>
      </w:pPr>
      <w:r>
        <w:rPr>
          <w:rFonts w:ascii="Arial" w:cs="Arial" w:hAnsi="Arial"/>
          <w:sz w:val="21"/>
          <w:color w:val="1A1A1A"/>
        </w:rPr>
        <w:t>Frontend: Static HTML/CSS/JS – single file per machine, hosted on Netlify</w:t>
      </w:r>
    </w:p>
    <w:p>
      <w:pPr>
        <w:numPr>
          <w:ilvl w:val="0"/>
          <w:numId w:val="1"/>
        </w:numPr>
        <w:spacing w:before="40" w:after="80"/>
      </w:pPr>
      <w:r>
        <w:rPr>
          <w:rFonts w:ascii="Arial" w:cs="Arial" w:hAnsi="Arial"/>
          <w:sz w:val="21"/>
          <w:color w:val="1A1A1A"/>
        </w:rPr>
        <w:t>API Proxy: Supabase Edge Function (Deno) – one function per machine, no timeout constraint</w:t>
      </w:r>
    </w:p>
    <w:p>
      <w:pPr>
        <w:numPr>
          <w:ilvl w:val="0"/>
          <w:numId w:val="1"/>
        </w:numPr>
        <w:spacing w:before="40" w:after="80"/>
      </w:pPr>
      <w:r>
        <w:rPr>
          <w:rFonts w:ascii="Arial" w:cs="Arial" w:hAnsi="Arial"/>
          <w:sz w:val="21"/>
          <w:color w:val="1A1A1A"/>
        </w:rPr>
        <w:t>Secrets: ANTHROPIC_API_KEY stored in Supabase project secrets – applies to all Edge Functions automatically</w:t>
      </w:r>
    </w:p>
    <w:p>
      <w:pPr>
        <w:numPr>
          <w:ilvl w:val="0"/>
          <w:numId w:val="1"/>
        </w:numPr>
        <w:spacing w:before="40" w:after="80"/>
      </w:pPr>
      <w:r>
        <w:rPr>
          <w:rFonts w:ascii="Arial" w:cs="Arial" w:hAnsi="Arial"/>
          <w:sz w:val="21"/>
          <w:color w:val="1A1A1A"/>
        </w:rPr>
        <w:t>Netlify functions folder: retained in repo for potential future use but not used for AI proxy calls</w:t>
      </w:r>
    </w:p>
    <w:p>
      <w:pPr>
        <w:numPr>
          <w:ilvl w:val="0"/>
          <w:numId w:val="1"/>
        </w:numPr>
        <w:spacing w:before="40" w:after="80"/>
      </w:pPr>
      <w:r>
        <w:rPr>
          <w:rFonts w:ascii="Arial" w:cs="Arial" w:hAnsi="Arial"/>
          <w:sz w:val="21"/>
          <w:color w:val="1A1A1A"/>
        </w:rPr>
        <w:t>Domain: level33businessmastermind.com – registered at Cloudflare, pointed to Netlify via CNAME (domain connection step still pending)</w:t>
      </w:r>
    </w:p>
    <w:p>
      <w:pPr>
        <w:spacing w:before="200" w:after="140"/>
      </w:pPr>
      <w:r>
        <w:rPr>
          <w:rFonts w:ascii="Arial" w:cs="Arial" w:hAnsi="Arial"/>
          <w:sz w:val="18"/>
          <w:color w:val="888888"/>
          <w:i/>
        </w:rPr>
        <w:t xml:space="preserve">Addendum 2 added May 2026 – end of Negotiation Machine build session. Negotiation Machine v10 confirmed working with full 6-phase brief, 19 RTTR citations, no timeouts. level33businessmastermind.com domain connected and live. Next session: Strategy Machine build.</w:t>
      </w:r>
    </w:p>
    <w:p>
      <w:pPr>
        <w:pStyle w:val="Heading1"/>
        <w:pBdr>
          <w:bottom w:val="single" w:sz="8" w:space="4" w:color="C8982E"/>
        </w:pBdr>
        <w:spacing w:before="400" w:after="140"/>
      </w:pPr>
      <w:r>
        <w:rPr>
          <w:rFonts w:ascii="Arial" w:cs="Arial" w:hAnsi="Arial"/>
          <w:b/>
          <w:sz w:val="34"/>
          <w:color w:val="1A1A1A"/>
        </w:rPr>
        <w:t>Addendum 3 – Strategy Machine: Opening Notes for Next Build Session</w:t>
      </w:r>
    </w:p>
    <w:p>
      <w:pPr>
        <w:spacing w:before="0" w:after="140"/>
      </w:pPr>
      <w:r>
        <w:rPr>
          <w:rFonts w:ascii="Arial" w:cs="Arial" w:hAnsi="Arial"/>
          <w:sz w:val="21"/>
          <w:color w:val="1A1A1A"/>
          <w:i/>
        </w:rPr>
        <w:t>The Strategy Machine is the next machine to build. These notes establish the canonical source library and build approach before the session begins.</w:t>
      </w:r>
    </w:p>
    <w:p>
      <w:pPr>
        <w:pStyle w:val="Heading2"/>
        <w:spacing w:before="280" w:after="100"/>
      </w:pPr>
      <w:r>
        <w:rPr>
          <w:rFonts w:ascii="Arial" w:cs="Arial" w:hAnsi="Arial"/>
          <w:b/>
          <w:sz w:val="26"/>
          <w:color w:val="C8982E"/>
        </w:rPr>
        <w:t>Strategy Machine – Proposed Canonical Source Library</w:t>
      </w:r>
    </w:p>
    <w:p>
      <w:pPr>
        <w:spacing w:before="0" w:after="100"/>
      </w:pPr>
      <w:r>
        <w:rPr>
          <w:rFonts w:ascii="Arial" w:cs="Arial" w:hAnsi="Arial"/>
          <w:sz w:val="21"/>
          <w:color w:val="1A1A1A"/>
        </w:rPr>
        <w:t>The Strategy Machine draws on the most documented and attributable strategic frameworks in business literature. Proposed canon:</w:t>
      </w:r>
    </w:p>
    <w:p>
      <w:pPr>
        <w:numPr>
          <w:ilvl w:val="0"/>
          <w:numId w:val="1"/>
        </w:numPr>
        <w:spacing w:before="40" w:after="80"/>
      </w:pPr>
      <w:r>
        <w:rPr>
          <w:rFonts w:ascii="Arial" w:cs="Arial" w:hAnsi="Arial"/>
          <w:sz w:val="21"/>
          <w:color w:val="1A1A1A"/>
        </w:rPr>
        <w:t>Michael Porter – Competitive Strategy (1980); Competitive Advantage (1985); What Is Strategy? (HBR, 1996)</w:t>
      </w:r>
    </w:p>
    <w:p>
      <w:pPr>
        <w:numPr>
          <w:ilvl w:val="0"/>
          <w:numId w:val="1"/>
        </w:numPr>
        <w:spacing w:before="40" w:after="80"/>
      </w:pPr>
      <w:r>
        <w:rPr>
          <w:rFonts w:ascii="Arial" w:cs="Arial" w:hAnsi="Arial"/>
          <w:sz w:val="21"/>
          <w:color w:val="1A1A1A"/>
        </w:rPr>
        <w:t>Richard Rumelt – Good Strategy Bad Strategy (2011); The Crux (2022)</w:t>
      </w:r>
    </w:p>
    <w:p>
      <w:pPr>
        <w:numPr>
          <w:ilvl w:val="0"/>
          <w:numId w:val="1"/>
        </w:numPr>
        <w:spacing w:before="40" w:after="80"/>
      </w:pPr>
      <w:r>
        <w:rPr>
          <w:rFonts w:ascii="Arial" w:cs="Arial" w:hAnsi="Arial"/>
          <w:sz w:val="21"/>
          <w:color w:val="1A1A1A"/>
        </w:rPr>
        <w:t>W. Chan Kim &amp; Renée Mauborgne – Blue Ocean Strategy (2005); Blue Ocean Shift (2017)</w:t>
      </w:r>
    </w:p>
    <w:p>
      <w:pPr>
        <w:numPr>
          <w:ilvl w:val="0"/>
          <w:numId w:val="1"/>
        </w:numPr>
        <w:spacing w:before="40" w:after="80"/>
      </w:pPr>
      <w:r>
        <w:rPr>
          <w:rFonts w:ascii="Arial" w:cs="Arial" w:hAnsi="Arial"/>
          <w:sz w:val="21"/>
          <w:color w:val="1A1A1A"/>
        </w:rPr>
        <w:t>Roger Martin – Playing to Win (2013); The Execution Trap (HBR, 2010)</w:t>
      </w:r>
    </w:p>
    <w:p>
      <w:pPr>
        <w:numPr>
          <w:ilvl w:val="0"/>
          <w:numId w:val="1"/>
        </w:numPr>
        <w:spacing w:before="40" w:after="80"/>
      </w:pPr>
      <w:r>
        <w:rPr>
          <w:rFonts w:ascii="Arial" w:cs="Arial" w:hAnsi="Arial"/>
          <w:sz w:val="21"/>
          <w:color w:val="1A1A1A"/>
        </w:rPr>
        <w:t>Clayton Christensen – The Innovator’s Dilemma (1997); Jobs to Be Done framework</w:t>
      </w:r>
    </w:p>
    <w:p>
      <w:pPr>
        <w:numPr>
          <w:ilvl w:val="0"/>
          <w:numId w:val="1"/>
        </w:numPr>
        <w:spacing w:before="40" w:after="80"/>
      </w:pPr>
      <w:r>
        <w:rPr>
          <w:rFonts w:ascii="Arial" w:cs="Arial" w:hAnsi="Arial"/>
          <w:sz w:val="21"/>
          <w:color w:val="1A1A1A"/>
        </w:rPr>
        <w:t>Henry Mintzberg – The Rise and Fall of Strategic Planning (1994); Strategy Safari (1998)</w:t>
      </w:r>
    </w:p>
    <w:p>
      <w:pPr>
        <w:numPr>
          <w:ilvl w:val="0"/>
          <w:numId w:val="1"/>
        </w:numPr>
        <w:spacing w:before="40" w:after="80"/>
      </w:pPr>
      <w:r>
        <w:rPr>
          <w:rFonts w:ascii="Arial" w:cs="Arial" w:hAnsi="Arial"/>
          <w:sz w:val="21"/>
          <w:color w:val="1A1A1A"/>
        </w:rPr>
        <w:t>Geoffrey Moore – Crossing the Chasm (1991); Zone to Win (2015)</w:t>
      </w:r>
    </w:p>
    <w:p>
      <w:pPr>
        <w:numPr>
          <w:ilvl w:val="0"/>
          <w:numId w:val="1"/>
        </w:numPr>
        <w:spacing w:before="40" w:after="100"/>
      </w:pPr>
      <w:r>
        <w:rPr>
          <w:rFonts w:ascii="Arial" w:cs="Arial" w:hAnsi="Arial"/>
          <w:sz w:val="21"/>
          <w:color w:val="1A1A1A"/>
        </w:rPr>
        <w:t>Sun Tzu – The Art of War (strategic positioning elements — already in Negotiation RTTR library, applicable here with different emphasis)</w:t>
      </w:r>
    </w:p>
    <w:p>
      <w:pPr>
        <w:pStyle w:val="Heading2"/>
        <w:spacing w:before="280" w:after="100"/>
      </w:pPr>
      <w:r>
        <w:rPr>
          <w:rFonts w:ascii="Arial" w:cs="Arial" w:hAnsi="Arial"/>
          <w:b/>
          <w:sz w:val="26"/>
          <w:color w:val="C8982E"/>
        </w:rPr>
        <w:t>Strategy Machine – Build Session Start Checklist</w:t>
      </w:r>
    </w:p>
    <w:p>
      <w:pPr>
        <w:numPr>
          <w:ilvl w:val="0"/>
          <w:numId w:val="1"/>
        </w:numPr>
        <w:spacing w:before="40" w:after="80"/>
      </w:pPr>
      <w:r>
        <w:rPr>
          <w:rFonts w:ascii="Arial" w:cs="Arial" w:hAnsi="Arial"/>
          <w:sz w:val="21"/>
          <w:color w:val="1A1A1A"/>
        </w:rPr>
        <w:t>Upload this log document to confirm architecture decisions before writing any code</w:t>
      </w:r>
    </w:p>
    <w:p>
      <w:pPr>
        <w:numPr>
          <w:ilvl w:val="0"/>
          <w:numId w:val="1"/>
        </w:numPr>
        <w:spacing w:before="40" w:after="80"/>
      </w:pPr>
      <w:r>
        <w:rPr>
          <w:rFonts w:ascii="Arial" w:cs="Arial" w:hAnsi="Arial"/>
          <w:sz w:val="21"/>
          <w:color w:val="1A1A1A"/>
        </w:rPr>
        <w:t>Confirm Strategy Machine accent colour (TBD — must work within dark gold design system)</w:t>
      </w:r>
    </w:p>
    <w:p>
      <w:pPr>
        <w:numPr>
          <w:ilvl w:val="0"/>
          <w:numId w:val="1"/>
        </w:numPr>
        <w:spacing w:before="40" w:after="80"/>
      </w:pPr>
      <w:r>
        <w:rPr>
          <w:rFonts w:ascii="Arial" w:cs="Arial" w:hAnsi="Arial"/>
          <w:sz w:val="21"/>
          <w:color w:val="1A1A1A"/>
        </w:rPr>
        <w:t>Build sequence: Strategy RTTR Spec doc → Machine Spec doc → HTML file → Supabase Edge Function (named “strategy”) → Deploy → Wire index Activate button</w:t>
      </w:r>
    </w:p>
    <w:p>
      <w:pPr>
        <w:numPr>
          <w:ilvl w:val="0"/>
          <w:numId w:val="1"/>
        </w:numPr>
        <w:spacing w:before="40" w:after="80"/>
      </w:pPr>
      <w:r>
        <w:rPr>
          <w:rFonts w:ascii="Arial" w:cs="Arial" w:hAnsi="Arial"/>
          <w:sz w:val="21"/>
          <w:color w:val="1A1A1A"/>
        </w:rPr>
        <w:t>HTML file goes in l3v3l-business-mastermind repo root. Edge Function goes in wljxufilyobwpbavvwsr.supabase.co. Index button update goes in l3v3l-business-mastermind-index repo.</w:t>
      </w:r>
    </w:p>
    <w:p>
      <w:pPr>
        <w:spacing w:before="200" w:after="140"/>
      </w:pPr>
      <w:r>
        <w:rPr>
          <w:rFonts w:ascii="Arial" w:cs="Arial" w:hAnsi="Arial"/>
          <w:sz w:val="18"/>
          <w:color w:val="888888"/>
          <w:i/>
        </w:rPr>
        <w:t xml:space="preserve">Addendum 3 added May 2026 – end of Session 1. Confirm and expand Strategy Machine canon at start of Session 2.</w:t>
      </w:r>
    </w:p>
    <w:p>
      <w:pPr>
        <w:spacing w:after="60" w:before="0"/>
      </w:pPr>
      <w:r>
        <w:rPr>
          <w:rFonts w:ascii="Arial" w:cs="Arial" w:eastAsia="Arial" w:hAnsi="Arial"/>
          <w:color w:val="888888"/>
          <w:sz w:val="18"/>
          <w:szCs w:val="18"/>
        </w:rPr>
        <w:t xml:space="preserve">L3V3L Business Mastermind Suite — Build Decisions Log — Living Document</w:t>
      </w:r>
    </w:p>
    <w:p>
      <w:r>
        <w:rPr>
          <w:rFonts w:ascii="Arial" w:cs="Arial" w:eastAsia="Arial" w:hAnsi="Arial"/>
          <w:color w:val="888888"/>
          <w:sz w:val="18"/>
          <w:szCs w:val="18"/>
        </w:rPr>
        <w:t xml:space="preserve">Confidential — The Good Gate Publishing / Wadontei:io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C898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2026-05-25T00:51:28.409Z</dcterms:created>
  <dcterms:modified xsi:type="dcterms:W3CDTF">2026-05-25T00:51:28.419Z</dcterms:modified>
</cp:coreProperties>
</file>

<file path=docProps/custom.xml><?xml version="1.0" encoding="utf-8"?>
<Properties xmlns="http://schemas.openxmlformats.org/officeDocument/2006/custom-properties" xmlns:vt="http://schemas.openxmlformats.org/officeDocument/2006/docPropsVTypes"/>
</file>