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L3V3L Business Mastermind Suite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C8982E"/>
          <w:sz w:val="36"/>
          <w:szCs w:val="36"/>
        </w:rPr>
        <w:t xml:space="preserve">Build Decisions Log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Authoritative record of resolved technical, architectural, and design decisions for all machine builds. Consult before starting any new machine build to avoid re-litigating known solutions.</w:t>
      </w:r>
    </w:p>
    <w:p>
      <w:pPr>
        <w:pBdr>
          <w:bottom w:val="single" w:color="C8982E" w:sz="8" w:space="4"/>
        </w:pBdr>
        <w:spacing w:after="60" w:before="0"/>
      </w:pPr>
    </w:p>
    <w:p>
      <w:pPr>
        <w:spacing w:after="12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Maintained by: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Good Gate Publishing / Wadontei:io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Applies to: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L3V3L Business Mastermind Suite — all machine builds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Last updated: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May 2026 — Negotiation Machine build</w:t>
      </w:r>
    </w:p>
    <w:p>
      <w:pPr>
        <w:spacing w:after="480" w:before="0"/>
      </w:pP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Confidential — The Good Gate Publishing</w:t>
      </w:r>
    </w:p>
    <w:p>
      <w:pPr>
        <w:spacing w:after="200" w:before="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1 — Deployment Architecture</w:t>
      </w:r>
    </w:p>
    <w:p>
      <w:pPr>
        <w:spacing w:after="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1.1  The Problem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L3V3L machine build requires calls to the Anthropic API. When an HTML file is opened by double-clicking from the local filesystem, the browser runs it under the file:// protocol. Modern browsers block all fetch() calls to external APIs from file:// origin — this is called a CORS (Cross-Origin Resource Sharing) block. The error message is:</w:t>
      </w:r>
    </w:p>
    <w:p>
      <w:pPr>
        <w:spacing w:after="40" w:before="0"/>
      </w:pPr>
    </w:p>
    <w:p>
      <w:pPr>
        <w:pBdr>
          <w:left w:val="single" w:color="C8982E" w:sz="8" w:space="120"/>
        </w:pBdr>
        <w:shd w:fill="FFF8E7" w:val="clear"/>
        <w:spacing w:after="140" w:before="140"/>
        <w:ind w:left="72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Access to fetch at 'https://api.anthropic.com/v1/messages' from origin 'null' has been blocked by CORS policy: Response to preflight request doesn't pass access control check: No 'Access-Control-Allow-Origin' header is present on the requested resource.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1.2  Solutions Tried and Rejected</w:t>
      </w:r>
    </w:p>
    <w:p>
      <w:pPr>
        <w:spacing w:after="4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Python Local Server (Rejected for production)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Works for local testing only. Requires Terminal to remain open, requires the user to run command-line instructions, and provides no path to deployment for real users. Useful only as a last-resort testing tool when building on a machine without internet access.</w:t>
      </w:r>
    </w:p>
    <w:p>
      <w:pPr>
        <w:pBdr>
          <w:left w:val="single" w:color="8B1A1A" w:sz="6" w:space="100"/>
        </w:pBdr>
        <w:shd w:fill="FD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DO NOT USE: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python3 -m http.server 8000 — do not use as a build target for any machine. Local testing only.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CORS Proxy Services (Rejected)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Third-party CORS proxies such as corsproxy.io and allorigins.win strip authentication headers (x-api-key) before forwarding to the Anthropic API, producing a 401 Unauthorized error. These services are unreliable, slow, and not suitable for a professional product.</w:t>
      </w:r>
    </w:p>
    <w:p>
      <w:pPr>
        <w:pBdr>
          <w:left w:val="single" w:color="8B1A1A" w:sz="6" w:space="100"/>
        </w:pBdr>
        <w:shd w:fill="FDF0F0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DO NOT USE: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corsproxy.io, allorigins.win, or any third-party CORS proxy — they strip x-api-key headers.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1.3  The Resolved Solution — Netlify + Serverless Function Proxy</w:t>
      </w:r>
    </w:p>
    <w:p>
      <w:pPr>
        <w:spacing w:after="40" w:before="0"/>
      </w:pPr>
    </w:p>
    <w:p>
      <w:pPr>
        <w:pBdr>
          <w:left w:val="single" w:color="1A6B2A" w:sz="6" w:space="100"/>
        </w:pBdr>
        <w:shd w:fill="EDF7EE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RESOLVED DECISION: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L3V3L machines are built as Netlify-hosted services with a serverless function (netlify/functions/generate.js or equivalent) that proxies all Anthropic API calls server-side. The browser never calls the Anthropic API directly. The API key lives only in Netlify environment variables and never touches the client.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architecture already running successfully at level33tutorials.com (the PrecisionStep Tutorials SaaS product). It is the proven production pattern for this entire suite.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1.4  Architecture Overview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HTML/CSS/JS — single file per machine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UI, intake, output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Netlify (free tier sufficient)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Serves the HTML file over HTTPS, no CORS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Proxy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Netlify Serverless Function (Node.js)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Receives browser requests, forwards to Anthropic with API key, returns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Secrets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Netlify Environment Variables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ANTHROPIC_API_KEY stored server-side only, never in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Domain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Cloudflare Registrar — to be confirmed per suite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domain pointed to Netlify via CNAME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1.5  Serverless Function Pattern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machine's Netlify function follows this exact pattern — adapted from the working level33tutorials.com generate.js:</w:t>
      </w:r>
    </w:p>
    <w:p>
      <w:pPr>
        <w:spacing w:after="60" w:before="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// netlify/functions/negotiate.js (or machine-specific name)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exports.handler = async (event) =&gt;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if (event.httpMethod === 'OPTIONS') return corsOK();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const { messages, system, max_tokens, model } = JSON.parse(event.body);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const res = await fetch('https://api.anthropic.com/v1/messages',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method: 'POST',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headers: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  'Content-Type': 'application/json',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  'x-api-key': process.env.ANTHROPIC_API_KEY,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  'anthropic-version': '2023-06-01'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  body: JSON.stringify({ model, max_tokens, system, messages 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const data = await res.json();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  return { statusCode: res.status, headers: corsJson(), body: JSON.stringify(data) };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4455"/>
          <w:sz w:val="19"/>
          <w:szCs w:val="19"/>
        </w:rPr>
        <w:t xml:space="preserve">};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browser-side fetch calls /api/negotiate (or machine-specific path) — never api.anthropic.com directly. netlify.toml maps the /api/* path to the function.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1.6  Netlify Environment Variables Required Per Machine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sk-ant-...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 as Secret. Scopes: all available.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Additional variables (Supabase, Stripe, Resend) are added when the machine requires auth, payments, or email — as built for level33tutorials.com.</w:t>
      </w:r>
    </w:p>
    <w:p>
      <w:pPr>
        <w:spacing w:after="160" w:before="0"/>
      </w:pPr>
    </w:p>
    <w:p>
      <w:pPr>
        <w:pBdr>
          <w:bottom w:val="single" w:color="DDDDDD" w:sz="4" w:space="4"/>
        </w:pBdr>
        <w:spacing w:after="280" w:before="8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2 — Visual Design System</w:t>
      </w:r>
    </w:p>
    <w:p>
      <w:pPr>
        <w:spacing w:after="60" w:before="0"/>
      </w:pPr>
    </w:p>
    <w:p>
      <w:pPr>
        <w:pBdr>
          <w:left w:val="single" w:color="1A6B2A" w:sz="6" w:space="100"/>
        </w:pBdr>
        <w:shd w:fill="EDF7EE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RESOLVED DECISION: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L3V3L Business Mastermind machines share a single design system. Never deviate from these parameters without a documented decision.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2.1  CSS Variables (Canonical)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#f0c040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accent — logo, active states, primary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--gold-mid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#c8982e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Button borders, active card borders, badge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--gold-dim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#8a7040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Dimmed gold — inactive chevrons, secondary labels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--gold-dark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#5a4820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Button background gradient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#06060a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#0f0f18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card / panel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--card-dark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#090912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 card / input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#252535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Default border colour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--border-act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#7a6030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Active / focused border colour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#f0f0fa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--text-mid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#b0b0c8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Secondary / descriptive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--text-dim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#7878a0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Tertiary / label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--text-faint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#555570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Placeholder / decorative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--white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#f8f8ff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Near-white for headings and emphasis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2.2  Machine-Specific Accent Colours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machine carries a secondary accent colour applied to its intake badges, classification banners, inline citations, and output section headers. The base gold design system is always preserved — the machine accent is a layer on top.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Accent 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Negotiation Machine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#B8860B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Burnished amber — established in RTTR spec and machine build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All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TBD per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 be assigned and logged here as each machine is built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2.3  Typography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Cinzel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Brand mark (L3V3L), machine titles, button labels, section headers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Crimson 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Body text, question text, descriptions, brief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Share Tech Mono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Labels, badges, tags, code, tier indicators, RTTR citations</w:t>
            </w:r>
          </w:p>
        </w:tc>
      </w:tr>
    </w:tbl>
    <w:p>
      <w:pPr>
        <w:spacing w:after="140" w:before="0"/>
      </w:pPr>
    </w:p>
    <w:p>
      <w:pPr>
        <w:pBdr>
          <w:left w:val="single" w:color="C8982E" w:sz="8" w:space="120"/>
        </w:pBdr>
        <w:shd w:fill="FFF8E7" w:val="clear"/>
        <w:spacing w:after="140" w:before="140"/>
        <w:ind w:left="72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Google Fonts import line — always include all three: @import url('https://fonts.googleapis.com/css2?family=Cinzel:wght@400;600;800&amp;family=Crimson+Pro:ital,wght@0,300;0,400;1,300;1,400&amp;family=Share+Tech+Mono&amp;display=swap');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2.4  Standard UI Components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Primary button: dark amber gradient (#2e2208 to #1e1606), --gold-mid border, Cinzel 10px, 4px letter-spacing, uppercase. Hover: lighter gradient, --gold border, white text.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Secondary button: transparent background, --border border, Share Tech Mono 8px, 2px letter-spacing, uppercase.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Input / textarea: --card-dark background, --border border, Crimson Pro, focus state uses --border-act border.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Progress bar: 2px height, gradient from --gold-dark to machine accent colour.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Ambient glow: three fixed radial gradients — top-left gold, bottom-right blue, mid-left gold. Always present behind all content.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Row divider: 1px linear-gradient horizontal rule — transparent to --border to transparent.</w:t>
      </w:r>
    </w:p>
    <w:p>
      <w:pPr>
        <w:spacing w:after="160" w:before="0"/>
      </w:pPr>
    </w:p>
    <w:p>
      <w:pPr>
        <w:pBdr>
          <w:bottom w:val="single" w:color="DDDDDD" w:sz="4" w:space="4"/>
        </w:pBdr>
        <w:spacing w:after="280" w:before="8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3 — Document Formatting Preferences</w:t>
      </w:r>
    </w:p>
    <w:p>
      <w:pPr>
        <w:spacing w:after="60" w:before="0"/>
      </w:pPr>
    </w:p>
    <w:p>
      <w:pPr>
        <w:pBdr>
          <w:left w:val="single" w:color="1A6B2A" w:sz="6" w:space="100"/>
        </w:pBdr>
        <w:shd w:fill="EDF7EE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RESOLVED DECISION: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Word documents drafted for Jamie use en dash (–) not em dash (—). No page breaks are inserted — Jamie places them manually based on his own graphic design sensibilities.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rules apply to every .docx file produced — specification documents, delineation documents, suite overviews, and any other formatted output.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Never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Dash 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dash 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 dash — (produces overly heavy typography)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Page breaks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None — Jamie inserts manually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Never insert PageBreak() in any document build script</w:t>
            </w:r>
          </w:p>
        </w:tc>
      </w:tr>
    </w:tbl>
    <w:p>
      <w:pPr>
        <w:spacing w:after="160" w:before="0"/>
      </w:pPr>
    </w:p>
    <w:p>
      <w:pPr>
        <w:pBdr>
          <w:bottom w:val="single" w:color="DDDDDD" w:sz="4" w:space="4"/>
        </w:pBdr>
        <w:spacing w:after="280" w:before="8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4 — Machine Intake Architecture</w:t>
      </w:r>
    </w:p>
    <w:p>
      <w:pPr>
        <w:spacing w:after="60" w:before="0"/>
      </w:pPr>
    </w:p>
    <w:p>
      <w:pPr>
        <w:pBdr>
          <w:left w:val="single" w:color="1A6B2A" w:sz="6" w:space="100"/>
        </w:pBdr>
        <w:shd w:fill="EDF7EE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RESOLVED DECISION: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L3V3L Business Mastermind machines use an adaptive two-layer intake. Layer 1 is a fixed set of classification questions. Layer 2 is adaptively generated by the machine from Layer 1 answers via an API call. Layer 1 quantity and Layer 2 quantity are set per machine based on complexity.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4.1  Negotiation Machine — Established Quantities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Layer 1 — 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(fixed)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6 CRITICAL tier. Q6 is the open intelligence field — machine weights it heavily for Layer 2 generation and negotiation type classification.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Layer 2 — Deep Preparation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(adaptive)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Generated by API call from Layer 1 answers. Tailored to negotiation type, counterpart profile, and Q6 signals. Never a fixed 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Total maximum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Intelligence Brief requires 8-10 Layer 2 answers. Emergency Brief requires Layer 1 only.</w:t>
            </w:r>
          </w:p>
        </w:tc>
      </w:tr>
    </w:tbl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time-pressure instruction displayed to users: "Complete as many questions as your time allows. The machine will generate the most powerful brief possible from whatever you provide. If you have four minutes, complete all six Layer 1 questions and as many Layer 2 questions as time permits — Layer 1 alone is sufficient for an Emergency Brief."</w:t>
      </w:r>
    </w:p>
    <w:p>
      <w:pPr>
        <w:spacing w:after="8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82E"/>
          <w:sz w:val="26"/>
          <w:szCs w:val="26"/>
        </w:rPr>
        <w:t xml:space="preserve">4.2  Other Machines — Intake Quantity Reference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Business Mastermind Index file (L3V3L_Business_Mastermind_Index.html) records the current intake badge for each machine. These were the confirmed quantities as of the index build: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Machine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Badge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Strategy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Marketing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Layer 1 → 10 Layer 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BUILT — v3 file. Two-layer adaptive architecture.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Acceleration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Market Gaps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Extrapolation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Competition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Shifts + Trends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Game Theory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Scenario Planning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Crisis Navigation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Seed → 12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only — machine not yet built</w:t>
            </w:r>
          </w:p>
        </w:tc>
      </w:tr>
    </w:tbl>
    <w:p>
      <w:pPr>
        <w:spacing w:after="80" w:before="0"/>
      </w:pPr>
    </w:p>
    <w:p>
      <w:pPr>
        <w:pBdr>
          <w:left w:val="single" w:color="C8982E" w:sz="8" w:space="120"/>
        </w:pBdr>
        <w:shd w:fill="FFF8E7" w:val="clear"/>
        <w:spacing w:after="140" w:before="140"/>
        <w:ind w:left="72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Note: Index badges say "Seed → Custom" — this was the earlier design language before the two-layer adaptive architecture was formalised with the Negotiation Machine. When each machine is built, the intake architecture follows the two-layer adaptive pattern with quantities confirmed at build time and logged here.</w:t>
      </w:r>
    </w:p>
    <w:p>
      <w:pPr>
        <w:spacing w:after="160" w:before="0"/>
      </w:pPr>
    </w:p>
    <w:p>
      <w:pPr>
        <w:pBdr>
          <w:bottom w:val="single" w:color="DDDDDD" w:sz="4" w:space="4"/>
        </w:pBdr>
        <w:spacing w:after="280" w:before="8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5 — File Naming and Version Control</w:t>
      </w:r>
    </w:p>
    <w:p>
      <w:pPr>
        <w:spacing w:after="60" w:before="0"/>
      </w:pPr>
    </w:p>
    <w:p>
      <w:pPr>
        <w:pBdr>
          <w:left w:val="single" w:color="1A6B2A" w:sz="6" w:space="100"/>
        </w:pBdr>
        <w:shd w:fill="EDF7EE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6B2A"/>
          <w:sz w:val="21"/>
          <w:szCs w:val="21"/>
        </w:rPr>
        <w:t xml:space="preserve">RESOLVED DECISION: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All machine HTML files are named with a version suffix: L3V3L_[MachineName]_Machine_v[N].html. Version numbers increment with each build iteration. Jamie maintains his own copy history on his desktop.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Negotiation Machine: L3V3L_Negotiation_Machine_v3.html (current)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Index file: L3V3L_Business_Mastermind_Index.html (no version suffix — single master file)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Specification documents: L3V3L_[MachineName]_Machine_Specification.docx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RTTR documents: L3V3L_[MachineName]_RTTR_Specification.docx</w:t>
      </w:r>
    </w:p>
    <w:p>
      <w:pPr>
        <w:spacing w:after="160" w:before="0"/>
      </w:pPr>
    </w:p>
    <w:p>
      <w:pPr>
        <w:pBdr>
          <w:bottom w:val="single" w:color="DDDDDD" w:sz="4" w:space="4"/>
        </w:pBdr>
        <w:spacing w:after="280" w:before="8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6 — Machine Build Sequence</w:t>
      </w:r>
    </w:p>
    <w:p>
      <w:pPr>
        <w:spacing w:after="6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Negotiation Machine established the canonical build sequence for all future machines. Follow this order for every new machine: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RTTR Specification Document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Knowledge base first. Web-searched, legally attributed. Defines the canonical source library the machine draws from.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Machine Specification Document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Architectural spec: intake protocol, output architecture, adjudication framework, citation format. Built from the RTTR document.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Machine HTML File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Single self-contained HTML file. Two-layer adaptive intake. Netlify serverless function for API proxy. Built to spec.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Netlify Deployment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 to Netlify. Set ANTHROPIC_API_KEY environment variable. Test full intake and brief generation flow.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Index Update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L3V3L_Business_Mastermind_Index.html to wire the Activate button to the deployed machine URL.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Update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this document: record accent colour, intake quantities, and any new resolved decisions.</w:t>
            </w:r>
          </w:p>
        </w:tc>
      </w:tr>
    </w:tbl>
    <w:p>
      <w:pPr>
        <w:spacing w:after="160" w:before="0"/>
      </w:pPr>
    </w:p>
    <w:p>
      <w:pPr>
        <w:pBdr>
          <w:bottom w:val="single" w:color="DDDDDD" w:sz="4" w:space="4"/>
        </w:pBdr>
        <w:spacing w:after="280" w:before="80"/>
      </w:pPr>
    </w:p>
    <w:p>
      <w:pPr>
        <w:pStyle w:val="Heading1"/>
        <w:pBdr>
          <w:bottom w:val="single" w:color="C8982E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Decision 7 — Open Items (Pending Resolution)</w:t>
      </w:r>
    </w:p>
    <w:p>
      <w:pPr>
        <w:spacing w:after="60" w:before="0"/>
      </w:pPr>
    </w:p>
    <w:p>
      <w:pPr>
        <w:spacing w:after="140" w:before="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following items are not yet resolved and must be decided before the Netlify deployment of the Negotiation Machine and the build of subsequent machines: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160"/>
        <w:gridCol w:w="4760"/>
      </w:tblGrid>
      <w:tr>
        <w:trPr>
          <w:tblHeader/>
        </w:trP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Item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8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Domain for Business Mastermind Suite — does it get its own domain, or share infrastructure with an existing property?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Determines whether a new Netlify site is created or the existing level33tutorials.com Netlify account is extended.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Access model — API key entered by user (current), or Supabase-gated subscription (level33tutorials.com model)?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If subscription-gated, adds Stripe + Supabase + Resend to the stack. If API-key model, much simpler but users must supply their own key.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Machine accent colours for the remaining 11 machines — to be assigned and logged as each machine is built.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Each machine must have a distinct accent that works within the dark gold design system.</w:t>
            </w:r>
          </w:p>
        </w:tc>
      </w:tr>
    </w:tbl>
    <w:p>
      <w:pPr>
        <w:spacing w:after="200" w:before="0"/>
      </w:pPr>
    </w:p>
    <w:p>
      <w:pPr>
        <w:spacing w:after="6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L3V3L Business Mastermind Suite — Build Decisions Log — Living Document</w:t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Confidential — The Good Gate Publishing / Wadontei:io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898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2026-05-25T00:51:28.409Z</dcterms:created>
  <dcterms:modified xsi:type="dcterms:W3CDTF">2026-05-25T00:51:28.419Z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