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2"/>
          <w:szCs w:val="32"/>
        </w:rPr>
        <w:t xml:space="preserve">L3V3L BUSINESS MASTERMIND SUITE</w:t>
      </w:r>
    </w:p>
    <w:p>
      <w:pPr>
        <w:spacing w:after="60" w:before="0"/>
        <w:jc w:val="center"/>
      </w:pPr>
      <w:r>
        <w:rPr>
          <w:b/>
          <w:bCs/>
          <w:color w:val="B8860B"/>
          <w:sz w:val="40"/>
          <w:szCs w:val="40"/>
        </w:rPr>
        <w:t xml:space="preserve">MARKETING MACHINE</w:t>
      </w:r>
    </w:p>
    <w:p>
      <w:pPr>
        <w:spacing w:after="60" w:before="0"/>
        <w:jc w:val="center"/>
      </w:pPr>
      <w:r>
        <w:rPr>
          <w:b/>
          <w:bCs/>
          <w:sz w:val="28"/>
          <w:szCs w:val="28"/>
        </w:rPr>
        <w:t xml:space="preserve">MACHINE SPECIFICATION</w:t>
      </w:r>
    </w:p>
    <w:p>
      <w:pPr>
        <w:spacing w:after="200" w:before="0"/>
        <w:jc w:val="center"/>
      </w:pPr>
      <w:r>
        <w:rPr>
          <w:i/>
          <w:iCs/>
          <w:sz w:val="20"/>
          <w:szCs w:val="20"/>
        </w:rPr>
        <w:t xml:space="preserve">Version 1.0   |   2026-05-26   |   The Good Gate Publishing / Wadontei:io</w:t>
      </w:r>
    </w:p>
    <w:p>
      <w:pPr>
        <w:pBdr>
          <w:bottom w:val="single" w:color="B8860B" w:sz="6" w:space="1"/>
        </w:pBdr>
        <w:spacing w:after="200" w:before="200"/>
      </w:pPr>
      <w:r>
        <w:t xml:space="preserve"/>
      </w:r>
    </w:p>
    <w:p>
      <w:pPr>
        <w:pStyle w:val="Heading1"/>
        <w:spacing w:after="140" w:before="280"/>
      </w:pPr>
      <w:r>
        <w:rPr>
          <w:b/>
          <w:bCs/>
        </w:rPr>
        <w:t xml:space="preserve">1. MACHINE PURPOSE AND POSITIONING</w:t>
      </w:r>
    </w:p>
    <w:p>
      <w:pPr>
        <w:spacing w:after="80" w:before="80"/>
      </w:pPr>
      <w:r>
        <w:rPr>
          <w:sz w:val="22"/>
          <w:szCs w:val="22"/>
        </w:rPr>
        <w:t xml:space="preserve">The Marketing Machine is a Tier 1 machine in the L3V3L Business Mastermind Suite. It serves corporate leaders, founders, and marketing executives who need rigorous, structured marketing intelligence -- not generic advice, but a diagnostic process that maps their current market position across the 7 P's framework, identifies where the real marketing problem lives, and produces a targeted Marketing Intelligence Brief with prioritised actions.</w:t>
      </w:r>
    </w:p>
    <w:p>
      <w:pPr>
        <w:spacing w:after="100" w:before="100"/>
      </w:pPr>
      <w:r>
        <w:t xml:space="preserve"/>
      </w:r>
    </w:p>
    <w:p>
      <w:pPr>
        <w:spacing w:after="80" w:before="80"/>
      </w:pPr>
      <w:r>
        <w:rPr>
          <w:sz w:val="22"/>
          <w:szCs w:val="22"/>
        </w:rPr>
        <w:t xml:space="preserve">The machine does not produce a marketing plan. It produces a Marketing Intelligence Brief -- a structured diagnostic and strategic output that helps the user see their market position clearly, understand where their messaging, channels, and offer are misaligned, and identify the highest-leverage marketing moves available to them given their actual budget and competitive reality.</w:t>
      </w:r>
    </w:p>
    <w:p>
      <w:pPr>
        <w:spacing w:after="100" w:before="100"/>
      </w:pPr>
      <w:r>
        <w:t xml:space="preserve"/>
      </w:r>
    </w:p>
    <w:p>
      <w:pPr>
        <w:spacing w:after="80" w:before="80"/>
      </w:pPr>
      <w:r>
        <w:rPr>
          <w:sz w:val="22"/>
          <w:szCs w:val="22"/>
        </w:rPr>
        <w:t xml:space="preserve">Positioned within the Business Mastermind Suite as the foundational marketing machine -- the one a user reaches for when facing a market positioning challenge, a stalled acquisition funnel, a product launch, a competitive repositioning, or a need to grow without simply adding more spend.</w:t>
      </w:r>
    </w:p>
    <w:p>
      <w:pPr>
        <w:pBdr>
          <w:bottom w:val="single" w:color="B8860B" w:sz="6" w:space="1"/>
        </w:pBdr>
        <w:spacing w:after="200" w:before="200"/>
      </w:pPr>
      <w:r>
        <w:t xml:space="preserve"/>
      </w:r>
    </w:p>
    <w:p>
      <w:pPr>
        <w:pStyle w:val="Heading1"/>
        <w:spacing w:after="140" w:before="280"/>
      </w:pPr>
      <w:r>
        <w:rPr>
          <w:b/>
          <w:bCs/>
        </w:rPr>
        <w:t xml:space="preserve">2. MACHINE IDENTITY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PARAMETER</w:t>
            </w:r>
          </w:p>
        </w:tc>
        <w:tc>
          <w:tcPr>
            <w:tcW w:type="dxa" w:w="6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name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 Business Mastermind Suite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Tier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Tier 1 — MVL launch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Founders, CMOs, marketing directors, business owners responsible for growth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Output name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 Intelligence Brief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Accent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 — assign at build start, log in BDL Decision 2.2. Candidate: deep forest green (#1a5c3a) — growth, market presence, commercial vitality. Confirm at build.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HTML file name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L3V3L_Marketing_Machine_v1.html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Edge Function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project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wljxufilyobwpbavvwsr (l3v3l-business-mastermind)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Edge Function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https://wljxufilyobwpbavvwsr.supabase.co/functions/v1/marketing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Repo</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l3v3l-business-mastermind (machine HTML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L3V3L_Business_Mastermind_Index.html (l3v3l-business-mastermind-index repo)</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RTTR Spec</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Deferred to post-launch — see Section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Typography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 (titles/buttons/phase headings), Crimson Pro (body/questions), Share Tech Mono (badges/labels/citations) — per BDL Decision 12</w:t>
            </w:r>
          </w:p>
        </w:tc>
      </w:tr>
    </w:tbl>
    <w:p>
      <w:pPr>
        <w:pBdr>
          <w:bottom w:val="single" w:color="B8860B" w:sz="6" w:space="1"/>
        </w:pBdr>
        <w:spacing w:after="200" w:before="200"/>
      </w:pPr>
      <w:r>
        <w:t xml:space="preserve"/>
      </w:r>
    </w:p>
    <w:p>
      <w:pPr>
        <w:pStyle w:val="Heading1"/>
        <w:spacing w:after="140" w:before="280"/>
      </w:pPr>
      <w:r>
        <w:rPr>
          <w:b/>
          <w:bCs/>
        </w:rPr>
        <w:t xml:space="preserve">3. INTAKE ARCHITECTURE — TWO-LAYER ADAPTIVE</w:t>
      </w:r>
    </w:p>
    <w:p>
      <w:pPr>
        <w:spacing w:after="80" w:before="80"/>
      </w:pPr>
      <w:r>
        <w:rPr>
          <w:sz w:val="22"/>
          <w:szCs w:val="22"/>
        </w:rPr>
        <w:t xml:space="preserve">The Marketing Machine uses the canonical L3V3L two-layer adaptive intake. Layer 1 classifies the marketing situation across the 7 P's diagnostic framework plus budget reality and marketing objective. Layer 2 is generated adaptively from Layer 1 answers -- the machine asks the follow-on questions that matter most given the specific marketing challenge, industry, and constraints described.</w:t>
      </w:r>
    </w:p>
    <w:p>
      <w:pPr>
        <w:spacing w:after="100" w:before="100"/>
      </w:pPr>
      <w:r>
        <w:t xml:space="preserve"/>
      </w:r>
    </w:p>
    <w:p>
      <w:pPr>
        <w:pStyle w:val="Heading2"/>
        <w:spacing w:after="140" w:before="280"/>
      </w:pPr>
      <w:r>
        <w:rPr>
          <w:b/>
          <w:bCs/>
        </w:rPr>
        <w:t xml:space="preserve">3.1  Layer 1 — Marketing Situation Classification (9 Fixed Questions)</w:t>
      </w:r>
    </w:p>
    <w:p>
      <w:pPr>
        <w:spacing w:after="80" w:before="80"/>
      </w:pPr>
      <w:r>
        <w:rPr>
          <w:sz w:val="22"/>
          <w:szCs w:val="22"/>
        </w:rPr>
        <w:t xml:space="preserve">All 9 questions are presented before any API call is made. The 7 P's questions (Q1-Q7) are the diagnostic backbone. Q8 and Q9 establish budget reality and the primary objective driving the engagement. All 9 answers drive the Layer 2 generation prompt.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600"/>
        <w:gridCol w:w="1200"/>
        <w:gridCol w:w="3460"/>
      </w:tblGrid>
      <w:tr>
        <w:trPr>
          <w:tblHeader/>
        </w:trPr>
        <w:tc>
          <w:tcPr>
            <w:tcW w:type="dxa" w:w="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Q#</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LABEL</w:t>
            </w:r>
          </w:p>
        </w:tc>
        <w:tc>
          <w:tcPr>
            <w:tcW w:type="dxa" w:w="2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QUESTION TEXT</w:t>
            </w:r>
          </w:p>
        </w:tc>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P-FRAMEWORK</w:t>
            </w:r>
          </w:p>
        </w:tc>
        <w:tc>
          <w:tcPr>
            <w:tcW w:type="dxa" w:w="34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PURPOSE</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Q1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PRODUCT / SERVICE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Describe what you sell: the core product or service, who it is designed for, what problem it solves, and what makes it different from alternatives in the market.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Product</w:t>
            </w:r>
          </w:p>
        </w:tc>
        <w:tc>
          <w:tcPr>
            <w:tcW w:type="dxa" w:w="3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Establishes the offer and its differentiation -- the foundation of all marketing positioning.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 AND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is your product or service priced relative to the market? Describe your pricing model, how you arrived at it, and how customers perceive the value they receive relative to what they pay.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Identifies pricing-positioning alignment or misalignment -- a frequent root cause of stalled acquisition.</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Q3</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PROMOTION AND MESSAGING</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How do you currently communicate your offer to the market? Describe your main marketing channels, your core message, and what you believe your target customer understands about you before they buy.</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Promotion</w:t>
            </w:r>
          </w:p>
        </w:tc>
        <w:tc>
          <w:tcPr>
            <w:tcW w:type="dxa" w:w="3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Reveals messaging clarity, channel fit, and whether the market understands the value proposition.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PLACE AND DISTRIBUTION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do customers find, access, and purchase from you? Describe your sales channels, distribution model, and any friction in the path from awareness to purchase.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Place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Identifies distribution gaps and funnel friction -- often where revenue is leaking invisibly.</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Q5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PEOPLE AND TEAM</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Who delivers your product or service to the customer, and how does the quality of that interaction affect customer perception? Include sales, service, and customer-facing roles.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People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Surfaces people-experience misalignment that marketing cannot fix alone -- and must account for.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PACKAGING AND BRAND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does your brand present itself visually and verbally -- website, materials, naming, tone? How does first impression align with the value you deliver?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Packaging / Brand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Diagnoses brand-offer coherence -- whether the packaging supports or undermines the positioning.</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Q7</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PROCESS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Describe the customer experience from first contact through purchase and post-purchase. Where does the experience excel, and where does it create friction or disappointment?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Process</w:t>
            </w:r>
          </w:p>
        </w:tc>
        <w:tc>
          <w:tcPr>
            <w:tcW w:type="dxa" w:w="3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Identifies process gaps that destroy marketing ROI by failing to convert interest into purchase or repeat.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BUDGET AND RESOURCES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is your current marketing budget (approximate monthly or annual), and what resources -- team, tools, time -- do you have available to execute marketing activity?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Constraint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Grounds all recommendations in financial and operational reality. Prevents undeliverable advice.</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Q9</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PRIMARY MARKETING OBJECTIVE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What is the single most important marketing outcome you need to achieve in the next 6-12 months? Describe it in your own terms -- what does success look like?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Objective</w:t>
            </w:r>
          </w:p>
        </w:tc>
        <w:tc>
          <w:tcPr>
            <w:tcW w:type="dxa" w:w="3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Anchors the entire brief to the user's actual goal. Open text -- no pre-conceived options.</w:t>
            </w:r>
          </w:p>
        </w:tc>
      </w:tr>
    </w:tbl>
    <w:p>
      <w:pPr>
        <w:spacing w:after="100" w:before="100"/>
      </w:pPr>
      <w:r>
        <w:t xml:space="preserve"/>
      </w:r>
    </w:p>
    <w:p>
      <w:pPr>
        <w:pStyle w:val="Heading2"/>
        <w:spacing w:after="140" w:before="280"/>
      </w:pPr>
      <w:r>
        <w:rPr>
          <w:b/>
          <w:bCs/>
        </w:rPr>
        <w:t xml:space="preserve">3.2  Layer 2 — Deep Marketing Intelligence (12 Adaptive Questions)</w:t>
      </w:r>
    </w:p>
    <w:p>
      <w:pPr>
        <w:spacing w:after="80" w:before="80"/>
      </w:pPr>
      <w:r>
        <w:rPr>
          <w:sz w:val="22"/>
          <w:szCs w:val="22"/>
        </w:rPr>
        <w:t xml:space="preserve">Layer 2 questions are generated by the machine from Layer 1 answers via the first API call. The machine analyses the 7 P's diagnostic disclosed and generates the 12 most diagnostically valuable follow-on questions -- tailored to the specific industry, marketing challenge, budget reality, and competitive context. Layer 2 questions are never a fixed set.</w:t>
      </w:r>
    </w:p>
    <w:p>
      <w:pPr>
        <w:spacing w:after="100" w:before="100"/>
      </w:pPr>
      <w:r>
        <w:t xml:space="preserve"/>
      </w:r>
    </w:p>
    <w:p>
      <w:pPr>
        <w:spacing w:after="80" w:before="80"/>
      </w:pPr>
      <w:r>
        <w:rPr>
          <w:sz w:val="22"/>
          <w:szCs w:val="22"/>
        </w:rPr>
        <w:t xml:space="preserve">Layer 2 generation prompt instructs the machine to: identify the top marketing unknowns given the 7 P's picture; probe assumptions about who the real customer is; surface competitive positioning gaps not yet addressed; clarify what the market actually understands vs. what the user believes; identify where the marketing funnel is leaking; and pinpoint the highest-leverage marketing intervention available within the stated budget.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PARAMETER</w:t>
            </w:r>
          </w:p>
        </w:tc>
        <w:tc>
          <w:tcPr>
            <w:tcW w:type="dxa" w:w="6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Layer 2 question count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12 (fixed count, adaptive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Generation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completion of all 9 Layer 1 answers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Index badge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9 Seed → 12 Custom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Minimum to generate brief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9 Layer 1 + minimum 8 Layer 2 answers (Emergency Brief: Layer 1 only)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Question format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Open text throughout -- no dropdowns (per BDL Decision 12.4)</w:t>
            </w:r>
          </w:p>
        </w:tc>
      </w:tr>
    </w:tbl>
    <w:p>
      <w:pPr>
        <w:pBdr>
          <w:bottom w:val="single" w:color="B8860B" w:sz="6" w:space="1"/>
        </w:pBdr>
        <w:spacing w:after="200" w:before="200"/>
      </w:pPr>
      <w:r>
        <w:t xml:space="preserve"/>
      </w:r>
    </w:p>
    <w:p>
      <w:pPr>
        <w:pStyle w:val="Heading1"/>
        <w:spacing w:after="140" w:before="280"/>
      </w:pPr>
      <w:r>
        <w:rPr>
          <w:b/>
          <w:bCs/>
        </w:rPr>
        <w:t xml:space="preserve">4. OUTPUT ARCHITECTURE — MARKETING INTELLIGENCE BRIEF</w:t>
      </w:r>
    </w:p>
    <w:p>
      <w:pPr>
        <w:spacing w:after="80" w:before="80"/>
      </w:pPr>
      <w:r>
        <w:rPr>
          <w:sz w:val="22"/>
          <w:szCs w:val="22"/>
        </w:rPr>
        <w:t xml:space="preserve">The Marketing Intelligence Brief is structured in six phases. Each phase has a defined purpose, a specific analytical task, and a clear deliverable. The machine does not produce a generic marketing checklist -- it produces a structured diagnostic output grounded in the user's specific situation, budget, and competitive context.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4860"/>
      </w:tblGrid>
      <w:tr>
        <w:trPr>
          <w:tblHeader/>
        </w:trPr>
        <w:tc>
          <w:tcPr>
            <w:tcW w:type="dxa" w:w="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PHASE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TITLE</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PURPOSE</w:t>
            </w:r>
          </w:p>
        </w:tc>
        <w:tc>
          <w:tcPr>
            <w:tcW w:type="dxa" w:w="48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CONTENT</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Situation Diagnosis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Establish an accurate picture of the current marketing situation across the 7 P's before any recommendations are made.</w:t>
            </w:r>
          </w:p>
        </w:tc>
        <w:tc>
          <w:tcPr>
            <w:tcW w:type="dxa" w:w="4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Structured 7 P's assessment based on disclosed answers. Identify which P's are aligned, which are misaligned, and which represent the primary drag on marketing performance. Distinguish what is known from what is assumed. Do not make recommendations here -- diagnose first.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Marketing Resolution Imperative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Identify the single most important marketing problem that, if not resolved, makes all other marketing activity less effective or wasteful.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Explicit naming of the core marketing challenge -- whether it is a positioning problem, a messaging problem, a channel problem, a funnel problem, or a brand-offer coherence problem. Explain why this is the imperative and not a symptom. Identify what resolving it unlocks.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III</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 and Competitive Landscape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Map the external forces acting on the organisation's marketing effectiveness.</w:t>
            </w:r>
          </w:p>
        </w:tc>
        <w:tc>
          <w:tcPr>
            <w:tcW w:type="dxa" w:w="4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Customer segmentation assessment -- who is actually buying vs. who the marketing targets. Competitive positioning map -- how the brand sits relative to alternatives in the customer's mind. Market dynamics relevant to the marketing challenge. Channel landscape assessment.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Marketing Options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 and assess the viable marketing approaches available given the budget, resources, and objective.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Three to five distinct marketing approaches with clear rationale. Budget-reality assessment for each option. Expected timeline to results. Recommended leading approach with explicit reasoning. Where applicable, identify quick wins vs. structural moves.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Execution Architecture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Convert the recommended marketing approach into a sequenced action plan.</w:t>
            </w:r>
          </w:p>
        </w:tc>
        <w:tc>
          <w:tcPr>
            <w:tcW w:type="dxa" w:w="4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First 30-day moves. 90-day milestone sequence. Channel prioritisation and budget allocation guidance. Key messages to test. Metrics to track -- leading and lagging indicators. Critical assumptions that must hold. Early-warning indicators that the approach is or is not working.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 Register and Published Expertise Utilized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Surface the risks most likely to undermine the marketing approach, and attribute the analytical frameworks used.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 3-5 marketing risks with likelihood, impact, and mitigation logic. The single most dangerous assumption in the marketing plan. Published Expertise Utilized -- list of marketing frameworks and authors applied in this brief, formatted per citation standard.</w:t>
            </w:r>
          </w:p>
        </w:tc>
      </w:tr>
    </w:tbl>
    <w:p>
      <w:pPr>
        <w:pBdr>
          <w:bottom w:val="single" w:color="B8860B" w:sz="6" w:space="1"/>
        </w:pBdr>
        <w:spacing w:after="200" w:before="200"/>
      </w:pPr>
      <w:r>
        <w:t xml:space="preserve"/>
      </w:r>
    </w:p>
    <w:p>
      <w:pPr>
        <w:pStyle w:val="Heading1"/>
        <w:spacing w:after="140" w:before="280"/>
      </w:pPr>
      <w:r>
        <w:rPr>
          <w:b/>
          <w:bCs/>
        </w:rPr>
        <w:t xml:space="preserve">5. ADJUDICATION FRAMEWORK</w:t>
      </w:r>
    </w:p>
    <w:p>
      <w:pPr>
        <w:spacing w:after="80" w:before="80"/>
      </w:pPr>
      <w:r>
        <w:rPr>
          <w:sz w:val="22"/>
          <w:szCs w:val="22"/>
        </w:rPr>
        <w:t xml:space="preserve">The Marketing Machine applies the following adjudication principles in forming the Marketing Intelligence Brief. These are not visible to the user -- they govern how the machine weighs inputs and structures its analysis.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PRINCIPLE</w:t>
            </w:r>
          </w:p>
        </w:tc>
        <w:tc>
          <w:tcPr>
            <w:tcW w:type="dxa" w:w="6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Diagnosis before prescription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No marketing recommendation is made before the 7 P's situation is accurately diagnosed. Phase I always precedes Phase IV.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Budget realism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recommendations are calibrated to the stated budget and resource reality. Advice that requires 10x the available budget is not given -- the best available option within constraints is identified instead.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Funnel integrity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machine assesses the full funnel from awareness to repeat purchase. Marketing activity that drives awareness into a broken conversion process is identified and flagged before channel recommendations are made.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Message-market fit primacy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the core message does not resonate with the actual buyer, no channel or budget decision will fix it. Message-market fit is assessed first and flagged as the imperative if misaligned.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Honest options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If the marketing situation is genuinely difficult -- insufficient budget, undifferentiated product, broken funnel -- the machine says so and recommends the least-bad option rather than manufacturing optimism.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Attribution discipline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analytical framework applied is named and attributed in Phase VI under Published Expertise Utilized.</w:t>
            </w:r>
          </w:p>
        </w:tc>
      </w:tr>
    </w:tbl>
    <w:p>
      <w:pPr>
        <w:pBdr>
          <w:bottom w:val="single" w:color="B8860B" w:sz="6" w:space="1"/>
        </w:pBdr>
        <w:spacing w:after="200" w:before="200"/>
      </w:pPr>
      <w:r>
        <w:t xml:space="preserve"/>
      </w:r>
    </w:p>
    <w:p>
      <w:pPr>
        <w:pStyle w:val="Heading1"/>
        <w:spacing w:after="140" w:before="280"/>
      </w:pPr>
      <w:r>
        <w:rPr>
          <w:b/>
          <w:bCs/>
        </w:rPr>
        <w:t xml:space="preserve">6. PUBLISHED EXPERTISE UTILIZED — CITATION FORMAT</w:t>
      </w:r>
    </w:p>
    <w:p>
      <w:pPr>
        <w:spacing w:after="80" w:before="80"/>
      </w:pPr>
      <w:r>
        <w:rPr>
          <w:sz w:val="22"/>
          <w:szCs w:val="22"/>
        </w:rPr>
        <w:t xml:space="preserve">Citations appear in Phase VI of the Marketing Intelligence Brief under the heading "Published Expertise Utilized." Format is consistent across all Business Mastermind machines -- Share Tech Mono font in the rendered output, each citation on its own line.</w:t>
      </w:r>
    </w:p>
    <w:p>
      <w:pPr>
        <w:spacing w:after="100" w:before="100"/>
      </w:pPr>
      <w:r>
        <w:t xml:space="preserve"/>
      </w:r>
    </w:p>
    <w:p>
      <w:pPr>
        <w:shd w:fill="F5F0E0" w:val="clear"/>
        <w:spacing w:after="80" w:before="80"/>
      </w:pPr>
      <w:r>
        <w:rPr>
          <w:i/>
          <w:iCs/>
          <w:sz w:val="20"/>
          <w:szCs w:val="20"/>
        </w:rPr>
        <w:t xml:space="preserve">FORMAT: [Author Last Name] — [Work Title, Year] — [Framework or Concept Applied] — Applied in Phase [Roman numeral]</w:t>
      </w:r>
    </w:p>
    <w:p>
      <w:pPr>
        <w:spacing w:after="100" w:before="100"/>
      </w:pPr>
      <w:r>
        <w:t xml:space="preserve"/>
      </w:r>
    </w:p>
    <w:p>
      <w:pPr>
        <w:spacing w:after="80" w:before="80"/>
      </w:pPr>
      <w:r>
        <w:rPr>
          <w:sz w:val="22"/>
          <w:szCs w:val="22"/>
        </w:rPr>
        <w:t xml:space="preserve">Example citations:</w:t>
      </w:r>
    </w:p>
    <w:p>
      <w:pPr>
        <w:shd w:fill="F5F0E0" w:val="clear"/>
        <w:spacing w:after="80" w:before="80"/>
      </w:pPr>
      <w:r>
        <w:rPr>
          <w:i/>
          <w:iCs/>
          <w:sz w:val="20"/>
          <w:szCs w:val="20"/>
        </w:rPr>
        <w:t xml:space="preserve">Kotler — Marketing Management, 2016 — 7 P's diagnostic framework — Applied in Phase I</w:t>
      </w:r>
    </w:p>
    <w:p>
      <w:pPr>
        <w:shd w:fill="F5F0E0" w:val="clear"/>
        <w:spacing w:after="80" w:before="80"/>
      </w:pPr>
      <w:r>
        <w:rPr>
          <w:i/>
          <w:iCs/>
          <w:sz w:val="20"/>
          <w:szCs w:val="20"/>
        </w:rPr>
        <w:t xml:space="preserve">Ries &amp; Trout — Positioning: The Battle for Your Mind, 1981 — Positioning strategy — Applied in Phase III</w:t>
      </w:r>
    </w:p>
    <w:p>
      <w:pPr>
        <w:shd w:fill="F5F0E0" w:val="clear"/>
        <w:spacing w:after="80" w:before="80"/>
      </w:pPr>
      <w:r>
        <w:rPr>
          <w:i/>
          <w:iCs/>
          <w:sz w:val="20"/>
          <w:szCs w:val="20"/>
        </w:rPr>
        <w:t xml:space="preserve">Godin — This Is Marketing, 2018 — Smallest viable audience and permission marketing — Applied in Phase IV</w:t>
      </w:r>
    </w:p>
    <w:p>
      <w:pPr>
        <w:shd w:fill="F5F0E0" w:val="clear"/>
        <w:spacing w:after="80" w:before="80"/>
      </w:pPr>
      <w:r>
        <w:rPr>
          <w:i/>
          <w:iCs/>
          <w:sz w:val="20"/>
          <w:szCs w:val="20"/>
        </w:rPr>
        <w:t xml:space="preserve">Christensen — Jobs to Be Done framework — Customer motivation analysis — Applied in Phase III</w:t>
      </w:r>
    </w:p>
    <w:p>
      <w:pPr>
        <w:spacing w:after="100" w:before="100"/>
      </w:pPr>
      <w:r>
        <w:t xml:space="preserve"/>
      </w:r>
    </w:p>
    <w:p>
      <w:pPr>
        <w:spacing w:after="80" w:before="80"/>
      </w:pPr>
      <w:r>
        <w:rPr>
          <w:sz w:val="22"/>
          <w:szCs w:val="22"/>
        </w:rPr>
        <w:t xml:space="preserve">The machine selects and cites only the frameworks it actually applied in the specific brief. Citations are honest attributions, not formulaic decoration.</w:t>
      </w:r>
    </w:p>
    <w:p>
      <w:pPr>
        <w:pBdr>
          <w:bottom w:val="single" w:color="B8860B" w:sz="6" w:space="1"/>
        </w:pBdr>
        <w:spacing w:after="200" w:before="200"/>
      </w:pPr>
      <w:r>
        <w:t xml:space="preserve"/>
      </w:r>
    </w:p>
    <w:p>
      <w:pPr>
        <w:pStyle w:val="Heading1"/>
        <w:spacing w:after="140" w:before="280"/>
      </w:pPr>
      <w:r>
        <w:rPr>
          <w:b/>
          <w:bCs/>
        </w:rPr>
        <w:t xml:space="preserve">7. RTTR SOURCE LIBRARY</w:t>
      </w:r>
    </w:p>
    <w:p>
      <w:pPr>
        <w:spacing w:after="80" w:before="80"/>
      </w:pPr>
      <w:r>
        <w:rPr>
          <w:sz w:val="22"/>
          <w:szCs w:val="22"/>
        </w:rPr>
        <w:t xml:space="preserve">The Marketing Machine system prompt includes the following lightweight RTTR directive (per BDL Decision 9):</w:t>
      </w:r>
    </w:p>
    <w:p>
      <w:pPr>
        <w:spacing w:after="100" w:before="100"/>
      </w:pPr>
      <w:r>
        <w:t xml:space="preserve"/>
      </w:r>
    </w:p>
    <w:p>
      <w:pPr>
        <w:shd w:fill="F5F0E0" w:val="clear"/>
        <w:spacing w:after="80" w:before="80"/>
      </w:pPr>
      <w:r>
        <w:rPr>
          <w:i/>
          <w:iCs/>
          <w:sz w:val="20"/>
          <w:szCs w:val="20"/>
        </w:rPr>
        <w:t xml:space="preserve">"In forming your marketing analysis, pay particular attention to the frameworks and thinking of: Kotler, Ries &amp; Trout, Seth Godin, Byron Sharp, Philip Kotler &amp; Kevin Keller, David Aaker, Jonah Berger, Mark Ritson, Bob Cialdini, Geoffrey Moore, Clayton Christensen, and April Dunford. Attribute insights to their frameworks where relevant in your output."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AUTHOR(S)</w:t>
            </w:r>
          </w:p>
        </w:tc>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KEY WORKS</w:t>
            </w:r>
          </w:p>
        </w:tc>
        <w:tc>
          <w:tcPr>
            <w:tcW w:type="dxa" w:w="4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MARKETING CONTRIBUTION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Philip Kotler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 Management (2016); Principles of Marketing</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7 P's framework; marketing mix; STP (Segmentation, Targeting, Positioning); foundational marketing science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Ries &amp; Trout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Positioning: The Battle for Your Mind (1981); Marketing Warfare (1986)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Positioning theory; mental real estate; competitive positioning; repositioning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Seth Godin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This Is Marketing (2018); Permission Marketing (1999); Purple Cow (2003)</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Smallest viable audience; permission marketing; remarkable product as marketing; tribes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Byron Sharp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Brands Grow (2010); How Brands Grow Part 2 (2015)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Mental and physical availability; distinctive brand assets; penetration over loyalty; empirical marketing science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David Aaker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Building Strong Brands (1996); Brand Leadership (2000)</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Brand equity model; brand identity system; brand extensions; brand architecture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Jonah Berger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Contagious (2013); Invisible Influence (2016)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STEPPS framework for viral content; social transmission; word-of-mouth drivers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 Ritson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 Week columns; MBA Marketing curriculum</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Brand strategy integration; market orientation; long and short-term marketing balance; evidence-based marketing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Robert Cialdini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Influence (1984); Pre-Suasion (2016)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Six principles of persuasion; reciprocity, commitment, social proof, authority, liking, scarcity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Geoffrey Moore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Crossing the Chasm (1991); Inside the Tornado (1995)</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Technology adoption lifecycle; whole product concept; market development sequencing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Clayton Christensen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Jobs to Be Done framework; The Innovator's Dilemma (1997)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Jobs-to-be-done customer motivation framework; disruptive vs. sustaining innovation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April Dunford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Obviously Awesome (2019)</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Positioning methodology; competitive alternatives; unique attributes; value for target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Philip Kotler &amp; Kevin Keller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Marketing Management, 15th Edition (2016)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Integrated marketing management; brand equity; customer value management; holistic marketing</w:t>
            </w:r>
          </w:p>
        </w:tc>
      </w:tr>
    </w:tbl>
    <w:p>
      <w:pPr>
        <w:spacing w:after="100" w:before="100"/>
      </w:pPr>
      <w:r>
        <w:t xml:space="preserve"/>
      </w:r>
    </w:p>
    <w:p>
      <w:pPr>
        <w:spacing w:after="80" w:before="80"/>
      </w:pPr>
      <w:r>
        <w:rPr>
          <w:sz w:val="22"/>
          <w:szCs w:val="22"/>
        </w:rPr>
        <w:t xml:space="preserve">Full RTTR Specification: deferred to post-launch. When completed, it will identify specific frameworks, concepts, and analytical tools from each author and refine the system prompt directive with precision. This will not require architectural changes to the machine -- it is a system prompt enhancement only.</w:t>
      </w:r>
    </w:p>
    <w:p>
      <w:pPr>
        <w:pBdr>
          <w:bottom w:val="single" w:color="B8860B" w:sz="6" w:space="1"/>
        </w:pBdr>
        <w:spacing w:after="200" w:before="200"/>
      </w:pPr>
      <w:r>
        <w:t xml:space="preserve"/>
      </w:r>
    </w:p>
    <w:p>
      <w:pPr>
        <w:pStyle w:val="Heading1"/>
        <w:spacing w:after="140" w:before="280"/>
      </w:pPr>
      <w:r>
        <w:rPr>
          <w:b/>
          <w:bCs/>
        </w:rPr>
        <w:t xml:space="preserve">8. UX AND DESIGN PARAMETERS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PARAMETER</w:t>
            </w:r>
          </w:p>
        </w:tc>
        <w:tc>
          <w:tcPr>
            <w:tcW w:type="dxa" w:w="6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Design system</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 Business Mastermind Suite — dark gold system (BDL Decision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Accent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 — assign and log at build start (BDL Decision 2.2). Candidate: deep forest green #1a5c3a.</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Typography</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Inter (machine title weight 700, buttons weight 600, phase headings weight 600) — Cinzel Decorative PROHIBITED per BDL Decision 12.1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Body / 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Crimson Pro — unchanged from suite standard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Badges / labels / citations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Share Tech Mono — unchanged from suite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Layout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Matches Strategy Machine v2: progress indicator, question cards, output brief with phase sections, Published Expertise Utilized block</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Brief rendering</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Markdown rendered to HTML -- Inter headings for phase titles, Crimson Pro body text, Share Tech Mono citation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Loading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Phase-labelled loading indicators during Layer 2 generation and brief generation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Emergency Brief</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Layer 1-only option available -- produces condensed marketing overview without Layer 2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Responsive -- matches Strategy Machine v2 responsive behaviour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Dropdowns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PROHIBITED throughout -- all questions open text per BDL Decision 12.4</w:t>
            </w:r>
          </w:p>
        </w:tc>
      </w:tr>
    </w:tbl>
    <w:p>
      <w:pPr>
        <w:pBdr>
          <w:bottom w:val="single" w:color="B8860B" w:sz="6" w:space="1"/>
        </w:pBdr>
        <w:spacing w:after="200" w:before="200"/>
      </w:pPr>
      <w:r>
        <w:t xml:space="preserve"/>
      </w:r>
    </w:p>
    <w:p>
      <w:pPr>
        <w:pStyle w:val="Heading1"/>
        <w:spacing w:after="140" w:before="280"/>
      </w:pPr>
      <w:r>
        <w:rPr>
          <w:b/>
          <w:bCs/>
        </w:rPr>
        <w:t xml:space="preserve">9. OPEN ITEMS AT SPECIFICATION TIME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ITEM</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c>
          <w:tcPr>
            <w:tcW w:type="dxa" w:w="4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Accent colour -- confirm and log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 Candidate: deep forest green #1a5c3a. Log in BDL Decision 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card icon in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design task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index uses satellite dish icon. Review and replace with more appropriate marketing icon per design task list. Do not block build on this.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Full RTTR Specification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DEFERRED — POST-LAUNCH</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Formal attribution document for all 12 RTTR authors. System prompt refinement only -- no architectural change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 / payment gating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PLATFORM TASK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Stripe + Supabase access gating applied at platform level. Activation is a platform build task.</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Trilingual support (EN/FR/ES)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DEFERRED — POST-LAUNCH</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Human Mastery trilingual first, then Business Mastermind. See Platform Decisions in Sitrep.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wiring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 — BUILD STEP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 current index.html at build session. Wire Marketing Activate button to Edge Function URL.</w:t>
            </w:r>
          </w:p>
        </w:tc>
      </w:tr>
    </w:tbl>
    <w:p>
      <w:pPr>
        <w:pBdr>
          <w:bottom w:val="single" w:color="B8860B" w:sz="6" w:space="1"/>
        </w:pBdr>
        <w:spacing w:after="200" w:before="200"/>
      </w:pPr>
      <w:r>
        <w:t xml:space="preserve"/>
      </w:r>
    </w:p>
    <w:p>
      <w:pPr>
        <w:spacing w:after="0" w:before="240"/>
        <w:jc w:val="center"/>
      </w:pPr>
      <w:r>
        <w:rPr>
          <w:i/>
          <w:iCs/>
          <w:color w:val="666666"/>
          <w:sz w:val="18"/>
          <w:szCs w:val="18"/>
        </w:rPr>
        <w:t xml:space="preserve">L3V3L Business Mastermind Suite — Marketing Machine Specification v1.0  |  The Good Gate Publishing / Wadontei:io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2026-05-27T04:16:00.047Z</dcterms:created>
  <dcterms:modified xsi:type="dcterms:W3CDTF">2026-05-27T04:16:00.059Z</dcterms:modified>
</cp:coreProperties>
</file>

<file path=docProps/custom.xml><?xml version="1.0" encoding="utf-8"?>
<Properties xmlns="http://schemas.openxmlformats.org/officeDocument/2006/custom-properties" xmlns:vt="http://schemas.openxmlformats.org/officeDocument/2006/docPropsVTypes"/>
</file>