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EC6A4" w14:textId="77777777" w:rsidR="0052537A" w:rsidRDefault="00000000">
      <w:pPr>
        <w:spacing w:before="1600"/>
        <w:jc w:val="center"/>
      </w:pPr>
      <w:r>
        <w:rPr>
          <w:b/>
          <w:bCs/>
          <w:color w:val="1F3A5F"/>
          <w:sz w:val="48"/>
          <w:szCs w:val="48"/>
        </w:rPr>
        <w:t>AMPM BUILDING SERVICES LIMITED</w:t>
      </w:r>
    </w:p>
    <w:p w14:paraId="4F274922" w14:textId="77777777" w:rsidR="0052537A" w:rsidRDefault="00000000">
      <w:pPr>
        <w:pBdr>
          <w:bottom w:val="single" w:sz="12" w:space="8" w:color="C8A24B"/>
        </w:pBdr>
        <w:spacing w:before="120"/>
        <w:jc w:val="center"/>
      </w:pPr>
      <w:r>
        <w:rPr>
          <w:b/>
          <w:bCs/>
          <w:color w:val="C8A24B"/>
          <w:sz w:val="30"/>
          <w:szCs w:val="30"/>
        </w:rPr>
        <w:t>Launch Business Plan</w:t>
      </w:r>
    </w:p>
    <w:p w14:paraId="312D891A" w14:textId="77777777" w:rsidR="0052537A" w:rsidRDefault="00000000">
      <w:pPr>
        <w:spacing w:before="280"/>
        <w:jc w:val="center"/>
      </w:pPr>
      <w:r>
        <w:rPr>
          <w:i/>
          <w:iCs/>
          <w:color w:val="555555"/>
          <w:sz w:val="24"/>
          <w:szCs w:val="24"/>
        </w:rPr>
        <w:t>Board paper — for approval</w:t>
      </w:r>
    </w:p>
    <w:p w14:paraId="3AF16590" w14:textId="77777777" w:rsidR="0052537A" w:rsidRDefault="00000000">
      <w:pPr>
        <w:spacing w:before="520"/>
        <w:jc w:val="center"/>
      </w:pPr>
      <w:r>
        <w:rPr>
          <w:color w:val="303030"/>
          <w:sz w:val="24"/>
          <w:szCs w:val="24"/>
        </w:rPr>
        <w:t>A trading subsidiary of AMPM Group Limited</w:t>
      </w:r>
    </w:p>
    <w:p w14:paraId="59D22B37" w14:textId="77777777" w:rsidR="0052537A" w:rsidRDefault="00000000">
      <w:pPr>
        <w:spacing w:before="60"/>
        <w:jc w:val="center"/>
      </w:pPr>
      <w:r>
        <w:rPr>
          <w:color w:val="303030"/>
          <w:sz w:val="22"/>
          <w:szCs w:val="22"/>
        </w:rPr>
        <w:t>Full building-services contractor — M&amp;E · fit-out · fabric · roofing · groundworks</w:t>
      </w:r>
    </w:p>
    <w:p w14:paraId="6ED0B804" w14:textId="77777777" w:rsidR="0052537A" w:rsidRDefault="00000000">
      <w:pPr>
        <w:spacing w:before="700"/>
        <w:jc w:val="center"/>
      </w:pPr>
      <w:r>
        <w:rPr>
          <w:b/>
          <w:bCs/>
          <w:color w:val="1F3A5F"/>
          <w:sz w:val="22"/>
          <w:szCs w:val="22"/>
        </w:rPr>
        <w:t>Operational launch: 1 July 2026   ·   Year-one revenue target: £4.0 million</w:t>
      </w:r>
    </w:p>
    <w:p w14:paraId="583065E4" w14:textId="77777777" w:rsidR="0052537A" w:rsidRDefault="00000000">
      <w:pPr>
        <w:spacing w:before="900"/>
        <w:jc w:val="center"/>
      </w:pPr>
      <w:r>
        <w:rPr>
          <w:color w:val="555555"/>
          <w:sz w:val="20"/>
          <w:szCs w:val="20"/>
        </w:rPr>
        <w:t>Version 2.1   |   June 2026   |   Strictly Confidential</w:t>
      </w:r>
    </w:p>
    <w:p w14:paraId="53C1C002" w14:textId="77777777" w:rsidR="0052537A" w:rsidRDefault="00000000">
      <w:r>
        <w:br w:type="page"/>
      </w:r>
    </w:p>
    <w:p w14:paraId="4AEFE0F2" w14:textId="77777777" w:rsidR="0052537A" w:rsidRDefault="00000000">
      <w:pPr>
        <w:pStyle w:val="Heading1"/>
      </w:pPr>
      <w:bookmarkStart w:id="0" w:name="_Toc231836814"/>
      <w:r>
        <w:lastRenderedPageBreak/>
        <w:t>Contents</w:t>
      </w:r>
      <w:bookmarkEnd w:id="0"/>
    </w:p>
    <w:sdt>
      <w:sdtPr>
        <w:alias w:val="Contents"/>
        <w:id w:val="1980650441"/>
      </w:sdtPr>
      <w:sdtContent>
        <w:p w14:paraId="6F95840B" w14:textId="77777777" w:rsidR="00FE3869" w:rsidRDefault="00000000">
          <w:pPr>
            <w:pStyle w:val="TOC1"/>
            <w:tabs>
              <w:tab w:val="right" w:leader="dot" w:pos="9350"/>
            </w:tabs>
            <w:rPr>
              <w:noProof/>
            </w:rPr>
          </w:pPr>
          <w:r>
            <w:fldChar w:fldCharType="begin"/>
          </w:r>
          <w:r>
            <w:instrText>TOC \h \o "1-1"</w:instrText>
          </w:r>
          <w:r>
            <w:fldChar w:fldCharType="separate"/>
          </w:r>
          <w:hyperlink w:anchor="_Toc231836814" w:history="1">
            <w:r w:rsidR="00FE3869" w:rsidRPr="00430651">
              <w:rPr>
                <w:rStyle w:val="Hyperlink"/>
                <w:noProof/>
              </w:rPr>
              <w:t>Contents</w:t>
            </w:r>
            <w:r w:rsidR="00FE3869">
              <w:rPr>
                <w:noProof/>
              </w:rPr>
              <w:tab/>
            </w:r>
            <w:r w:rsidR="00FE3869">
              <w:rPr>
                <w:noProof/>
              </w:rPr>
              <w:fldChar w:fldCharType="begin"/>
            </w:r>
            <w:r w:rsidR="00FE3869">
              <w:rPr>
                <w:noProof/>
              </w:rPr>
              <w:instrText xml:space="preserve"> PAGEREF _Toc231836814 \h </w:instrText>
            </w:r>
            <w:r w:rsidR="00FE3869">
              <w:rPr>
                <w:noProof/>
              </w:rPr>
            </w:r>
            <w:r w:rsidR="00FE3869">
              <w:rPr>
                <w:noProof/>
              </w:rPr>
              <w:fldChar w:fldCharType="separate"/>
            </w:r>
            <w:r w:rsidR="00FE3869">
              <w:rPr>
                <w:noProof/>
              </w:rPr>
              <w:t>2</w:t>
            </w:r>
            <w:r w:rsidR="00FE3869">
              <w:rPr>
                <w:noProof/>
              </w:rPr>
              <w:fldChar w:fldCharType="end"/>
            </w:r>
          </w:hyperlink>
        </w:p>
        <w:p w14:paraId="55F79BEC" w14:textId="77777777" w:rsidR="00FE3869" w:rsidRDefault="00FE3869">
          <w:pPr>
            <w:pStyle w:val="TOC1"/>
            <w:tabs>
              <w:tab w:val="right" w:leader="dot" w:pos="9350"/>
            </w:tabs>
            <w:rPr>
              <w:noProof/>
            </w:rPr>
          </w:pPr>
          <w:hyperlink w:anchor="_Toc231836815" w:history="1">
            <w:r w:rsidRPr="00430651">
              <w:rPr>
                <w:rStyle w:val="Hyperlink"/>
                <w:noProof/>
              </w:rPr>
              <w:t>1.  Executive Summary</w:t>
            </w:r>
            <w:r>
              <w:rPr>
                <w:noProof/>
              </w:rPr>
              <w:tab/>
            </w:r>
            <w:r>
              <w:rPr>
                <w:noProof/>
              </w:rPr>
              <w:fldChar w:fldCharType="begin"/>
            </w:r>
            <w:r>
              <w:rPr>
                <w:noProof/>
              </w:rPr>
              <w:instrText xml:space="preserve"> PAGEREF _Toc231836815 \h </w:instrText>
            </w:r>
            <w:r>
              <w:rPr>
                <w:noProof/>
              </w:rPr>
            </w:r>
            <w:r>
              <w:rPr>
                <w:noProof/>
              </w:rPr>
              <w:fldChar w:fldCharType="separate"/>
            </w:r>
            <w:r>
              <w:rPr>
                <w:noProof/>
              </w:rPr>
              <w:t>3</w:t>
            </w:r>
            <w:r>
              <w:rPr>
                <w:noProof/>
              </w:rPr>
              <w:fldChar w:fldCharType="end"/>
            </w:r>
          </w:hyperlink>
        </w:p>
        <w:p w14:paraId="1725853A" w14:textId="77777777" w:rsidR="00FE3869" w:rsidRDefault="00FE3869">
          <w:pPr>
            <w:pStyle w:val="TOC1"/>
            <w:tabs>
              <w:tab w:val="right" w:leader="dot" w:pos="9350"/>
            </w:tabs>
            <w:rPr>
              <w:noProof/>
            </w:rPr>
          </w:pPr>
          <w:hyperlink w:anchor="_Toc231836816" w:history="1">
            <w:r w:rsidRPr="00430651">
              <w:rPr>
                <w:rStyle w:val="Hyperlink"/>
                <w:noProof/>
              </w:rPr>
              <w:t>2.  Purpose of this Paper and Decisions Sought</w:t>
            </w:r>
            <w:r>
              <w:rPr>
                <w:noProof/>
              </w:rPr>
              <w:tab/>
            </w:r>
            <w:r>
              <w:rPr>
                <w:noProof/>
              </w:rPr>
              <w:fldChar w:fldCharType="begin"/>
            </w:r>
            <w:r>
              <w:rPr>
                <w:noProof/>
              </w:rPr>
              <w:instrText xml:space="preserve"> PAGEREF _Toc231836816 \h </w:instrText>
            </w:r>
            <w:r>
              <w:rPr>
                <w:noProof/>
              </w:rPr>
            </w:r>
            <w:r>
              <w:rPr>
                <w:noProof/>
              </w:rPr>
              <w:fldChar w:fldCharType="separate"/>
            </w:r>
            <w:r>
              <w:rPr>
                <w:noProof/>
              </w:rPr>
              <w:t>3</w:t>
            </w:r>
            <w:r>
              <w:rPr>
                <w:noProof/>
              </w:rPr>
              <w:fldChar w:fldCharType="end"/>
            </w:r>
          </w:hyperlink>
        </w:p>
        <w:p w14:paraId="1574C968" w14:textId="77777777" w:rsidR="00FE3869" w:rsidRDefault="00FE3869">
          <w:pPr>
            <w:pStyle w:val="TOC1"/>
            <w:tabs>
              <w:tab w:val="right" w:leader="dot" w:pos="9350"/>
            </w:tabs>
            <w:rPr>
              <w:noProof/>
            </w:rPr>
          </w:pPr>
          <w:hyperlink w:anchor="_Toc231836817" w:history="1">
            <w:r w:rsidRPr="00430651">
              <w:rPr>
                <w:rStyle w:val="Hyperlink"/>
                <w:noProof/>
              </w:rPr>
              <w:t>3.  Strategic Rationale</w:t>
            </w:r>
            <w:r>
              <w:rPr>
                <w:noProof/>
              </w:rPr>
              <w:tab/>
            </w:r>
            <w:r>
              <w:rPr>
                <w:noProof/>
              </w:rPr>
              <w:fldChar w:fldCharType="begin"/>
            </w:r>
            <w:r>
              <w:rPr>
                <w:noProof/>
              </w:rPr>
              <w:instrText xml:space="preserve"> PAGEREF _Toc231836817 \h </w:instrText>
            </w:r>
            <w:r>
              <w:rPr>
                <w:noProof/>
              </w:rPr>
            </w:r>
            <w:r>
              <w:rPr>
                <w:noProof/>
              </w:rPr>
              <w:fldChar w:fldCharType="separate"/>
            </w:r>
            <w:r>
              <w:rPr>
                <w:noProof/>
              </w:rPr>
              <w:t>4</w:t>
            </w:r>
            <w:r>
              <w:rPr>
                <w:noProof/>
              </w:rPr>
              <w:fldChar w:fldCharType="end"/>
            </w:r>
          </w:hyperlink>
        </w:p>
        <w:p w14:paraId="3C5F4B43" w14:textId="77777777" w:rsidR="00FE3869" w:rsidRDefault="00FE3869">
          <w:pPr>
            <w:pStyle w:val="TOC1"/>
            <w:tabs>
              <w:tab w:val="right" w:leader="dot" w:pos="9350"/>
            </w:tabs>
            <w:rPr>
              <w:noProof/>
            </w:rPr>
          </w:pPr>
          <w:hyperlink w:anchor="_Toc231836818" w:history="1">
            <w:r w:rsidRPr="00430651">
              <w:rPr>
                <w:rStyle w:val="Hyperlink"/>
                <w:noProof/>
              </w:rPr>
              <w:t>4.  Services and Scope</w:t>
            </w:r>
            <w:r>
              <w:rPr>
                <w:noProof/>
              </w:rPr>
              <w:tab/>
            </w:r>
            <w:r>
              <w:rPr>
                <w:noProof/>
              </w:rPr>
              <w:fldChar w:fldCharType="begin"/>
            </w:r>
            <w:r>
              <w:rPr>
                <w:noProof/>
              </w:rPr>
              <w:instrText xml:space="preserve"> PAGEREF _Toc231836818 \h </w:instrText>
            </w:r>
            <w:r>
              <w:rPr>
                <w:noProof/>
              </w:rPr>
            </w:r>
            <w:r>
              <w:rPr>
                <w:noProof/>
              </w:rPr>
              <w:fldChar w:fldCharType="separate"/>
            </w:r>
            <w:r>
              <w:rPr>
                <w:noProof/>
              </w:rPr>
              <w:t>4</w:t>
            </w:r>
            <w:r>
              <w:rPr>
                <w:noProof/>
              </w:rPr>
              <w:fldChar w:fldCharType="end"/>
            </w:r>
          </w:hyperlink>
        </w:p>
        <w:p w14:paraId="2ED710D3" w14:textId="77777777" w:rsidR="00FE3869" w:rsidRDefault="00FE3869">
          <w:pPr>
            <w:pStyle w:val="TOC1"/>
            <w:tabs>
              <w:tab w:val="right" w:leader="dot" w:pos="9350"/>
            </w:tabs>
            <w:rPr>
              <w:noProof/>
            </w:rPr>
          </w:pPr>
          <w:hyperlink w:anchor="_Toc231836819" w:history="1">
            <w:r w:rsidRPr="00430651">
              <w:rPr>
                <w:rStyle w:val="Hyperlink"/>
                <w:noProof/>
              </w:rPr>
              <w:t>5.  Market Context</w:t>
            </w:r>
            <w:r>
              <w:rPr>
                <w:noProof/>
              </w:rPr>
              <w:tab/>
            </w:r>
            <w:r>
              <w:rPr>
                <w:noProof/>
              </w:rPr>
              <w:fldChar w:fldCharType="begin"/>
            </w:r>
            <w:r>
              <w:rPr>
                <w:noProof/>
              </w:rPr>
              <w:instrText xml:space="preserve"> PAGEREF _Toc231836819 \h </w:instrText>
            </w:r>
            <w:r>
              <w:rPr>
                <w:noProof/>
              </w:rPr>
            </w:r>
            <w:r>
              <w:rPr>
                <w:noProof/>
              </w:rPr>
              <w:fldChar w:fldCharType="separate"/>
            </w:r>
            <w:r>
              <w:rPr>
                <w:noProof/>
              </w:rPr>
              <w:t>5</w:t>
            </w:r>
            <w:r>
              <w:rPr>
                <w:noProof/>
              </w:rPr>
              <w:fldChar w:fldCharType="end"/>
            </w:r>
          </w:hyperlink>
        </w:p>
        <w:p w14:paraId="0BAD2D12" w14:textId="77777777" w:rsidR="00FE3869" w:rsidRDefault="00FE3869">
          <w:pPr>
            <w:pStyle w:val="TOC1"/>
            <w:tabs>
              <w:tab w:val="right" w:leader="dot" w:pos="9350"/>
            </w:tabs>
            <w:rPr>
              <w:noProof/>
            </w:rPr>
          </w:pPr>
          <w:hyperlink w:anchor="_Toc231836820" w:history="1">
            <w:r w:rsidRPr="00430651">
              <w:rPr>
                <w:rStyle w:val="Hyperlink"/>
                <w:noProof/>
              </w:rPr>
              <w:t>6.  Go-to-Market Strategy</w:t>
            </w:r>
            <w:r>
              <w:rPr>
                <w:noProof/>
              </w:rPr>
              <w:tab/>
            </w:r>
            <w:r>
              <w:rPr>
                <w:noProof/>
              </w:rPr>
              <w:fldChar w:fldCharType="begin"/>
            </w:r>
            <w:r>
              <w:rPr>
                <w:noProof/>
              </w:rPr>
              <w:instrText xml:space="preserve"> PAGEREF _Toc231836820 \h </w:instrText>
            </w:r>
            <w:r>
              <w:rPr>
                <w:noProof/>
              </w:rPr>
            </w:r>
            <w:r>
              <w:rPr>
                <w:noProof/>
              </w:rPr>
              <w:fldChar w:fldCharType="separate"/>
            </w:r>
            <w:r>
              <w:rPr>
                <w:noProof/>
              </w:rPr>
              <w:t>5</w:t>
            </w:r>
            <w:r>
              <w:rPr>
                <w:noProof/>
              </w:rPr>
              <w:fldChar w:fldCharType="end"/>
            </w:r>
          </w:hyperlink>
        </w:p>
        <w:p w14:paraId="0DA6CAC8" w14:textId="77777777" w:rsidR="00FE3869" w:rsidRDefault="00FE3869">
          <w:pPr>
            <w:pStyle w:val="TOC1"/>
            <w:tabs>
              <w:tab w:val="right" w:leader="dot" w:pos="9350"/>
            </w:tabs>
            <w:rPr>
              <w:noProof/>
            </w:rPr>
          </w:pPr>
          <w:hyperlink w:anchor="_Toc231836821" w:history="1">
            <w:r w:rsidRPr="00430651">
              <w:rPr>
                <w:rStyle w:val="Hyperlink"/>
                <w:noProof/>
              </w:rPr>
              <w:t>7.  Accreditations and Insurance Roadmap</w:t>
            </w:r>
            <w:r>
              <w:rPr>
                <w:noProof/>
              </w:rPr>
              <w:tab/>
            </w:r>
            <w:r>
              <w:rPr>
                <w:noProof/>
              </w:rPr>
              <w:fldChar w:fldCharType="begin"/>
            </w:r>
            <w:r>
              <w:rPr>
                <w:noProof/>
              </w:rPr>
              <w:instrText xml:space="preserve"> PAGEREF _Toc231836821 \h </w:instrText>
            </w:r>
            <w:r>
              <w:rPr>
                <w:noProof/>
              </w:rPr>
            </w:r>
            <w:r>
              <w:rPr>
                <w:noProof/>
              </w:rPr>
              <w:fldChar w:fldCharType="separate"/>
            </w:r>
            <w:r>
              <w:rPr>
                <w:noProof/>
              </w:rPr>
              <w:t>6</w:t>
            </w:r>
            <w:r>
              <w:rPr>
                <w:noProof/>
              </w:rPr>
              <w:fldChar w:fldCharType="end"/>
            </w:r>
          </w:hyperlink>
        </w:p>
        <w:p w14:paraId="52BE19D2" w14:textId="77777777" w:rsidR="00FE3869" w:rsidRDefault="00FE3869">
          <w:pPr>
            <w:pStyle w:val="TOC1"/>
            <w:tabs>
              <w:tab w:val="right" w:leader="dot" w:pos="9350"/>
            </w:tabs>
            <w:rPr>
              <w:noProof/>
            </w:rPr>
          </w:pPr>
          <w:hyperlink w:anchor="_Toc231836822" w:history="1">
            <w:r w:rsidRPr="00430651">
              <w:rPr>
                <w:rStyle w:val="Hyperlink"/>
                <w:noProof/>
              </w:rPr>
              <w:t>8.  Financial Plan</w:t>
            </w:r>
            <w:r>
              <w:rPr>
                <w:noProof/>
              </w:rPr>
              <w:tab/>
            </w:r>
            <w:r>
              <w:rPr>
                <w:noProof/>
              </w:rPr>
              <w:fldChar w:fldCharType="begin"/>
            </w:r>
            <w:r>
              <w:rPr>
                <w:noProof/>
              </w:rPr>
              <w:instrText xml:space="preserve"> PAGEREF _Toc231836822 \h </w:instrText>
            </w:r>
            <w:r>
              <w:rPr>
                <w:noProof/>
              </w:rPr>
            </w:r>
            <w:r>
              <w:rPr>
                <w:noProof/>
              </w:rPr>
              <w:fldChar w:fldCharType="separate"/>
            </w:r>
            <w:r>
              <w:rPr>
                <w:noProof/>
              </w:rPr>
              <w:t>7</w:t>
            </w:r>
            <w:r>
              <w:rPr>
                <w:noProof/>
              </w:rPr>
              <w:fldChar w:fldCharType="end"/>
            </w:r>
          </w:hyperlink>
        </w:p>
        <w:p w14:paraId="61F16BD9" w14:textId="77777777" w:rsidR="00FE3869" w:rsidRDefault="00FE3869">
          <w:pPr>
            <w:pStyle w:val="TOC1"/>
            <w:tabs>
              <w:tab w:val="right" w:leader="dot" w:pos="9350"/>
            </w:tabs>
            <w:rPr>
              <w:noProof/>
            </w:rPr>
          </w:pPr>
          <w:hyperlink w:anchor="_Toc231836823" w:history="1">
            <w:r w:rsidRPr="00430651">
              <w:rPr>
                <w:rStyle w:val="Hyperlink"/>
                <w:noProof/>
              </w:rPr>
              <w:t>9.  Operations and Team</w:t>
            </w:r>
            <w:r>
              <w:rPr>
                <w:noProof/>
              </w:rPr>
              <w:tab/>
            </w:r>
            <w:r>
              <w:rPr>
                <w:noProof/>
              </w:rPr>
              <w:fldChar w:fldCharType="begin"/>
            </w:r>
            <w:r>
              <w:rPr>
                <w:noProof/>
              </w:rPr>
              <w:instrText xml:space="preserve"> PAGEREF _Toc231836823 \h </w:instrText>
            </w:r>
            <w:r>
              <w:rPr>
                <w:noProof/>
              </w:rPr>
            </w:r>
            <w:r>
              <w:rPr>
                <w:noProof/>
              </w:rPr>
              <w:fldChar w:fldCharType="separate"/>
            </w:r>
            <w:r>
              <w:rPr>
                <w:noProof/>
              </w:rPr>
              <w:t>8</w:t>
            </w:r>
            <w:r>
              <w:rPr>
                <w:noProof/>
              </w:rPr>
              <w:fldChar w:fldCharType="end"/>
            </w:r>
          </w:hyperlink>
        </w:p>
        <w:p w14:paraId="05C34684" w14:textId="77777777" w:rsidR="00FE3869" w:rsidRDefault="00FE3869">
          <w:pPr>
            <w:pStyle w:val="TOC1"/>
            <w:tabs>
              <w:tab w:val="right" w:leader="dot" w:pos="9350"/>
            </w:tabs>
            <w:rPr>
              <w:noProof/>
            </w:rPr>
          </w:pPr>
          <w:hyperlink w:anchor="_Toc231836824" w:history="1">
            <w:r w:rsidRPr="00430651">
              <w:rPr>
                <w:rStyle w:val="Hyperlink"/>
                <w:noProof/>
              </w:rPr>
              <w:t>10.  Launch Plan — to 1 July and First 90 Days</w:t>
            </w:r>
            <w:r>
              <w:rPr>
                <w:noProof/>
              </w:rPr>
              <w:tab/>
            </w:r>
            <w:r>
              <w:rPr>
                <w:noProof/>
              </w:rPr>
              <w:fldChar w:fldCharType="begin"/>
            </w:r>
            <w:r>
              <w:rPr>
                <w:noProof/>
              </w:rPr>
              <w:instrText xml:space="preserve"> PAGEREF _Toc231836824 \h </w:instrText>
            </w:r>
            <w:r>
              <w:rPr>
                <w:noProof/>
              </w:rPr>
            </w:r>
            <w:r>
              <w:rPr>
                <w:noProof/>
              </w:rPr>
              <w:fldChar w:fldCharType="separate"/>
            </w:r>
            <w:r>
              <w:rPr>
                <w:noProof/>
              </w:rPr>
              <w:t>10</w:t>
            </w:r>
            <w:r>
              <w:rPr>
                <w:noProof/>
              </w:rPr>
              <w:fldChar w:fldCharType="end"/>
            </w:r>
          </w:hyperlink>
        </w:p>
        <w:p w14:paraId="2F74F1E6" w14:textId="77777777" w:rsidR="00FE3869" w:rsidRDefault="00FE3869">
          <w:pPr>
            <w:pStyle w:val="TOC1"/>
            <w:tabs>
              <w:tab w:val="right" w:leader="dot" w:pos="9350"/>
            </w:tabs>
            <w:rPr>
              <w:noProof/>
            </w:rPr>
          </w:pPr>
          <w:hyperlink w:anchor="_Toc231836825" w:history="1">
            <w:r w:rsidRPr="00430651">
              <w:rPr>
                <w:rStyle w:val="Hyperlink"/>
                <w:noProof/>
              </w:rPr>
              <w:t>11.  Principal Risks and Mitigants</w:t>
            </w:r>
            <w:r>
              <w:rPr>
                <w:noProof/>
              </w:rPr>
              <w:tab/>
            </w:r>
            <w:r>
              <w:rPr>
                <w:noProof/>
              </w:rPr>
              <w:fldChar w:fldCharType="begin"/>
            </w:r>
            <w:r>
              <w:rPr>
                <w:noProof/>
              </w:rPr>
              <w:instrText xml:space="preserve"> PAGEREF _Toc231836825 \h </w:instrText>
            </w:r>
            <w:r>
              <w:rPr>
                <w:noProof/>
              </w:rPr>
            </w:r>
            <w:r>
              <w:rPr>
                <w:noProof/>
              </w:rPr>
              <w:fldChar w:fldCharType="separate"/>
            </w:r>
            <w:r>
              <w:rPr>
                <w:noProof/>
              </w:rPr>
              <w:t>10</w:t>
            </w:r>
            <w:r>
              <w:rPr>
                <w:noProof/>
              </w:rPr>
              <w:fldChar w:fldCharType="end"/>
            </w:r>
          </w:hyperlink>
        </w:p>
        <w:p w14:paraId="3470C405" w14:textId="77777777" w:rsidR="00FE3869" w:rsidRDefault="00FE3869">
          <w:pPr>
            <w:pStyle w:val="TOC1"/>
            <w:tabs>
              <w:tab w:val="right" w:leader="dot" w:pos="9350"/>
            </w:tabs>
            <w:rPr>
              <w:noProof/>
            </w:rPr>
          </w:pPr>
          <w:hyperlink w:anchor="_Toc231836826" w:history="1">
            <w:r w:rsidRPr="00430651">
              <w:rPr>
                <w:rStyle w:val="Hyperlink"/>
                <w:noProof/>
              </w:rPr>
              <w:t>12.  Relationship to Gemini and the Group</w:t>
            </w:r>
            <w:r>
              <w:rPr>
                <w:noProof/>
              </w:rPr>
              <w:tab/>
            </w:r>
            <w:r>
              <w:rPr>
                <w:noProof/>
              </w:rPr>
              <w:fldChar w:fldCharType="begin"/>
            </w:r>
            <w:r>
              <w:rPr>
                <w:noProof/>
              </w:rPr>
              <w:instrText xml:space="preserve"> PAGEREF _Toc231836826 \h </w:instrText>
            </w:r>
            <w:r>
              <w:rPr>
                <w:noProof/>
              </w:rPr>
            </w:r>
            <w:r>
              <w:rPr>
                <w:noProof/>
              </w:rPr>
              <w:fldChar w:fldCharType="separate"/>
            </w:r>
            <w:r>
              <w:rPr>
                <w:noProof/>
              </w:rPr>
              <w:t>10</w:t>
            </w:r>
            <w:r>
              <w:rPr>
                <w:noProof/>
              </w:rPr>
              <w:fldChar w:fldCharType="end"/>
            </w:r>
          </w:hyperlink>
        </w:p>
        <w:p w14:paraId="651CC7E2" w14:textId="77777777" w:rsidR="00FE3869" w:rsidRDefault="00FE3869">
          <w:pPr>
            <w:pStyle w:val="TOC1"/>
            <w:tabs>
              <w:tab w:val="right" w:leader="dot" w:pos="9350"/>
            </w:tabs>
            <w:rPr>
              <w:noProof/>
            </w:rPr>
          </w:pPr>
          <w:hyperlink w:anchor="_Toc231836827" w:history="1">
            <w:r w:rsidRPr="00430651">
              <w:rPr>
                <w:rStyle w:val="Hyperlink"/>
                <w:noProof/>
              </w:rPr>
              <w:t>13.  Decision and Next Steps</w:t>
            </w:r>
            <w:r>
              <w:rPr>
                <w:noProof/>
              </w:rPr>
              <w:tab/>
            </w:r>
            <w:r>
              <w:rPr>
                <w:noProof/>
              </w:rPr>
              <w:fldChar w:fldCharType="begin"/>
            </w:r>
            <w:r>
              <w:rPr>
                <w:noProof/>
              </w:rPr>
              <w:instrText xml:space="preserve"> PAGEREF _Toc231836827 \h </w:instrText>
            </w:r>
            <w:r>
              <w:rPr>
                <w:noProof/>
              </w:rPr>
            </w:r>
            <w:r>
              <w:rPr>
                <w:noProof/>
              </w:rPr>
              <w:fldChar w:fldCharType="separate"/>
            </w:r>
            <w:r>
              <w:rPr>
                <w:noProof/>
              </w:rPr>
              <w:t>11</w:t>
            </w:r>
            <w:r>
              <w:rPr>
                <w:noProof/>
              </w:rPr>
              <w:fldChar w:fldCharType="end"/>
            </w:r>
          </w:hyperlink>
        </w:p>
        <w:p w14:paraId="1C2D21AA" w14:textId="77777777" w:rsidR="0052537A" w:rsidRDefault="00000000">
          <w:r>
            <w:fldChar w:fldCharType="end"/>
          </w:r>
        </w:p>
      </w:sdtContent>
    </w:sdt>
    <w:p w14:paraId="0A713434" w14:textId="77777777" w:rsidR="0052537A" w:rsidRDefault="00000000">
      <w:r>
        <w:br w:type="page"/>
      </w:r>
    </w:p>
    <w:p w14:paraId="33EC6045" w14:textId="77777777" w:rsidR="0052537A" w:rsidRDefault="00000000">
      <w:pPr>
        <w:pStyle w:val="Heading1"/>
      </w:pPr>
      <w:bookmarkStart w:id="1" w:name="_Toc231836815"/>
      <w:r>
        <w:lastRenderedPageBreak/>
        <w:t>1.  Executive Summary</w:t>
      </w:r>
      <w:bookmarkEnd w:id="1"/>
    </w:p>
    <w:p w14:paraId="0E360572" w14:textId="77777777" w:rsidR="0052537A" w:rsidRDefault="00000000">
      <w:pPr>
        <w:spacing w:after="140" w:line="276" w:lineRule="auto"/>
      </w:pPr>
      <w:r>
        <w:t>AMPM Building Services Limited is an incorporated, trading subsidiary of AMPM Group Limited. It is launched as a full building-services contractor across five service lines: mechanical and electrical (M&amp;E), fit-out, fabric, roofing, and groundworks. The entity exists to capture building-services work currently sub-contracted out of Gemini AMPM to third parties — bringing that margin in-house, onto a separate profit-and-loss account, with a clean and clearly governed risk profile.</w:t>
      </w:r>
    </w:p>
    <w:p w14:paraId="497B99BD" w14:textId="77777777" w:rsidR="0052537A" w:rsidRDefault="00000000">
      <w:pPr>
        <w:spacing w:after="140" w:line="276" w:lineRule="auto"/>
      </w:pPr>
      <w:r>
        <w:t>The strategy is deliberately phased. In Phase 1, AMPM Building Services sub-contracts into Gemini AMPM on live projects, generating immediate revenue with minimal new-business risk. In Phase 2, the entity wins its own direct clients, building an independent order book. The Year-1 revenue target is £4.0 million.</w:t>
      </w:r>
    </w:p>
    <w:p w14:paraId="25C5D1C3" w14:textId="77777777" w:rsidR="0052537A" w:rsidRDefault="00000000">
      <w:pPr>
        <w:spacing w:after="140" w:line="276" w:lineRule="auto"/>
      </w:pPr>
      <w:r>
        <w:rPr>
          <w:b/>
          <w:bCs/>
        </w:rPr>
        <w:t xml:space="preserve">This structure de-risks Gemini AMPM. </w:t>
      </w:r>
      <w:r>
        <w:t>New supply-chain relationships, new client credit exposures and the operating risks of a fast-growing entity are held in the new company — not consolidated onto the balance sheet and accreditation register of the Group's 27-year-old flagship.</w:t>
      </w:r>
    </w:p>
    <w:p w14:paraId="310CE11C" w14:textId="77777777" w:rsidR="0052537A" w:rsidRDefault="00000000">
      <w:pPr>
        <w:spacing w:after="140" w:line="276" w:lineRule="auto"/>
      </w:pPr>
      <w:r>
        <w:t>The financial plan is conservative by design. Year 1 is planned as a controlled near-breakeven (operating profit of approximately £54k on £4.0m revenue) as the entity establishes its supply chain, accreditations and direct order book. Margin matures as the higher-value direct channel grows: the plan reaches approximately £10m revenue and 2.8% EBITDA by Year 3.</w:t>
      </w:r>
    </w:p>
    <w:p w14:paraId="5624BCA6" w14:textId="77777777" w:rsidR="0052537A" w:rsidRDefault="0052537A">
      <w:pPr>
        <w:spacing w:after="80"/>
      </w:pPr>
    </w:p>
    <w:p w14:paraId="5A65FF19" w14:textId="77777777" w:rsidR="0052537A" w:rsidRDefault="00000000">
      <w:pPr>
        <w:spacing w:after="100" w:line="276" w:lineRule="auto"/>
      </w:pPr>
      <w:r>
        <w:rPr>
          <w:b/>
          <w:bCs/>
        </w:rPr>
        <w:t>Headline financials (£'000):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6"/>
        <w:gridCol w:w="1808"/>
        <w:gridCol w:w="1808"/>
        <w:gridCol w:w="1808"/>
      </w:tblGrid>
      <w:tr w:rsidR="0052537A" w14:paraId="76EC400D" w14:textId="77777777">
        <w:tblPrEx>
          <w:tblCellMar>
            <w:top w:w="0" w:type="dxa"/>
            <w:bottom w:w="0" w:type="dxa"/>
          </w:tblCellMar>
        </w:tblPrEx>
        <w:trPr>
          <w:tblHeader/>
        </w:trPr>
        <w:tc>
          <w:tcPr>
            <w:tcW w:w="3936"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15F85746" w14:textId="77777777" w:rsidR="0052537A" w:rsidRDefault="0052537A"/>
        </w:tc>
        <w:tc>
          <w:tcPr>
            <w:tcW w:w="1808"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7338CF33" w14:textId="77777777" w:rsidR="0052537A" w:rsidRDefault="00000000">
            <w:pPr>
              <w:jc w:val="right"/>
            </w:pPr>
            <w:r>
              <w:rPr>
                <w:b/>
                <w:bCs/>
                <w:color w:val="FFFFFF"/>
                <w:sz w:val="19"/>
                <w:szCs w:val="19"/>
              </w:rPr>
              <w:t>Year 1</w:t>
            </w:r>
          </w:p>
        </w:tc>
        <w:tc>
          <w:tcPr>
            <w:tcW w:w="1808"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6571CF43" w14:textId="77777777" w:rsidR="0052537A" w:rsidRDefault="00000000">
            <w:pPr>
              <w:jc w:val="right"/>
            </w:pPr>
            <w:r>
              <w:rPr>
                <w:b/>
                <w:bCs/>
                <w:color w:val="FFFFFF"/>
                <w:sz w:val="19"/>
                <w:szCs w:val="19"/>
              </w:rPr>
              <w:t>Year 2</w:t>
            </w:r>
          </w:p>
        </w:tc>
        <w:tc>
          <w:tcPr>
            <w:tcW w:w="1808"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5A292138" w14:textId="77777777" w:rsidR="0052537A" w:rsidRDefault="00000000">
            <w:pPr>
              <w:jc w:val="right"/>
            </w:pPr>
            <w:r>
              <w:rPr>
                <w:b/>
                <w:bCs/>
                <w:color w:val="FFFFFF"/>
                <w:sz w:val="19"/>
                <w:szCs w:val="19"/>
              </w:rPr>
              <w:t>Year 3</w:t>
            </w:r>
          </w:p>
        </w:tc>
      </w:tr>
      <w:tr w:rsidR="0052537A" w14:paraId="7FBA90A2" w14:textId="77777777">
        <w:tblPrEx>
          <w:tblCellMar>
            <w:top w:w="0" w:type="dxa"/>
            <w:bottom w:w="0" w:type="dxa"/>
          </w:tblCellMar>
        </w:tblPrEx>
        <w:tc>
          <w:tcPr>
            <w:tcW w:w="3936"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60622357" w14:textId="77777777" w:rsidR="0052537A" w:rsidRDefault="00000000">
            <w:r>
              <w:rPr>
                <w:color w:val="000000"/>
                <w:sz w:val="19"/>
                <w:szCs w:val="19"/>
              </w:rPr>
              <w:t>Revenue</w:t>
            </w:r>
          </w:p>
        </w:tc>
        <w:tc>
          <w:tcPr>
            <w:tcW w:w="1808"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2FF29ABF" w14:textId="77777777" w:rsidR="0052537A" w:rsidRDefault="00000000">
            <w:pPr>
              <w:jc w:val="right"/>
            </w:pPr>
            <w:r>
              <w:rPr>
                <w:color w:val="000000"/>
                <w:sz w:val="19"/>
                <w:szCs w:val="19"/>
              </w:rPr>
              <w:t>4,000</w:t>
            </w:r>
          </w:p>
        </w:tc>
        <w:tc>
          <w:tcPr>
            <w:tcW w:w="1808"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09275893" w14:textId="77777777" w:rsidR="0052537A" w:rsidRDefault="00000000">
            <w:pPr>
              <w:jc w:val="right"/>
            </w:pPr>
            <w:r>
              <w:rPr>
                <w:color w:val="000000"/>
                <w:sz w:val="19"/>
                <w:szCs w:val="19"/>
              </w:rPr>
              <w:t>7,000</w:t>
            </w:r>
          </w:p>
        </w:tc>
        <w:tc>
          <w:tcPr>
            <w:tcW w:w="1808"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457DA1F2" w14:textId="77777777" w:rsidR="0052537A" w:rsidRDefault="00000000">
            <w:pPr>
              <w:jc w:val="right"/>
            </w:pPr>
            <w:r>
              <w:rPr>
                <w:color w:val="000000"/>
                <w:sz w:val="19"/>
                <w:szCs w:val="19"/>
              </w:rPr>
              <w:t>10,000</w:t>
            </w:r>
          </w:p>
        </w:tc>
      </w:tr>
      <w:tr w:rsidR="0052537A" w14:paraId="2C4FFD97" w14:textId="77777777">
        <w:tblPrEx>
          <w:tblCellMar>
            <w:top w:w="0" w:type="dxa"/>
            <w:bottom w:w="0" w:type="dxa"/>
          </w:tblCellMar>
        </w:tblPrEx>
        <w:tc>
          <w:tcPr>
            <w:tcW w:w="3936"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334BA13F" w14:textId="77777777" w:rsidR="0052537A" w:rsidRDefault="00000000">
            <w:r>
              <w:rPr>
                <w:color w:val="000000"/>
                <w:sz w:val="19"/>
                <w:szCs w:val="19"/>
              </w:rPr>
              <w:t>Gross profit</w:t>
            </w:r>
          </w:p>
        </w:tc>
        <w:tc>
          <w:tcPr>
            <w:tcW w:w="1808"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7775B43E" w14:textId="77777777" w:rsidR="0052537A" w:rsidRDefault="00000000">
            <w:pPr>
              <w:jc w:val="right"/>
            </w:pPr>
            <w:r>
              <w:rPr>
                <w:color w:val="000000"/>
                <w:sz w:val="19"/>
                <w:szCs w:val="19"/>
              </w:rPr>
              <w:t>585</w:t>
            </w:r>
          </w:p>
        </w:tc>
        <w:tc>
          <w:tcPr>
            <w:tcW w:w="1808"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79909DDD" w14:textId="77777777" w:rsidR="0052537A" w:rsidRDefault="00000000">
            <w:pPr>
              <w:jc w:val="right"/>
            </w:pPr>
            <w:r>
              <w:rPr>
                <w:color w:val="000000"/>
                <w:sz w:val="19"/>
                <w:szCs w:val="19"/>
              </w:rPr>
              <w:t>1,063</w:t>
            </w:r>
          </w:p>
        </w:tc>
        <w:tc>
          <w:tcPr>
            <w:tcW w:w="1808"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3C052457" w14:textId="77777777" w:rsidR="0052537A" w:rsidRDefault="00000000">
            <w:pPr>
              <w:jc w:val="right"/>
            </w:pPr>
            <w:r>
              <w:rPr>
                <w:color w:val="000000"/>
                <w:sz w:val="19"/>
                <w:szCs w:val="19"/>
              </w:rPr>
              <w:t>1,540</w:t>
            </w:r>
          </w:p>
        </w:tc>
      </w:tr>
      <w:tr w:rsidR="0052537A" w14:paraId="6F592FDF" w14:textId="77777777">
        <w:tblPrEx>
          <w:tblCellMar>
            <w:top w:w="0" w:type="dxa"/>
            <w:bottom w:w="0" w:type="dxa"/>
          </w:tblCellMar>
        </w:tblPrEx>
        <w:tc>
          <w:tcPr>
            <w:tcW w:w="3936"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13C0577C" w14:textId="77777777" w:rsidR="0052537A" w:rsidRDefault="00000000">
            <w:r>
              <w:rPr>
                <w:color w:val="000000"/>
                <w:sz w:val="19"/>
                <w:szCs w:val="19"/>
              </w:rPr>
              <w:t>Gross margin %</w:t>
            </w:r>
          </w:p>
        </w:tc>
        <w:tc>
          <w:tcPr>
            <w:tcW w:w="1808"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4E8EA6A" w14:textId="77777777" w:rsidR="0052537A" w:rsidRDefault="00000000">
            <w:pPr>
              <w:jc w:val="right"/>
            </w:pPr>
            <w:r>
              <w:rPr>
                <w:color w:val="000000"/>
                <w:sz w:val="19"/>
                <w:szCs w:val="19"/>
              </w:rPr>
              <w:t>14.6%</w:t>
            </w:r>
          </w:p>
        </w:tc>
        <w:tc>
          <w:tcPr>
            <w:tcW w:w="1808"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0675D175" w14:textId="77777777" w:rsidR="0052537A" w:rsidRDefault="00000000">
            <w:pPr>
              <w:jc w:val="right"/>
            </w:pPr>
            <w:r>
              <w:rPr>
                <w:color w:val="000000"/>
                <w:sz w:val="19"/>
                <w:szCs w:val="19"/>
              </w:rPr>
              <w:t>15.2%</w:t>
            </w:r>
          </w:p>
        </w:tc>
        <w:tc>
          <w:tcPr>
            <w:tcW w:w="1808"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70F12D06" w14:textId="77777777" w:rsidR="0052537A" w:rsidRDefault="00000000">
            <w:pPr>
              <w:jc w:val="right"/>
            </w:pPr>
            <w:r>
              <w:rPr>
                <w:color w:val="000000"/>
                <w:sz w:val="19"/>
                <w:szCs w:val="19"/>
              </w:rPr>
              <w:t>15.4%</w:t>
            </w:r>
          </w:p>
        </w:tc>
      </w:tr>
      <w:tr w:rsidR="0052537A" w14:paraId="6CBFD14C" w14:textId="77777777">
        <w:tblPrEx>
          <w:tblCellMar>
            <w:top w:w="0" w:type="dxa"/>
            <w:bottom w:w="0" w:type="dxa"/>
          </w:tblCellMar>
        </w:tblPrEx>
        <w:tc>
          <w:tcPr>
            <w:tcW w:w="3936"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4B8E5F0B" w14:textId="77777777" w:rsidR="0052537A" w:rsidRDefault="00000000">
            <w:r>
              <w:rPr>
                <w:color w:val="000000"/>
                <w:sz w:val="19"/>
                <w:szCs w:val="19"/>
              </w:rPr>
              <w:t>EBITDA</w:t>
            </w:r>
          </w:p>
        </w:tc>
        <w:tc>
          <w:tcPr>
            <w:tcW w:w="1808"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2FE10B87" w14:textId="77777777" w:rsidR="0052537A" w:rsidRDefault="00000000">
            <w:pPr>
              <w:jc w:val="right"/>
            </w:pPr>
            <w:r>
              <w:rPr>
                <w:color w:val="000000"/>
                <w:sz w:val="19"/>
                <w:szCs w:val="19"/>
              </w:rPr>
              <w:t>62</w:t>
            </w:r>
          </w:p>
        </w:tc>
        <w:tc>
          <w:tcPr>
            <w:tcW w:w="1808"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67840E69" w14:textId="77777777" w:rsidR="0052537A" w:rsidRDefault="00000000">
            <w:pPr>
              <w:jc w:val="right"/>
            </w:pPr>
            <w:r>
              <w:rPr>
                <w:color w:val="000000"/>
                <w:sz w:val="19"/>
                <w:szCs w:val="19"/>
              </w:rPr>
              <w:t>166</w:t>
            </w:r>
          </w:p>
        </w:tc>
        <w:tc>
          <w:tcPr>
            <w:tcW w:w="1808"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5029C037" w14:textId="77777777" w:rsidR="0052537A" w:rsidRDefault="00000000">
            <w:pPr>
              <w:jc w:val="right"/>
            </w:pPr>
            <w:r>
              <w:rPr>
                <w:color w:val="000000"/>
                <w:sz w:val="19"/>
                <w:szCs w:val="19"/>
              </w:rPr>
              <w:t>282</w:t>
            </w:r>
          </w:p>
        </w:tc>
      </w:tr>
      <w:tr w:rsidR="0052537A" w14:paraId="58BC9939" w14:textId="77777777">
        <w:tblPrEx>
          <w:tblCellMar>
            <w:top w:w="0" w:type="dxa"/>
            <w:bottom w:w="0" w:type="dxa"/>
          </w:tblCellMar>
        </w:tblPrEx>
        <w:tc>
          <w:tcPr>
            <w:tcW w:w="3936"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15CD5037" w14:textId="77777777" w:rsidR="0052537A" w:rsidRDefault="00000000">
            <w:r>
              <w:rPr>
                <w:color w:val="000000"/>
                <w:sz w:val="19"/>
                <w:szCs w:val="19"/>
              </w:rPr>
              <w:t>Operating profit</w:t>
            </w:r>
          </w:p>
        </w:tc>
        <w:tc>
          <w:tcPr>
            <w:tcW w:w="1808"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008B0E59" w14:textId="77777777" w:rsidR="0052537A" w:rsidRDefault="00000000">
            <w:pPr>
              <w:jc w:val="right"/>
            </w:pPr>
            <w:r>
              <w:rPr>
                <w:color w:val="000000"/>
                <w:sz w:val="19"/>
                <w:szCs w:val="19"/>
              </w:rPr>
              <w:t>54</w:t>
            </w:r>
          </w:p>
        </w:tc>
        <w:tc>
          <w:tcPr>
            <w:tcW w:w="1808"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71B220EE" w14:textId="77777777" w:rsidR="0052537A" w:rsidRDefault="00000000">
            <w:pPr>
              <w:jc w:val="right"/>
            </w:pPr>
            <w:r>
              <w:rPr>
                <w:color w:val="000000"/>
                <w:sz w:val="19"/>
                <w:szCs w:val="19"/>
              </w:rPr>
              <w:t>154</w:t>
            </w:r>
          </w:p>
        </w:tc>
        <w:tc>
          <w:tcPr>
            <w:tcW w:w="1808"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9A637EE" w14:textId="77777777" w:rsidR="0052537A" w:rsidRDefault="00000000">
            <w:pPr>
              <w:jc w:val="right"/>
            </w:pPr>
            <w:r>
              <w:rPr>
                <w:color w:val="000000"/>
                <w:sz w:val="19"/>
                <w:szCs w:val="19"/>
              </w:rPr>
              <w:t>266</w:t>
            </w:r>
          </w:p>
        </w:tc>
      </w:tr>
      <w:tr w:rsidR="0052537A" w14:paraId="5EE6C8EB" w14:textId="77777777">
        <w:tblPrEx>
          <w:tblCellMar>
            <w:top w:w="0" w:type="dxa"/>
            <w:bottom w:w="0" w:type="dxa"/>
          </w:tblCellMar>
        </w:tblPrEx>
        <w:tc>
          <w:tcPr>
            <w:tcW w:w="3936"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64F11E6" w14:textId="77777777" w:rsidR="0052537A" w:rsidRDefault="00000000">
            <w:r>
              <w:rPr>
                <w:b/>
                <w:bCs/>
                <w:color w:val="000000"/>
                <w:sz w:val="19"/>
                <w:szCs w:val="19"/>
              </w:rPr>
              <w:t>Operating margin %</w:t>
            </w:r>
          </w:p>
        </w:tc>
        <w:tc>
          <w:tcPr>
            <w:tcW w:w="1808"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326E7780" w14:textId="77777777" w:rsidR="0052537A" w:rsidRDefault="00000000">
            <w:pPr>
              <w:jc w:val="right"/>
            </w:pPr>
            <w:r>
              <w:rPr>
                <w:b/>
                <w:bCs/>
                <w:color w:val="000000"/>
                <w:sz w:val="19"/>
                <w:szCs w:val="19"/>
              </w:rPr>
              <w:t>1.4%</w:t>
            </w:r>
          </w:p>
        </w:tc>
        <w:tc>
          <w:tcPr>
            <w:tcW w:w="1808"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2EB4643" w14:textId="77777777" w:rsidR="0052537A" w:rsidRDefault="00000000">
            <w:pPr>
              <w:jc w:val="right"/>
            </w:pPr>
            <w:r>
              <w:rPr>
                <w:b/>
                <w:bCs/>
                <w:color w:val="000000"/>
                <w:sz w:val="19"/>
                <w:szCs w:val="19"/>
              </w:rPr>
              <w:t>2.2%</w:t>
            </w:r>
          </w:p>
        </w:tc>
        <w:tc>
          <w:tcPr>
            <w:tcW w:w="1808"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26F34D3C" w14:textId="77777777" w:rsidR="0052537A" w:rsidRDefault="00000000">
            <w:pPr>
              <w:jc w:val="right"/>
            </w:pPr>
            <w:r>
              <w:rPr>
                <w:b/>
                <w:bCs/>
                <w:color w:val="000000"/>
                <w:sz w:val="19"/>
                <w:szCs w:val="19"/>
              </w:rPr>
              <w:t>2.7%</w:t>
            </w:r>
          </w:p>
        </w:tc>
      </w:tr>
    </w:tbl>
    <w:p w14:paraId="56B6BC35" w14:textId="77777777" w:rsidR="0052537A" w:rsidRDefault="00000000">
      <w:pPr>
        <w:spacing w:line="276" w:lineRule="auto"/>
      </w:pPr>
      <w:r>
        <w:rPr>
          <w:i/>
          <w:iCs/>
          <w:color w:val="555555"/>
          <w:sz w:val="16"/>
          <w:szCs w:val="16"/>
        </w:rPr>
        <w:t>Source: AMPM Building Services Financial Model v1.0 (June 2026). All figures illustrative and subject to board approval.</w:t>
      </w:r>
    </w:p>
    <w:p w14:paraId="3B5F191E" w14:textId="77777777" w:rsidR="0052537A" w:rsidRDefault="00000000">
      <w:pPr>
        <w:pStyle w:val="Heading1"/>
      </w:pPr>
      <w:bookmarkStart w:id="2" w:name="_Toc231836816"/>
      <w:r>
        <w:t>2.  Purpose of this Paper and Decisions Sought</w:t>
      </w:r>
      <w:bookmarkEnd w:id="2"/>
    </w:p>
    <w:p w14:paraId="4A5361E6" w14:textId="77777777" w:rsidR="0052537A" w:rsidRDefault="00000000">
      <w:pPr>
        <w:spacing w:after="140" w:line="276" w:lineRule="auto"/>
      </w:pPr>
      <w:r>
        <w:t>This paper sets out the operational and financial case for trading AMPM Building Services Limited from 1 July 2026. It is presented to the AMPM Group board for formal approval of the launch, the Year-1 plan, and the specific decisions below.</w:t>
      </w:r>
    </w:p>
    <w:p w14:paraId="7BDF91C3" w14:textId="77777777" w:rsidR="0052537A" w:rsidRDefault="00000000">
      <w:pPr>
        <w:spacing w:after="100" w:line="276" w:lineRule="auto"/>
      </w:pPr>
      <w:r>
        <w:rPr>
          <w:b/>
          <w:bCs/>
        </w:rPr>
        <w:t>Decisions sought:</w:t>
      </w:r>
    </w:p>
    <w:p w14:paraId="4AE7E48B" w14:textId="77777777" w:rsidR="0052537A" w:rsidRDefault="00000000">
      <w:pPr>
        <w:pStyle w:val="ListParagraph"/>
        <w:numPr>
          <w:ilvl w:val="0"/>
          <w:numId w:val="2"/>
        </w:numPr>
        <w:spacing w:after="90" w:line="276" w:lineRule="auto"/>
      </w:pPr>
      <w:r>
        <w:t>Approve the launch of AMPM Building Services Limited as a trading subsidiary from 1 July 2026, operating across the five service lines defined in Section 4.</w:t>
      </w:r>
    </w:p>
    <w:p w14:paraId="3D378854" w14:textId="77777777" w:rsidR="0052537A" w:rsidRDefault="00000000">
      <w:pPr>
        <w:pStyle w:val="ListParagraph"/>
        <w:numPr>
          <w:ilvl w:val="0"/>
          <w:numId w:val="2"/>
        </w:numPr>
        <w:spacing w:after="90" w:line="276" w:lineRule="auto"/>
      </w:pPr>
      <w:r>
        <w:t>Approve the Year-1 business plan: a £4.0m revenue target via the phased go-to-market in Section 6, delivering a planned operating profit of approximately £54k.</w:t>
      </w:r>
    </w:p>
    <w:p w14:paraId="1675E492" w14:textId="77777777" w:rsidR="0052537A" w:rsidRDefault="00000000">
      <w:pPr>
        <w:pStyle w:val="ListParagraph"/>
        <w:numPr>
          <w:ilvl w:val="0"/>
          <w:numId w:val="2"/>
        </w:numPr>
        <w:spacing w:after="90" w:line="276" w:lineRule="auto"/>
      </w:pPr>
      <w:r>
        <w:lastRenderedPageBreak/>
        <w:t>Approve a ring-fenced working-capital facility of up to £200,000 for the entity — funded independently and not drawn from Gemini AMPM's cash position.</w:t>
      </w:r>
    </w:p>
    <w:p w14:paraId="43CE77A7" w14:textId="77777777" w:rsidR="0052537A" w:rsidRDefault="00000000">
      <w:pPr>
        <w:pStyle w:val="ListParagraph"/>
        <w:numPr>
          <w:ilvl w:val="0"/>
          <w:numId w:val="2"/>
        </w:numPr>
        <w:spacing w:after="90" w:line="276" w:lineRule="auto"/>
      </w:pPr>
      <w:r>
        <w:t>Approve the Year-1 headcount plan (5.5 FTE, Section 9) and the group management-charge basis used in the financial model.</w:t>
      </w:r>
    </w:p>
    <w:p w14:paraId="62D10780" w14:textId="77777777" w:rsidR="0052537A" w:rsidRDefault="00000000">
      <w:pPr>
        <w:pStyle w:val="ListParagraph"/>
        <w:numPr>
          <w:ilvl w:val="0"/>
          <w:numId w:val="2"/>
        </w:numPr>
        <w:spacing w:after="90" w:line="276" w:lineRule="auto"/>
      </w:pPr>
      <w:r>
        <w:t>Approve the orderly transfer of existing Gemini building-services scope into the new entity (Section 12).</w:t>
      </w:r>
    </w:p>
    <w:p w14:paraId="08199E6F" w14:textId="77777777" w:rsidR="0052537A" w:rsidRDefault="00000000">
      <w:pPr>
        <w:pStyle w:val="ListParagraph"/>
        <w:numPr>
          <w:ilvl w:val="0"/>
          <w:numId w:val="2"/>
        </w:numPr>
        <w:spacing w:after="90" w:line="276" w:lineRule="auto"/>
      </w:pPr>
      <w:r>
        <w:t>Authorise the Year-1 accreditation and insurance programme (approximately £55k, Section 7) required to enable Phase 2 direct trading.</w:t>
      </w:r>
    </w:p>
    <w:p w14:paraId="59DFAF23" w14:textId="77777777" w:rsidR="0052537A" w:rsidRDefault="00000000">
      <w:pPr>
        <w:pStyle w:val="Heading1"/>
      </w:pPr>
      <w:bookmarkStart w:id="3" w:name="_Toc231836817"/>
      <w:r>
        <w:t>3.  Strategic Rationale</w:t>
      </w:r>
      <w:bookmarkEnd w:id="3"/>
    </w:p>
    <w:p w14:paraId="754EAEFF" w14:textId="77777777" w:rsidR="0052537A" w:rsidRDefault="00000000">
      <w:pPr>
        <w:pStyle w:val="Heading2"/>
      </w:pPr>
      <w:proofErr w:type="gramStart"/>
      <w:r>
        <w:t>3.1  Why</w:t>
      </w:r>
      <w:proofErr w:type="gramEnd"/>
      <w:r>
        <w:t xml:space="preserve"> a separate entity</w:t>
      </w:r>
    </w:p>
    <w:p w14:paraId="669C724F" w14:textId="77777777" w:rsidR="0052537A" w:rsidRDefault="00000000">
      <w:pPr>
        <w:spacing w:after="140" w:line="276" w:lineRule="auto"/>
      </w:pPr>
      <w:r>
        <w:t>Running building-services work inside Gemini AMPM creates four structural problems:</w:t>
      </w:r>
    </w:p>
    <w:p w14:paraId="1ADA1C57" w14:textId="77777777" w:rsidR="0052537A" w:rsidRDefault="00000000">
      <w:pPr>
        <w:pStyle w:val="ListParagraph"/>
        <w:numPr>
          <w:ilvl w:val="0"/>
          <w:numId w:val="3"/>
        </w:numPr>
        <w:spacing w:after="90" w:line="276" w:lineRule="auto"/>
      </w:pPr>
      <w:r>
        <w:rPr>
          <w:b/>
          <w:bCs/>
        </w:rPr>
        <w:t xml:space="preserve">Risk contamination. </w:t>
      </w:r>
      <w:r>
        <w:t>New supply chains, new accreditation requirements and new client credit exposures are consolidated onto Gemini's balance sheet and accreditation register, placing the 27-year-old flagship at unnecessary risk.</w:t>
      </w:r>
    </w:p>
    <w:p w14:paraId="3C7DEEB4" w14:textId="77777777" w:rsidR="0052537A" w:rsidRDefault="00000000">
      <w:pPr>
        <w:pStyle w:val="ListParagraph"/>
        <w:numPr>
          <w:ilvl w:val="0"/>
          <w:numId w:val="3"/>
        </w:numPr>
        <w:spacing w:after="90" w:line="276" w:lineRule="auto"/>
      </w:pPr>
      <w:r>
        <w:rPr>
          <w:b/>
          <w:bCs/>
        </w:rPr>
        <w:t xml:space="preserve">P&amp;L opacity. </w:t>
      </w:r>
      <w:r>
        <w:t>Building-services work mixed into Gemini's accounts obscures the true performance of both businesses, complicating board and investor reporting.</w:t>
      </w:r>
    </w:p>
    <w:p w14:paraId="463B329A" w14:textId="77777777" w:rsidR="0052537A" w:rsidRDefault="00000000">
      <w:pPr>
        <w:pStyle w:val="ListParagraph"/>
        <w:numPr>
          <w:ilvl w:val="0"/>
          <w:numId w:val="3"/>
        </w:numPr>
        <w:spacing w:after="90" w:line="276" w:lineRule="auto"/>
      </w:pPr>
      <w:r>
        <w:rPr>
          <w:b/>
          <w:bCs/>
        </w:rPr>
        <w:t xml:space="preserve">Accreditation mismatch. </w:t>
      </w:r>
      <w:r>
        <w:t>Building Services requires different accreditations — NICEIC or NAPIT (electrical), Gas Safe (gas), FMB and trade-specific schemes — distinct from Gemini's fire and life-safety stack.</w:t>
      </w:r>
    </w:p>
    <w:p w14:paraId="68111529" w14:textId="77777777" w:rsidR="0052537A" w:rsidRDefault="00000000">
      <w:pPr>
        <w:pStyle w:val="ListParagraph"/>
        <w:numPr>
          <w:ilvl w:val="0"/>
          <w:numId w:val="3"/>
        </w:numPr>
        <w:spacing w:after="90" w:line="276" w:lineRule="auto"/>
      </w:pPr>
      <w:r>
        <w:rPr>
          <w:b/>
          <w:bCs/>
        </w:rPr>
        <w:t xml:space="preserve">Incentive alignment. </w:t>
      </w:r>
      <w:r>
        <w:t>A standalone entity supports a separate management-incentive structure, critical to recruiting and retaining the operational leadership needed to scale.</w:t>
      </w:r>
    </w:p>
    <w:p w14:paraId="7265B037" w14:textId="77777777" w:rsidR="0052537A" w:rsidRDefault="00000000">
      <w:pPr>
        <w:pStyle w:val="Heading2"/>
      </w:pPr>
      <w:proofErr w:type="gramStart"/>
      <w:r>
        <w:t>3.2  Why</w:t>
      </w:r>
      <w:proofErr w:type="gramEnd"/>
      <w:r>
        <w:t xml:space="preserve"> now</w:t>
      </w:r>
    </w:p>
    <w:p w14:paraId="42262484" w14:textId="77777777" w:rsidR="0052537A" w:rsidRDefault="00000000">
      <w:pPr>
        <w:pStyle w:val="ListParagraph"/>
        <w:numPr>
          <w:ilvl w:val="0"/>
          <w:numId w:val="3"/>
        </w:numPr>
        <w:spacing w:after="90" w:line="276" w:lineRule="auto"/>
      </w:pPr>
      <w:r>
        <w:t>Gemini's live pipeline already contains M&amp;E, fit-out, fabric, roofing and groundworks scope being sub-contracted out — immediate, captive revenue.</w:t>
      </w:r>
    </w:p>
    <w:p w14:paraId="4C53C36E" w14:textId="77777777" w:rsidR="0052537A" w:rsidRDefault="00000000">
      <w:pPr>
        <w:pStyle w:val="ListParagraph"/>
        <w:numPr>
          <w:ilvl w:val="0"/>
          <w:numId w:val="3"/>
        </w:numPr>
        <w:spacing w:after="90" w:line="276" w:lineRule="auto"/>
      </w:pPr>
      <w:r>
        <w:t>Several Tier-1 and institutional clients known to the management team are actively seeking a reliable direct building-services contractor, shortening new-business development time.</w:t>
      </w:r>
    </w:p>
    <w:p w14:paraId="447D26E1" w14:textId="77777777" w:rsidR="0052537A" w:rsidRDefault="00000000">
      <w:pPr>
        <w:pStyle w:val="ListParagraph"/>
        <w:numPr>
          <w:ilvl w:val="0"/>
          <w:numId w:val="3"/>
        </w:numPr>
        <w:spacing w:after="90" w:line="276" w:lineRule="auto"/>
      </w:pPr>
      <w:r>
        <w:t>Market demand is strong: post-pandemic construction activity, energy-efficiency retrofit (heat pumps, EV charging, HVAC), and Building Safety Act remediation all drive volume.</w:t>
      </w:r>
    </w:p>
    <w:p w14:paraId="1049705D" w14:textId="77777777" w:rsidR="0052537A" w:rsidRDefault="00000000">
      <w:pPr>
        <w:pStyle w:val="ListParagraph"/>
        <w:numPr>
          <w:ilvl w:val="0"/>
          <w:numId w:val="3"/>
        </w:numPr>
        <w:spacing w:after="90" w:line="276" w:lineRule="auto"/>
      </w:pPr>
      <w:r>
        <w:t>Group overheads — finance, HR, IT, marketing — are already in place, so the entity launches with minimal incremental fixed cost.</w:t>
      </w:r>
    </w:p>
    <w:p w14:paraId="6C686577" w14:textId="77777777" w:rsidR="0052537A" w:rsidRDefault="00000000">
      <w:pPr>
        <w:pStyle w:val="Heading2"/>
      </w:pPr>
      <w:proofErr w:type="gramStart"/>
      <w:r>
        <w:t>3.3  De</w:t>
      </w:r>
      <w:proofErr w:type="gramEnd"/>
      <w:r>
        <w:t>-risking Gemini — the design principle</w:t>
      </w:r>
    </w:p>
    <w:p w14:paraId="7C098395" w14:textId="77777777" w:rsidR="0052537A" w:rsidRDefault="00000000">
      <w:pPr>
        <w:spacing w:after="140" w:line="276" w:lineRule="auto"/>
      </w:pPr>
      <w:r>
        <w:t>Every new supply-chain relationship, client contract and accreditation added to AMPM Building Services is one that does not appear on Gemini's risk register. Gemini retains its clean 27-year track record and mature accreditation stack. Building Services starts fresh — appropriate for an entity that will spend its first 12–18 months establishing itself.</w:t>
      </w:r>
    </w:p>
    <w:p w14:paraId="1409E6FD" w14:textId="77777777" w:rsidR="0052537A" w:rsidRDefault="00000000">
      <w:pPr>
        <w:pStyle w:val="Heading1"/>
      </w:pPr>
      <w:bookmarkStart w:id="4" w:name="_Toc231836818"/>
      <w:r>
        <w:t>4.  Services and Scope</w:t>
      </w:r>
      <w:bookmarkEnd w:id="4"/>
    </w:p>
    <w:p w14:paraId="5AEF3520" w14:textId="77777777" w:rsidR="0052537A" w:rsidRDefault="00000000">
      <w:pPr>
        <w:spacing w:after="140" w:line="276" w:lineRule="auto"/>
      </w:pPr>
      <w:r>
        <w:lastRenderedPageBreak/>
        <w:t>AMPM Building Services operates across five service lines, held under one entity with a single point of contact, one programme and one accountability chain — the commercial promise that distinguishes it from procuring five separate trade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060"/>
        <w:gridCol w:w="3600"/>
      </w:tblGrid>
      <w:tr w:rsidR="0052537A" w14:paraId="5B98ED7D" w14:textId="77777777">
        <w:tblPrEx>
          <w:tblCellMar>
            <w:top w:w="0" w:type="dxa"/>
            <w:bottom w:w="0" w:type="dxa"/>
          </w:tblCellMar>
        </w:tblPrEx>
        <w:trPr>
          <w:tblHeader/>
        </w:trPr>
        <w:tc>
          <w:tcPr>
            <w:tcW w:w="170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25D5F5D4" w14:textId="77777777" w:rsidR="0052537A" w:rsidRDefault="00000000">
            <w:r>
              <w:rPr>
                <w:b/>
                <w:bCs/>
                <w:color w:val="FFFFFF"/>
                <w:sz w:val="19"/>
                <w:szCs w:val="19"/>
              </w:rPr>
              <w:t>Service line</w:t>
            </w:r>
          </w:p>
        </w:tc>
        <w:tc>
          <w:tcPr>
            <w:tcW w:w="406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1C447A65" w14:textId="77777777" w:rsidR="0052537A" w:rsidRDefault="00000000">
            <w:r>
              <w:rPr>
                <w:b/>
                <w:bCs/>
                <w:color w:val="FFFFFF"/>
                <w:sz w:val="19"/>
                <w:szCs w:val="19"/>
              </w:rPr>
              <w:t>Scope</w:t>
            </w:r>
          </w:p>
        </w:tc>
        <w:tc>
          <w:tcPr>
            <w:tcW w:w="360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0A1826E6" w14:textId="77777777" w:rsidR="0052537A" w:rsidRDefault="00000000">
            <w:r>
              <w:rPr>
                <w:b/>
                <w:bCs/>
                <w:color w:val="FFFFFF"/>
                <w:sz w:val="19"/>
                <w:szCs w:val="19"/>
              </w:rPr>
              <w:t>Primary market drivers</w:t>
            </w:r>
          </w:p>
        </w:tc>
      </w:tr>
      <w:tr w:rsidR="0052537A" w14:paraId="5CA84767" w14:textId="77777777">
        <w:tblPrEx>
          <w:tblCellMar>
            <w:top w:w="0" w:type="dxa"/>
            <w:bottom w:w="0" w:type="dxa"/>
          </w:tblCellMar>
        </w:tblPrEx>
        <w:tc>
          <w:tcPr>
            <w:tcW w:w="17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14DBCD7F" w14:textId="77777777" w:rsidR="0052537A" w:rsidRDefault="00000000">
            <w:r>
              <w:rPr>
                <w:color w:val="000000"/>
                <w:sz w:val="19"/>
                <w:szCs w:val="19"/>
              </w:rPr>
              <w:t>M&amp;E (lead)</w:t>
            </w:r>
          </w:p>
        </w:tc>
        <w:tc>
          <w:tcPr>
            <w:tcW w:w="406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4F6748FE" w14:textId="77777777" w:rsidR="0052537A" w:rsidRDefault="00000000">
            <w:pPr>
              <w:jc w:val="right"/>
            </w:pPr>
            <w:r>
              <w:rPr>
                <w:color w:val="000000"/>
                <w:sz w:val="19"/>
                <w:szCs w:val="19"/>
              </w:rPr>
              <w:t>HVAC, heat pumps, ventilation, plumbing, plant; first and second fix electrical, distribution, EV charging, lighting and power.</w:t>
            </w:r>
          </w:p>
        </w:tc>
        <w:tc>
          <w:tcPr>
            <w:tcW w:w="36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48681988" w14:textId="77777777" w:rsidR="0052537A" w:rsidRDefault="00000000">
            <w:pPr>
              <w:jc w:val="right"/>
            </w:pPr>
            <w:r>
              <w:rPr>
                <w:color w:val="000000"/>
                <w:sz w:val="19"/>
                <w:szCs w:val="19"/>
              </w:rPr>
              <w:t>HVAC and heat-pump retrofit, energy-efficiency programmes, EV charging rollout, new-build and fit-out M&amp;E packages.</w:t>
            </w:r>
          </w:p>
        </w:tc>
      </w:tr>
      <w:tr w:rsidR="0052537A" w14:paraId="7F43E596" w14:textId="77777777">
        <w:tblPrEx>
          <w:tblCellMar>
            <w:top w:w="0" w:type="dxa"/>
            <w:bottom w:w="0" w:type="dxa"/>
          </w:tblCellMar>
        </w:tblPrEx>
        <w:tc>
          <w:tcPr>
            <w:tcW w:w="17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3EC821D2" w14:textId="77777777" w:rsidR="0052537A" w:rsidRDefault="00000000">
            <w:r>
              <w:rPr>
                <w:color w:val="000000"/>
                <w:sz w:val="19"/>
                <w:szCs w:val="19"/>
              </w:rPr>
              <w:t>Fit-out</w:t>
            </w:r>
          </w:p>
        </w:tc>
        <w:tc>
          <w:tcPr>
            <w:tcW w:w="406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1EC6423E" w14:textId="77777777" w:rsidR="0052537A" w:rsidRDefault="00000000">
            <w:pPr>
              <w:jc w:val="right"/>
            </w:pPr>
            <w:r>
              <w:rPr>
                <w:color w:val="000000"/>
                <w:sz w:val="19"/>
                <w:szCs w:val="19"/>
              </w:rPr>
              <w:t>Cat-A and Cat-B fit-out, dry-lining, partitioning, joinery and finishes.</w:t>
            </w:r>
          </w:p>
        </w:tc>
        <w:tc>
          <w:tcPr>
            <w:tcW w:w="36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36E80CE8" w14:textId="77777777" w:rsidR="0052537A" w:rsidRDefault="00000000">
            <w:pPr>
              <w:jc w:val="right"/>
            </w:pPr>
            <w:r>
              <w:rPr>
                <w:color w:val="000000"/>
                <w:sz w:val="19"/>
                <w:szCs w:val="19"/>
              </w:rPr>
              <w:t>Office refurbishment, residential conversions, Tier-1 supply-chain fit-out.</w:t>
            </w:r>
          </w:p>
        </w:tc>
      </w:tr>
      <w:tr w:rsidR="0052537A" w14:paraId="03B257C7" w14:textId="77777777">
        <w:tblPrEx>
          <w:tblCellMar>
            <w:top w:w="0" w:type="dxa"/>
            <w:bottom w:w="0" w:type="dxa"/>
          </w:tblCellMar>
        </w:tblPrEx>
        <w:tc>
          <w:tcPr>
            <w:tcW w:w="17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6ACBAC5E" w14:textId="77777777" w:rsidR="0052537A" w:rsidRDefault="00000000">
            <w:r>
              <w:rPr>
                <w:color w:val="000000"/>
                <w:sz w:val="19"/>
                <w:szCs w:val="19"/>
              </w:rPr>
              <w:t>Fabric</w:t>
            </w:r>
          </w:p>
        </w:tc>
        <w:tc>
          <w:tcPr>
            <w:tcW w:w="406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22A07C2D" w14:textId="77777777" w:rsidR="0052537A" w:rsidRDefault="00000000">
            <w:pPr>
              <w:jc w:val="right"/>
            </w:pPr>
            <w:r>
              <w:rPr>
                <w:color w:val="000000"/>
                <w:sz w:val="19"/>
                <w:szCs w:val="19"/>
              </w:rPr>
              <w:t>External envelope: cladding and rainscreen, brick and repointing, render, curtain walling, EWI; façade repair and remediation.</w:t>
            </w:r>
          </w:p>
        </w:tc>
        <w:tc>
          <w:tcPr>
            <w:tcW w:w="36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01C87EBA" w14:textId="77777777" w:rsidR="0052537A" w:rsidRDefault="00000000">
            <w:pPr>
              <w:jc w:val="right"/>
            </w:pPr>
            <w:r>
              <w:rPr>
                <w:color w:val="000000"/>
                <w:sz w:val="19"/>
                <w:szCs w:val="19"/>
              </w:rPr>
              <w:t>Building Safety Act remediation on Higher-Risk Buildings, decarbonisation/EWI retrofit, façade refurbishment, insurance reinstatement.</w:t>
            </w:r>
          </w:p>
        </w:tc>
      </w:tr>
      <w:tr w:rsidR="0052537A" w14:paraId="752373EE" w14:textId="77777777">
        <w:tblPrEx>
          <w:tblCellMar>
            <w:top w:w="0" w:type="dxa"/>
            <w:bottom w:w="0" w:type="dxa"/>
          </w:tblCellMar>
        </w:tblPrEx>
        <w:tc>
          <w:tcPr>
            <w:tcW w:w="17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6BDE153B" w14:textId="77777777" w:rsidR="0052537A" w:rsidRDefault="00000000">
            <w:r>
              <w:rPr>
                <w:color w:val="000000"/>
                <w:sz w:val="19"/>
                <w:szCs w:val="19"/>
              </w:rPr>
              <w:t>Roofing</w:t>
            </w:r>
          </w:p>
        </w:tc>
        <w:tc>
          <w:tcPr>
            <w:tcW w:w="406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41E16227" w14:textId="77777777" w:rsidR="0052537A" w:rsidRDefault="00000000">
            <w:pPr>
              <w:jc w:val="right"/>
            </w:pPr>
            <w:r>
              <w:rPr>
                <w:color w:val="000000"/>
                <w:sz w:val="19"/>
                <w:szCs w:val="19"/>
              </w:rPr>
              <w:t>Flat and pitched roofing, replacement, waterproofing — GRP, EPDM, single-ply, pitched.</w:t>
            </w:r>
          </w:p>
        </w:tc>
        <w:tc>
          <w:tcPr>
            <w:tcW w:w="36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7E7F4FC0" w14:textId="77777777" w:rsidR="0052537A" w:rsidRDefault="00000000">
            <w:pPr>
              <w:jc w:val="right"/>
            </w:pPr>
            <w:r>
              <w:rPr>
                <w:color w:val="000000"/>
                <w:sz w:val="19"/>
                <w:szCs w:val="19"/>
              </w:rPr>
              <w:t>Building-envelope programmes, landlord compliance, insurance reinstatement.</w:t>
            </w:r>
          </w:p>
        </w:tc>
      </w:tr>
      <w:tr w:rsidR="0052537A" w14:paraId="32A525F1" w14:textId="77777777">
        <w:tblPrEx>
          <w:tblCellMar>
            <w:top w:w="0" w:type="dxa"/>
            <w:bottom w:w="0" w:type="dxa"/>
          </w:tblCellMar>
        </w:tblPrEx>
        <w:tc>
          <w:tcPr>
            <w:tcW w:w="17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6C2362FA" w14:textId="77777777" w:rsidR="0052537A" w:rsidRDefault="00000000">
            <w:r>
              <w:rPr>
                <w:color w:val="000000"/>
                <w:sz w:val="19"/>
                <w:szCs w:val="19"/>
              </w:rPr>
              <w:t>Groundworks</w:t>
            </w:r>
          </w:p>
        </w:tc>
        <w:tc>
          <w:tcPr>
            <w:tcW w:w="406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2498F1DB" w14:textId="77777777" w:rsidR="0052537A" w:rsidRDefault="00000000">
            <w:pPr>
              <w:jc w:val="right"/>
            </w:pPr>
            <w:r>
              <w:rPr>
                <w:color w:val="000000"/>
                <w:sz w:val="19"/>
                <w:szCs w:val="19"/>
              </w:rPr>
              <w:t>Foundations, drainage, concrete and civils; enabling works.</w:t>
            </w:r>
          </w:p>
        </w:tc>
        <w:tc>
          <w:tcPr>
            <w:tcW w:w="36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1A831ABB" w14:textId="77777777" w:rsidR="0052537A" w:rsidRDefault="00000000">
            <w:pPr>
              <w:jc w:val="right"/>
            </w:pPr>
            <w:r>
              <w:rPr>
                <w:color w:val="000000"/>
                <w:sz w:val="19"/>
                <w:szCs w:val="19"/>
              </w:rPr>
              <w:t>New-build enabling works, drainage compliance, external-works packages.</w:t>
            </w:r>
          </w:p>
        </w:tc>
      </w:tr>
    </w:tbl>
    <w:p w14:paraId="04AD5643" w14:textId="77777777" w:rsidR="0052537A" w:rsidRDefault="0052537A">
      <w:pPr>
        <w:spacing w:after="80"/>
      </w:pPr>
    </w:p>
    <w:p w14:paraId="08D2F54D" w14:textId="77777777" w:rsidR="0052537A" w:rsidRDefault="00000000">
      <w:pPr>
        <w:spacing w:after="140" w:line="276" w:lineRule="auto"/>
      </w:pPr>
      <w:r>
        <w:rPr>
          <w:b/>
          <w:bCs/>
        </w:rPr>
        <w:t xml:space="preserve">Sequencing. </w:t>
      </w:r>
      <w:r>
        <w:t>M&amp;E leads — it is the most heavily sub-contracted scope in Gemini today and therefore the fastest route to captive revenue. Fabric is the strongest external growth angle, carried by Building Safety Act remediation demand. Fit-out, roofing and groundworks scale as the supply chain and accreditation position mature.</w:t>
      </w:r>
    </w:p>
    <w:p w14:paraId="20193DDA" w14:textId="77777777" w:rsidR="0052537A" w:rsidRDefault="00000000">
      <w:pPr>
        <w:pStyle w:val="Heading1"/>
      </w:pPr>
      <w:bookmarkStart w:id="5" w:name="_Toc231836819"/>
      <w:r>
        <w:t>5.  Market Context</w:t>
      </w:r>
      <w:bookmarkEnd w:id="5"/>
    </w:p>
    <w:p w14:paraId="0366947D" w14:textId="77777777" w:rsidR="0052537A" w:rsidRDefault="00000000">
      <w:pPr>
        <w:spacing w:after="140" w:line="276" w:lineRule="auto"/>
      </w:pPr>
      <w:r>
        <w:t>The UK building-services market is supported by three durable demand drivers, each aligned to a service line:</w:t>
      </w:r>
    </w:p>
    <w:p w14:paraId="115B2D0B" w14:textId="77777777" w:rsidR="0052537A" w:rsidRDefault="00000000">
      <w:pPr>
        <w:pStyle w:val="ListParagraph"/>
        <w:numPr>
          <w:ilvl w:val="0"/>
          <w:numId w:val="3"/>
        </w:numPr>
        <w:spacing w:after="90" w:line="276" w:lineRule="auto"/>
      </w:pPr>
      <w:r>
        <w:rPr>
          <w:b/>
          <w:bCs/>
        </w:rPr>
        <w:t xml:space="preserve">Building Safety Act 2022. </w:t>
      </w:r>
      <w:r>
        <w:t>Remediation of Higher-Risk Buildings and the golden-thread compliance regime drive sustained fabric, façade and M&amp;E demand — an area where the Group's compliance heritage is a direct credibility advantage.</w:t>
      </w:r>
    </w:p>
    <w:p w14:paraId="71DBCA39" w14:textId="77777777" w:rsidR="0052537A" w:rsidRDefault="00000000">
      <w:pPr>
        <w:pStyle w:val="ListParagraph"/>
        <w:numPr>
          <w:ilvl w:val="0"/>
          <w:numId w:val="3"/>
        </w:numPr>
        <w:spacing w:after="90" w:line="276" w:lineRule="auto"/>
      </w:pPr>
      <w:r>
        <w:rPr>
          <w:b/>
          <w:bCs/>
        </w:rPr>
        <w:t xml:space="preserve">Decarbonisation and energy efficiency. </w:t>
      </w:r>
      <w:r>
        <w:t>Heat-pump installation, HVAC retrofit, EWI and EV-charging rollout underpin the M&amp;E and fabric pipelines across commercial and residential stock.</w:t>
      </w:r>
    </w:p>
    <w:p w14:paraId="17E9D4A3" w14:textId="77777777" w:rsidR="0052537A" w:rsidRDefault="00000000">
      <w:pPr>
        <w:pStyle w:val="ListParagraph"/>
        <w:numPr>
          <w:ilvl w:val="0"/>
          <w:numId w:val="3"/>
        </w:numPr>
        <w:spacing w:after="90" w:line="276" w:lineRule="auto"/>
      </w:pPr>
      <w:r>
        <w:rPr>
          <w:b/>
          <w:bCs/>
        </w:rPr>
        <w:t xml:space="preserve">Tier-1 supply-chain demand. </w:t>
      </w:r>
      <w:r>
        <w:t xml:space="preserve">Main contractors continue to let M&amp;E and fit-out packages to capable, compliance-ready sub-contractors — the segment Phase 1 and Phase 2 both </w:t>
      </w:r>
      <w:proofErr w:type="gramStart"/>
      <w:r>
        <w:t>target</w:t>
      </w:r>
      <w:proofErr w:type="gramEnd"/>
      <w:r>
        <w:t>.</w:t>
      </w:r>
    </w:p>
    <w:p w14:paraId="008F224C" w14:textId="77777777" w:rsidR="0052537A" w:rsidRDefault="00000000">
      <w:pPr>
        <w:spacing w:after="140" w:line="276" w:lineRule="auto"/>
      </w:pPr>
      <w:r>
        <w:t>Geographically the entity follows the Group: London and the South of England, where the management team's client relationships are concentrated. National reach, where required, is a Group-level matter delivered through acquisition rather than organic stretch.</w:t>
      </w:r>
    </w:p>
    <w:p w14:paraId="0E23701D" w14:textId="77777777" w:rsidR="0052537A" w:rsidRDefault="00000000">
      <w:pPr>
        <w:pStyle w:val="Heading1"/>
      </w:pPr>
      <w:bookmarkStart w:id="6" w:name="_Toc231836820"/>
      <w:r>
        <w:t>6.  Go-to-Market Strategy</w:t>
      </w:r>
      <w:bookmarkEnd w:id="6"/>
    </w:p>
    <w:p w14:paraId="0090CC5A" w14:textId="77777777" w:rsidR="0052537A" w:rsidRDefault="00000000">
      <w:pPr>
        <w:pStyle w:val="Heading2"/>
      </w:pPr>
      <w:proofErr w:type="gramStart"/>
      <w:r>
        <w:t>6.1  Phase</w:t>
      </w:r>
      <w:proofErr w:type="gramEnd"/>
      <w:r>
        <w:t xml:space="preserve"> 1 — Internal sub-contracting (Months 1–3)</w:t>
      </w:r>
    </w:p>
    <w:p w14:paraId="4DFC4012" w14:textId="77777777" w:rsidR="0052537A" w:rsidRDefault="00000000">
      <w:pPr>
        <w:spacing w:after="140" w:line="276" w:lineRule="auto"/>
      </w:pPr>
      <w:r>
        <w:lastRenderedPageBreak/>
        <w:t>AMPM Building Services is appointed as a sub-contractor on Gemini projects carrying M&amp;E, fit-out, fabric, roofing or groundworks scope. This delivers:</w:t>
      </w:r>
    </w:p>
    <w:p w14:paraId="6132CA8B" w14:textId="77777777" w:rsidR="0052537A" w:rsidRDefault="00000000">
      <w:pPr>
        <w:pStyle w:val="ListParagraph"/>
        <w:numPr>
          <w:ilvl w:val="0"/>
          <w:numId w:val="3"/>
        </w:numPr>
        <w:spacing w:after="90" w:line="276" w:lineRule="auto"/>
      </w:pPr>
      <w:r>
        <w:t>Immediate revenue — a day-one pipeline without new-client development time.</w:t>
      </w:r>
    </w:p>
    <w:p w14:paraId="74911594" w14:textId="77777777" w:rsidR="0052537A" w:rsidRDefault="00000000">
      <w:pPr>
        <w:pStyle w:val="ListParagraph"/>
        <w:numPr>
          <w:ilvl w:val="0"/>
          <w:numId w:val="3"/>
        </w:numPr>
        <w:spacing w:after="90" w:line="276" w:lineRule="auto"/>
      </w:pPr>
      <w:r>
        <w:t>Operational track record — real delivery experience before external-facing activity begins.</w:t>
      </w:r>
    </w:p>
    <w:p w14:paraId="7CF5BBDC" w14:textId="77777777" w:rsidR="0052537A" w:rsidRDefault="00000000">
      <w:pPr>
        <w:pStyle w:val="ListParagraph"/>
        <w:numPr>
          <w:ilvl w:val="0"/>
          <w:numId w:val="3"/>
        </w:numPr>
        <w:spacing w:after="90" w:line="276" w:lineRule="auto"/>
      </w:pPr>
      <w:r>
        <w:t>Supply-chain development — the opportunity to qualify and embed preferred sub-contractors under controlled conditions.</w:t>
      </w:r>
    </w:p>
    <w:p w14:paraId="7A34D2BE" w14:textId="77777777" w:rsidR="0052537A" w:rsidRDefault="00000000">
      <w:pPr>
        <w:pStyle w:val="ListParagraph"/>
        <w:numPr>
          <w:ilvl w:val="0"/>
          <w:numId w:val="3"/>
        </w:numPr>
        <w:spacing w:after="90" w:line="276" w:lineRule="auto"/>
      </w:pPr>
      <w:r>
        <w:t>Cash-flow foundation — Gemini settles on normal commercial sub-contractor terms.</w:t>
      </w:r>
    </w:p>
    <w:p w14:paraId="5785AB8C" w14:textId="77777777" w:rsidR="0052537A" w:rsidRDefault="00000000">
      <w:pPr>
        <w:spacing w:after="140" w:line="276" w:lineRule="auto"/>
      </w:pPr>
      <w:r>
        <w:t>This is a launch mechanism, not a permanent arrangement. Gemini's order book provides sufficient pipeline to establish an initial run-rate while Phase 2 develops in parallel.</w:t>
      </w:r>
    </w:p>
    <w:p w14:paraId="3E1302AF" w14:textId="77777777" w:rsidR="0052537A" w:rsidRDefault="00000000">
      <w:pPr>
        <w:pStyle w:val="Heading2"/>
      </w:pPr>
      <w:proofErr w:type="gramStart"/>
      <w:r>
        <w:t>6.2  Phase</w:t>
      </w:r>
      <w:proofErr w:type="gramEnd"/>
      <w:r>
        <w:t xml:space="preserve"> 2 — Direct client relationships (Months 2–6)</w:t>
      </w:r>
    </w:p>
    <w:p w14:paraId="7A5AD1D5" w14:textId="77777777" w:rsidR="0052537A" w:rsidRDefault="00000000">
      <w:pPr>
        <w:spacing w:after="140" w:line="276" w:lineRule="auto"/>
      </w:pPr>
      <w:r>
        <w:t>In parallel, the entity approaches known, friendly clients already procuring building-services work:</w:t>
      </w:r>
    </w:p>
    <w:p w14:paraId="0930C58E" w14:textId="77777777" w:rsidR="0052537A" w:rsidRDefault="00000000">
      <w:pPr>
        <w:pStyle w:val="ListParagraph"/>
        <w:numPr>
          <w:ilvl w:val="0"/>
          <w:numId w:val="3"/>
        </w:numPr>
        <w:spacing w:after="90" w:line="276" w:lineRule="auto"/>
      </w:pPr>
      <w:r>
        <w:t>Existing Gemini fire and life-safety clients with separate M&amp;E or fit-out requirements procured elsewhere.</w:t>
      </w:r>
    </w:p>
    <w:p w14:paraId="2F177EBA" w14:textId="77777777" w:rsidR="0052537A" w:rsidRDefault="00000000">
      <w:pPr>
        <w:pStyle w:val="ListParagraph"/>
        <w:numPr>
          <w:ilvl w:val="0"/>
          <w:numId w:val="3"/>
        </w:numPr>
        <w:spacing w:after="90" w:line="276" w:lineRule="auto"/>
      </w:pPr>
      <w:r>
        <w:t>Tier-1 contractors (Mace, Arc Group) where building-services packages are let separately from fire safety.</w:t>
      </w:r>
    </w:p>
    <w:p w14:paraId="33656A81" w14:textId="77777777" w:rsidR="0052537A" w:rsidRDefault="00000000">
      <w:pPr>
        <w:pStyle w:val="ListParagraph"/>
        <w:numPr>
          <w:ilvl w:val="0"/>
          <w:numId w:val="3"/>
        </w:numPr>
        <w:spacing w:after="90" w:line="276" w:lineRule="auto"/>
      </w:pPr>
      <w:r>
        <w:t>Housing associations and residential property managers with planned-maintenance and improvement programmes.</w:t>
      </w:r>
    </w:p>
    <w:p w14:paraId="54B3B4E6" w14:textId="77777777" w:rsidR="0052537A" w:rsidRDefault="00000000">
      <w:pPr>
        <w:pStyle w:val="ListParagraph"/>
        <w:numPr>
          <w:ilvl w:val="0"/>
          <w:numId w:val="3"/>
        </w:numPr>
        <w:spacing w:after="90" w:line="276" w:lineRule="auto"/>
      </w:pPr>
      <w:r>
        <w:t>Commercial landlords with energy-efficiency and fit-out requirements.</w:t>
      </w:r>
    </w:p>
    <w:p w14:paraId="0D2FB3D3" w14:textId="77777777" w:rsidR="0052537A" w:rsidRDefault="00000000">
      <w:pPr>
        <w:spacing w:after="140" w:line="276" w:lineRule="auto"/>
      </w:pPr>
      <w:r>
        <w:t>Specific client conversations are already in progress. Target: first direct client instruction within 60 days of launch.</w:t>
      </w:r>
    </w:p>
    <w:p w14:paraId="7A125813" w14:textId="77777777" w:rsidR="0052537A" w:rsidRDefault="00000000">
      <w:pPr>
        <w:pStyle w:val="Heading2"/>
      </w:pPr>
      <w:proofErr w:type="gramStart"/>
      <w:r>
        <w:t>6.3  Route</w:t>
      </w:r>
      <w:proofErr w:type="gramEnd"/>
      <w:r>
        <w:t>-to-market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52537A" w14:paraId="1AFF927A" w14:textId="77777777">
        <w:tblPrEx>
          <w:tblCellMar>
            <w:top w:w="0" w:type="dxa"/>
            <w:bottom w:w="0" w:type="dxa"/>
          </w:tblCellMar>
        </w:tblPrEx>
        <w:trPr>
          <w:tblHeader/>
        </w:trPr>
        <w:tc>
          <w:tcPr>
            <w:tcW w:w="240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2CC9DA79" w14:textId="77777777" w:rsidR="0052537A" w:rsidRDefault="00000000">
            <w:r>
              <w:rPr>
                <w:b/>
                <w:bCs/>
                <w:color w:val="FFFFFF"/>
                <w:sz w:val="19"/>
                <w:szCs w:val="19"/>
              </w:rPr>
              <w:t>Channel</w:t>
            </w:r>
          </w:p>
        </w:tc>
        <w:tc>
          <w:tcPr>
            <w:tcW w:w="348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56CF1A50" w14:textId="77777777" w:rsidR="0052537A" w:rsidRDefault="00000000">
            <w:r>
              <w:rPr>
                <w:b/>
                <w:bCs/>
                <w:color w:val="FFFFFF"/>
                <w:sz w:val="19"/>
                <w:szCs w:val="19"/>
              </w:rPr>
              <w:t>Year-1 revenue (£'000)</w:t>
            </w:r>
          </w:p>
        </w:tc>
        <w:tc>
          <w:tcPr>
            <w:tcW w:w="348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62315E67" w14:textId="77777777" w:rsidR="0052537A" w:rsidRDefault="00000000">
            <w:r>
              <w:rPr>
                <w:b/>
                <w:bCs/>
                <w:color w:val="FFFFFF"/>
                <w:sz w:val="19"/>
                <w:szCs w:val="19"/>
              </w:rPr>
              <w:t>Basis</w:t>
            </w:r>
          </w:p>
        </w:tc>
      </w:tr>
      <w:tr w:rsidR="0052537A" w14:paraId="552D1902" w14:textId="77777777">
        <w:tblPrEx>
          <w:tblCellMar>
            <w:top w:w="0" w:type="dxa"/>
            <w:bottom w:w="0" w:type="dxa"/>
          </w:tblCellMar>
        </w:tblPrEx>
        <w:tc>
          <w:tcPr>
            <w:tcW w:w="24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9A30BDD" w14:textId="77777777" w:rsidR="0052537A" w:rsidRDefault="00000000">
            <w:r>
              <w:rPr>
                <w:color w:val="000000"/>
                <w:sz w:val="19"/>
                <w:szCs w:val="19"/>
              </w:rPr>
              <w:t>Gemini sub-contract</w:t>
            </w:r>
          </w:p>
        </w:tc>
        <w:tc>
          <w:tcPr>
            <w:tcW w:w="348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F0B0A4E" w14:textId="77777777" w:rsidR="0052537A" w:rsidRDefault="00000000">
            <w:pPr>
              <w:jc w:val="right"/>
            </w:pPr>
            <w:r>
              <w:rPr>
                <w:color w:val="000000"/>
                <w:sz w:val="19"/>
                <w:szCs w:val="19"/>
              </w:rPr>
              <w:t>2,000</w:t>
            </w:r>
          </w:p>
        </w:tc>
        <w:tc>
          <w:tcPr>
            <w:tcW w:w="348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45973730" w14:textId="77777777" w:rsidR="0052537A" w:rsidRDefault="00000000">
            <w:pPr>
              <w:jc w:val="right"/>
            </w:pPr>
            <w:r>
              <w:rPr>
                <w:color w:val="000000"/>
                <w:sz w:val="19"/>
                <w:szCs w:val="19"/>
              </w:rPr>
              <w:t>M&amp;E/fit-out scope visible in Gemini's current order book and pipeline.</w:t>
            </w:r>
          </w:p>
        </w:tc>
      </w:tr>
      <w:tr w:rsidR="0052537A" w14:paraId="550F51E9" w14:textId="77777777">
        <w:tblPrEx>
          <w:tblCellMar>
            <w:top w:w="0" w:type="dxa"/>
            <w:bottom w:w="0" w:type="dxa"/>
          </w:tblCellMar>
        </w:tblPrEx>
        <w:tc>
          <w:tcPr>
            <w:tcW w:w="24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3E254322" w14:textId="77777777" w:rsidR="0052537A" w:rsidRDefault="00000000">
            <w:r>
              <w:rPr>
                <w:color w:val="000000"/>
                <w:sz w:val="19"/>
                <w:szCs w:val="19"/>
              </w:rPr>
              <w:t>Direct — existing network</w:t>
            </w:r>
          </w:p>
        </w:tc>
        <w:tc>
          <w:tcPr>
            <w:tcW w:w="348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368D4E49" w14:textId="77777777" w:rsidR="0052537A" w:rsidRDefault="00000000">
            <w:pPr>
              <w:jc w:val="right"/>
            </w:pPr>
            <w:r>
              <w:rPr>
                <w:color w:val="000000"/>
                <w:sz w:val="19"/>
                <w:szCs w:val="19"/>
              </w:rPr>
              <w:t>1,500</w:t>
            </w:r>
          </w:p>
        </w:tc>
        <w:tc>
          <w:tcPr>
            <w:tcW w:w="348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660125AD" w14:textId="77777777" w:rsidR="0052537A" w:rsidRDefault="00000000">
            <w:pPr>
              <w:jc w:val="right"/>
            </w:pPr>
            <w:r>
              <w:rPr>
                <w:color w:val="000000"/>
                <w:sz w:val="19"/>
                <w:szCs w:val="19"/>
              </w:rPr>
              <w:t>Confirmed conversations and known procurement pipelines where relationships already exist.</w:t>
            </w:r>
          </w:p>
        </w:tc>
      </w:tr>
      <w:tr w:rsidR="0052537A" w14:paraId="0F0F088A" w14:textId="77777777">
        <w:tblPrEx>
          <w:tblCellMar>
            <w:top w:w="0" w:type="dxa"/>
            <w:bottom w:w="0" w:type="dxa"/>
          </w:tblCellMar>
        </w:tblPrEx>
        <w:tc>
          <w:tcPr>
            <w:tcW w:w="24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47C63F58" w14:textId="77777777" w:rsidR="0052537A" w:rsidRDefault="00000000">
            <w:r>
              <w:rPr>
                <w:color w:val="000000"/>
                <w:sz w:val="19"/>
                <w:szCs w:val="19"/>
              </w:rPr>
              <w:t>Direct — new business</w:t>
            </w:r>
          </w:p>
        </w:tc>
        <w:tc>
          <w:tcPr>
            <w:tcW w:w="348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1B78FBCC" w14:textId="77777777" w:rsidR="0052537A" w:rsidRDefault="00000000">
            <w:pPr>
              <w:jc w:val="right"/>
            </w:pPr>
            <w:r>
              <w:rPr>
                <w:color w:val="000000"/>
                <w:sz w:val="19"/>
                <w:szCs w:val="19"/>
              </w:rPr>
              <w:t>500</w:t>
            </w:r>
          </w:p>
        </w:tc>
        <w:tc>
          <w:tcPr>
            <w:tcW w:w="348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0B607902" w14:textId="77777777" w:rsidR="0052537A" w:rsidRDefault="00000000">
            <w:pPr>
              <w:jc w:val="right"/>
            </w:pPr>
            <w:r>
              <w:rPr>
                <w:color w:val="000000"/>
                <w:sz w:val="19"/>
                <w:szCs w:val="19"/>
              </w:rPr>
              <w:t>Conservative allowance for new tender and framework activity from Q2.</w:t>
            </w:r>
          </w:p>
        </w:tc>
      </w:tr>
      <w:tr w:rsidR="0052537A" w14:paraId="3ECB775A" w14:textId="77777777">
        <w:tblPrEx>
          <w:tblCellMar>
            <w:top w:w="0" w:type="dxa"/>
            <w:bottom w:w="0" w:type="dxa"/>
          </w:tblCellMar>
        </w:tblPrEx>
        <w:tc>
          <w:tcPr>
            <w:tcW w:w="24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4EC73C32" w14:textId="77777777" w:rsidR="0052537A" w:rsidRDefault="00000000">
            <w:r>
              <w:rPr>
                <w:b/>
                <w:bCs/>
                <w:color w:val="000000"/>
                <w:sz w:val="19"/>
                <w:szCs w:val="19"/>
              </w:rPr>
              <w:t>Total</w:t>
            </w:r>
          </w:p>
        </w:tc>
        <w:tc>
          <w:tcPr>
            <w:tcW w:w="348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4C5D2E7E" w14:textId="77777777" w:rsidR="0052537A" w:rsidRDefault="00000000">
            <w:pPr>
              <w:jc w:val="right"/>
            </w:pPr>
            <w:r>
              <w:rPr>
                <w:b/>
                <w:bCs/>
                <w:color w:val="000000"/>
                <w:sz w:val="19"/>
                <w:szCs w:val="19"/>
              </w:rPr>
              <w:t>4,000</w:t>
            </w:r>
          </w:p>
        </w:tc>
        <w:tc>
          <w:tcPr>
            <w:tcW w:w="348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2DCD79EE" w14:textId="77777777" w:rsidR="0052537A" w:rsidRDefault="0052537A"/>
        </w:tc>
      </w:tr>
    </w:tbl>
    <w:p w14:paraId="1EAE9402" w14:textId="77777777" w:rsidR="0052537A" w:rsidRDefault="00000000">
      <w:pPr>
        <w:pStyle w:val="Heading1"/>
      </w:pPr>
      <w:bookmarkStart w:id="7" w:name="_Toc231836821"/>
      <w:r>
        <w:t>7.  Accreditations and Insurance Roadmap</w:t>
      </w:r>
      <w:bookmarkEnd w:id="7"/>
    </w:p>
    <w:p w14:paraId="2A70E22D" w14:textId="77777777" w:rsidR="0052537A" w:rsidRDefault="00000000">
      <w:pPr>
        <w:spacing w:after="140" w:line="276" w:lineRule="auto"/>
      </w:pPr>
      <w:r>
        <w:t>AMPM Building Services builds its own accreditation and insurance stack, independent of Gemini. It trades inside the Group's audited quality, safety and compliance framework while registering trade-specific accreditations in the entity's own name.</w:t>
      </w:r>
    </w:p>
    <w:p w14:paraId="47A19CD5" w14:textId="77777777" w:rsidR="0052537A" w:rsidRDefault="00000000">
      <w:pPr>
        <w:pStyle w:val="Heading2"/>
      </w:pPr>
      <w:proofErr w:type="gramStart"/>
      <w:r>
        <w:t>7.1  Priority</w:t>
      </w:r>
      <w:proofErr w:type="gramEnd"/>
      <w:r>
        <w:t xml:space="preserve"> accreditations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52537A" w14:paraId="26F853B9" w14:textId="77777777">
        <w:tblPrEx>
          <w:tblCellMar>
            <w:top w:w="0" w:type="dxa"/>
            <w:bottom w:w="0" w:type="dxa"/>
          </w:tblCellMar>
        </w:tblPrEx>
        <w:trPr>
          <w:tblHeader/>
        </w:trPr>
        <w:tc>
          <w:tcPr>
            <w:tcW w:w="240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1E0A71F8" w14:textId="77777777" w:rsidR="0052537A" w:rsidRDefault="00000000">
            <w:r>
              <w:rPr>
                <w:b/>
                <w:bCs/>
                <w:color w:val="FFFFFF"/>
                <w:sz w:val="19"/>
                <w:szCs w:val="19"/>
              </w:rPr>
              <w:lastRenderedPageBreak/>
              <w:t>Accreditation</w:t>
            </w:r>
          </w:p>
        </w:tc>
        <w:tc>
          <w:tcPr>
            <w:tcW w:w="456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11C301BA" w14:textId="77777777" w:rsidR="0052537A" w:rsidRDefault="00000000">
            <w:r>
              <w:rPr>
                <w:b/>
                <w:bCs/>
                <w:color w:val="FFFFFF"/>
                <w:sz w:val="19"/>
                <w:szCs w:val="19"/>
              </w:rPr>
              <w:t>Purpose</w:t>
            </w:r>
          </w:p>
        </w:tc>
        <w:tc>
          <w:tcPr>
            <w:tcW w:w="240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0125ECC1" w14:textId="77777777" w:rsidR="0052537A" w:rsidRDefault="00000000">
            <w:r>
              <w:rPr>
                <w:b/>
                <w:bCs/>
                <w:color w:val="FFFFFF"/>
                <w:sz w:val="19"/>
                <w:szCs w:val="19"/>
              </w:rPr>
              <w:t>Priority</w:t>
            </w:r>
          </w:p>
        </w:tc>
      </w:tr>
      <w:tr w:rsidR="0052537A" w14:paraId="2B90FE7D" w14:textId="77777777">
        <w:tblPrEx>
          <w:tblCellMar>
            <w:top w:w="0" w:type="dxa"/>
            <w:bottom w:w="0" w:type="dxa"/>
          </w:tblCellMar>
        </w:tblPrEx>
        <w:tc>
          <w:tcPr>
            <w:tcW w:w="24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1FB0AF1C" w14:textId="77777777" w:rsidR="0052537A" w:rsidRDefault="00000000">
            <w:r>
              <w:rPr>
                <w:color w:val="000000"/>
                <w:sz w:val="19"/>
                <w:szCs w:val="19"/>
              </w:rPr>
              <w:t>NICEIC / NAPIT</w:t>
            </w:r>
          </w:p>
        </w:tc>
        <w:tc>
          <w:tcPr>
            <w:tcW w:w="456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83A8E6A" w14:textId="77777777" w:rsidR="0052537A" w:rsidRDefault="00000000">
            <w:pPr>
              <w:jc w:val="right"/>
            </w:pPr>
            <w:r>
              <w:rPr>
                <w:color w:val="000000"/>
                <w:sz w:val="19"/>
                <w:szCs w:val="19"/>
              </w:rPr>
              <w:t>Electrical competence and certification.</w:t>
            </w:r>
          </w:p>
        </w:tc>
        <w:tc>
          <w:tcPr>
            <w:tcW w:w="24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9765468" w14:textId="77777777" w:rsidR="0052537A" w:rsidRDefault="00000000">
            <w:pPr>
              <w:jc w:val="right"/>
            </w:pPr>
            <w:r>
              <w:rPr>
                <w:color w:val="000000"/>
                <w:sz w:val="19"/>
                <w:szCs w:val="19"/>
              </w:rPr>
              <w:t>Month 1–3</w:t>
            </w:r>
          </w:p>
        </w:tc>
      </w:tr>
      <w:tr w:rsidR="0052537A" w14:paraId="702A2902" w14:textId="77777777">
        <w:tblPrEx>
          <w:tblCellMar>
            <w:top w:w="0" w:type="dxa"/>
            <w:bottom w:w="0" w:type="dxa"/>
          </w:tblCellMar>
        </w:tblPrEx>
        <w:tc>
          <w:tcPr>
            <w:tcW w:w="24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747FB9AE" w14:textId="77777777" w:rsidR="0052537A" w:rsidRDefault="00000000">
            <w:r>
              <w:rPr>
                <w:color w:val="000000"/>
                <w:sz w:val="19"/>
                <w:szCs w:val="19"/>
              </w:rPr>
              <w:t>Gas Safe</w:t>
            </w:r>
          </w:p>
        </w:tc>
        <w:tc>
          <w:tcPr>
            <w:tcW w:w="456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630331DC" w14:textId="77777777" w:rsidR="0052537A" w:rsidRDefault="00000000">
            <w:pPr>
              <w:jc w:val="right"/>
            </w:pPr>
            <w:r>
              <w:rPr>
                <w:color w:val="000000"/>
                <w:sz w:val="19"/>
                <w:szCs w:val="19"/>
              </w:rPr>
              <w:t>Gas installation and servicing competence.</w:t>
            </w:r>
          </w:p>
        </w:tc>
        <w:tc>
          <w:tcPr>
            <w:tcW w:w="24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0C9CA31C" w14:textId="77777777" w:rsidR="0052537A" w:rsidRDefault="00000000">
            <w:pPr>
              <w:jc w:val="right"/>
            </w:pPr>
            <w:r>
              <w:rPr>
                <w:color w:val="000000"/>
                <w:sz w:val="19"/>
                <w:szCs w:val="19"/>
              </w:rPr>
              <w:t>Month 1–3</w:t>
            </w:r>
          </w:p>
        </w:tc>
      </w:tr>
      <w:tr w:rsidR="0052537A" w14:paraId="4FEDB5FF" w14:textId="77777777">
        <w:tblPrEx>
          <w:tblCellMar>
            <w:top w:w="0" w:type="dxa"/>
            <w:bottom w:w="0" w:type="dxa"/>
          </w:tblCellMar>
        </w:tblPrEx>
        <w:tc>
          <w:tcPr>
            <w:tcW w:w="24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1C7428A4" w14:textId="77777777" w:rsidR="0052537A" w:rsidRDefault="00000000">
            <w:r>
              <w:rPr>
                <w:color w:val="000000"/>
                <w:sz w:val="19"/>
                <w:szCs w:val="19"/>
              </w:rPr>
              <w:t xml:space="preserve">CHAS / </w:t>
            </w:r>
            <w:proofErr w:type="spellStart"/>
            <w:r>
              <w:rPr>
                <w:color w:val="000000"/>
                <w:sz w:val="19"/>
                <w:szCs w:val="19"/>
              </w:rPr>
              <w:t>SafeContractor</w:t>
            </w:r>
            <w:proofErr w:type="spellEnd"/>
          </w:p>
        </w:tc>
        <w:tc>
          <w:tcPr>
            <w:tcW w:w="456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2F47D93F" w14:textId="77777777" w:rsidR="0052537A" w:rsidRDefault="00000000">
            <w:pPr>
              <w:jc w:val="right"/>
            </w:pPr>
            <w:r>
              <w:rPr>
                <w:color w:val="000000"/>
                <w:sz w:val="19"/>
                <w:szCs w:val="19"/>
              </w:rPr>
              <w:t>Health &amp; safety pre-qualification for Tier-1 supply chains.</w:t>
            </w:r>
          </w:p>
        </w:tc>
        <w:tc>
          <w:tcPr>
            <w:tcW w:w="24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72660C2B" w14:textId="77777777" w:rsidR="0052537A" w:rsidRDefault="00000000">
            <w:pPr>
              <w:jc w:val="right"/>
            </w:pPr>
            <w:r>
              <w:rPr>
                <w:color w:val="000000"/>
                <w:sz w:val="19"/>
                <w:szCs w:val="19"/>
              </w:rPr>
              <w:t>Month 1–2</w:t>
            </w:r>
          </w:p>
        </w:tc>
      </w:tr>
      <w:tr w:rsidR="0052537A" w14:paraId="42AA05D2" w14:textId="77777777">
        <w:tblPrEx>
          <w:tblCellMar>
            <w:top w:w="0" w:type="dxa"/>
            <w:bottom w:w="0" w:type="dxa"/>
          </w:tblCellMar>
        </w:tblPrEx>
        <w:tc>
          <w:tcPr>
            <w:tcW w:w="24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6D6BD286" w14:textId="77777777" w:rsidR="0052537A" w:rsidRDefault="00000000">
            <w:r>
              <w:rPr>
                <w:color w:val="000000"/>
                <w:sz w:val="19"/>
                <w:szCs w:val="19"/>
              </w:rPr>
              <w:t>Constructionline Gold</w:t>
            </w:r>
          </w:p>
        </w:tc>
        <w:tc>
          <w:tcPr>
            <w:tcW w:w="456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5C78452E" w14:textId="77777777" w:rsidR="0052537A" w:rsidRDefault="00000000">
            <w:pPr>
              <w:jc w:val="right"/>
            </w:pPr>
            <w:r>
              <w:rPr>
                <w:color w:val="000000"/>
                <w:sz w:val="19"/>
                <w:szCs w:val="19"/>
              </w:rPr>
              <w:t>Public-sector and main-contractor PQQ standard.</w:t>
            </w:r>
          </w:p>
        </w:tc>
        <w:tc>
          <w:tcPr>
            <w:tcW w:w="24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0D02E223" w14:textId="77777777" w:rsidR="0052537A" w:rsidRDefault="00000000">
            <w:pPr>
              <w:jc w:val="right"/>
            </w:pPr>
            <w:r>
              <w:rPr>
                <w:color w:val="000000"/>
                <w:sz w:val="19"/>
                <w:szCs w:val="19"/>
              </w:rPr>
              <w:t>Month 2–4</w:t>
            </w:r>
          </w:p>
        </w:tc>
      </w:tr>
      <w:tr w:rsidR="0052537A" w14:paraId="7B487755" w14:textId="77777777">
        <w:tblPrEx>
          <w:tblCellMar>
            <w:top w:w="0" w:type="dxa"/>
            <w:bottom w:w="0" w:type="dxa"/>
          </w:tblCellMar>
        </w:tblPrEx>
        <w:tc>
          <w:tcPr>
            <w:tcW w:w="24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0FAE3078" w14:textId="77777777" w:rsidR="0052537A" w:rsidRDefault="00000000">
            <w:r>
              <w:rPr>
                <w:color w:val="000000"/>
                <w:sz w:val="19"/>
                <w:szCs w:val="19"/>
              </w:rPr>
              <w:t>FMB / trade schemes</w:t>
            </w:r>
          </w:p>
        </w:tc>
        <w:tc>
          <w:tcPr>
            <w:tcW w:w="456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288623A4" w14:textId="77777777" w:rsidR="0052537A" w:rsidRDefault="00000000">
            <w:pPr>
              <w:jc w:val="right"/>
            </w:pPr>
            <w:r>
              <w:rPr>
                <w:color w:val="000000"/>
                <w:sz w:val="19"/>
                <w:szCs w:val="19"/>
              </w:rPr>
              <w:t>General building credibility for direct clients.</w:t>
            </w:r>
          </w:p>
        </w:tc>
        <w:tc>
          <w:tcPr>
            <w:tcW w:w="24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3D121F53" w14:textId="77777777" w:rsidR="0052537A" w:rsidRDefault="00000000">
            <w:pPr>
              <w:jc w:val="right"/>
            </w:pPr>
            <w:r>
              <w:rPr>
                <w:color w:val="000000"/>
                <w:sz w:val="19"/>
                <w:szCs w:val="19"/>
              </w:rPr>
              <w:t>Month 3–6</w:t>
            </w:r>
          </w:p>
        </w:tc>
      </w:tr>
      <w:tr w:rsidR="0052537A" w14:paraId="58BCE451" w14:textId="77777777">
        <w:tblPrEx>
          <w:tblCellMar>
            <w:top w:w="0" w:type="dxa"/>
            <w:bottom w:w="0" w:type="dxa"/>
          </w:tblCellMar>
        </w:tblPrEx>
        <w:tc>
          <w:tcPr>
            <w:tcW w:w="24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26170353" w14:textId="77777777" w:rsidR="0052537A" w:rsidRDefault="00000000">
            <w:r>
              <w:rPr>
                <w:color w:val="000000"/>
                <w:sz w:val="19"/>
                <w:szCs w:val="19"/>
              </w:rPr>
              <w:t>ISO 9001 / 14001 alignment</w:t>
            </w:r>
          </w:p>
        </w:tc>
        <w:tc>
          <w:tcPr>
            <w:tcW w:w="456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5BE73BFA" w14:textId="77777777" w:rsidR="0052537A" w:rsidRDefault="00000000">
            <w:pPr>
              <w:jc w:val="right"/>
            </w:pPr>
            <w:r>
              <w:rPr>
                <w:color w:val="000000"/>
                <w:sz w:val="19"/>
                <w:szCs w:val="19"/>
              </w:rPr>
              <w:t>Operate within the Group framework; standalone certification as scale justifies.</w:t>
            </w:r>
          </w:p>
        </w:tc>
        <w:tc>
          <w:tcPr>
            <w:tcW w:w="24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50F4C1D5" w14:textId="77777777" w:rsidR="0052537A" w:rsidRDefault="00000000">
            <w:pPr>
              <w:jc w:val="right"/>
            </w:pPr>
            <w:r>
              <w:rPr>
                <w:color w:val="000000"/>
                <w:sz w:val="19"/>
                <w:szCs w:val="19"/>
              </w:rPr>
              <w:t>Year 1–2</w:t>
            </w:r>
          </w:p>
        </w:tc>
      </w:tr>
    </w:tbl>
    <w:p w14:paraId="618FCC65" w14:textId="77777777" w:rsidR="0052537A" w:rsidRDefault="00000000">
      <w:pPr>
        <w:pStyle w:val="Heading2"/>
      </w:pPr>
      <w:proofErr w:type="gramStart"/>
      <w:r>
        <w:t>7.2  Insurance</w:t>
      </w:r>
      <w:proofErr w:type="gramEnd"/>
      <w:r>
        <w:t xml:space="preserve"> requirements</w:t>
      </w:r>
    </w:p>
    <w:p w14:paraId="64A117C7" w14:textId="77777777" w:rsidR="0052537A" w:rsidRDefault="00000000">
      <w:pPr>
        <w:spacing w:after="140" w:line="276" w:lineRule="auto"/>
      </w:pPr>
      <w:r>
        <w:t>The following must be in place before the first direct instruction is raised:</w:t>
      </w:r>
    </w:p>
    <w:p w14:paraId="131A2C60" w14:textId="77777777" w:rsidR="0052537A" w:rsidRDefault="00000000">
      <w:pPr>
        <w:pStyle w:val="ListParagraph"/>
        <w:numPr>
          <w:ilvl w:val="0"/>
          <w:numId w:val="3"/>
        </w:numPr>
        <w:spacing w:after="90" w:line="276" w:lineRule="auto"/>
      </w:pPr>
      <w:r>
        <w:rPr>
          <w:b/>
          <w:bCs/>
        </w:rPr>
        <w:t xml:space="preserve">Employers' Liability — </w:t>
      </w:r>
      <w:r>
        <w:t>statutory minimum £5m; £10m recommended given scale ambition.</w:t>
      </w:r>
    </w:p>
    <w:p w14:paraId="6E2514BF" w14:textId="77777777" w:rsidR="0052537A" w:rsidRDefault="00000000">
      <w:pPr>
        <w:pStyle w:val="ListParagraph"/>
        <w:numPr>
          <w:ilvl w:val="0"/>
          <w:numId w:val="3"/>
        </w:numPr>
        <w:spacing w:after="90" w:line="276" w:lineRule="auto"/>
      </w:pPr>
      <w:r>
        <w:rPr>
          <w:b/>
          <w:bCs/>
        </w:rPr>
        <w:t xml:space="preserve">Public Liability — </w:t>
      </w:r>
      <w:r>
        <w:t>£5m minimum; £10m recommended for Tier-1 supply-chain requirements.</w:t>
      </w:r>
    </w:p>
    <w:p w14:paraId="1F99D43B" w14:textId="77777777" w:rsidR="0052537A" w:rsidRDefault="00000000">
      <w:pPr>
        <w:pStyle w:val="ListParagraph"/>
        <w:numPr>
          <w:ilvl w:val="0"/>
          <w:numId w:val="3"/>
        </w:numPr>
        <w:spacing w:after="90" w:line="276" w:lineRule="auto"/>
      </w:pPr>
      <w:r>
        <w:rPr>
          <w:b/>
          <w:bCs/>
        </w:rPr>
        <w:t xml:space="preserve">Professional Indemnity — </w:t>
      </w:r>
      <w:r>
        <w:t>£1–2m, required for design-and-build and specification work.</w:t>
      </w:r>
    </w:p>
    <w:p w14:paraId="6B6FA409" w14:textId="77777777" w:rsidR="0052537A" w:rsidRDefault="00000000">
      <w:pPr>
        <w:pStyle w:val="ListParagraph"/>
        <w:numPr>
          <w:ilvl w:val="0"/>
          <w:numId w:val="3"/>
        </w:numPr>
        <w:spacing w:after="90" w:line="276" w:lineRule="auto"/>
      </w:pPr>
      <w:r>
        <w:rPr>
          <w:b/>
          <w:bCs/>
        </w:rPr>
        <w:t xml:space="preserve">Contract Works / All-Risks — </w:t>
      </w:r>
      <w:r>
        <w:t>covers works in progress; required for most main-contractor appointments.</w:t>
      </w:r>
    </w:p>
    <w:p w14:paraId="34F4EDD9" w14:textId="77777777" w:rsidR="0052537A" w:rsidRDefault="00000000">
      <w:pPr>
        <w:pStyle w:val="ListParagraph"/>
        <w:numPr>
          <w:ilvl w:val="0"/>
          <w:numId w:val="3"/>
        </w:numPr>
        <w:spacing w:after="90" w:line="276" w:lineRule="auto"/>
      </w:pPr>
      <w:r>
        <w:rPr>
          <w:b/>
          <w:bCs/>
        </w:rPr>
        <w:t xml:space="preserve">Plant and Equipment — </w:t>
      </w:r>
      <w:r>
        <w:t>if plant is owned rather than hired.</w:t>
      </w:r>
    </w:p>
    <w:p w14:paraId="33556BFC" w14:textId="77777777" w:rsidR="0052537A" w:rsidRDefault="00000000">
      <w:pPr>
        <w:spacing w:after="140" w:line="276" w:lineRule="auto"/>
      </w:pPr>
      <w:r>
        <w:rPr>
          <w:b/>
          <w:bCs/>
        </w:rPr>
        <w:t xml:space="preserve">Sequencing note. </w:t>
      </w:r>
      <w:r>
        <w:t>Phase 1 (sub-contracting into Gemini) can begin under Gemini's umbrella insurance while the entity's own policies are arranged; this must be confirmed with the Group broker as a priority. The entity's own cover must be in place before Phase 2 direct activity begins.</w:t>
      </w:r>
    </w:p>
    <w:p w14:paraId="6F1C6754" w14:textId="77777777" w:rsidR="0052537A" w:rsidRDefault="00000000">
      <w:pPr>
        <w:pStyle w:val="Heading1"/>
      </w:pPr>
      <w:bookmarkStart w:id="8" w:name="_Toc231836822"/>
      <w:r>
        <w:t>8.  Financial Plan</w:t>
      </w:r>
      <w:bookmarkEnd w:id="8"/>
    </w:p>
    <w:p w14:paraId="2FB4F7FB" w14:textId="77777777" w:rsidR="0052537A" w:rsidRDefault="00000000">
      <w:pPr>
        <w:spacing w:after="140" w:line="276" w:lineRule="auto"/>
      </w:pPr>
      <w:r>
        <w:t xml:space="preserve">The financial plan is set out in full in the accompanying model (AMPM Building Services Financial Model v1.0). It is built bottom-up from revenue by channel, </w:t>
      </w:r>
      <w:proofErr w:type="gramStart"/>
      <w:r>
        <w:t>fully-loaded</w:t>
      </w:r>
      <w:proofErr w:type="gramEnd"/>
      <w:r>
        <w:t xml:space="preserve"> headcount, and a defined overhead base, with a monthly Year-1 cash-flow.</w:t>
      </w:r>
    </w:p>
    <w:p w14:paraId="4C9A1267" w14:textId="77777777" w:rsidR="0052537A" w:rsidRDefault="00000000">
      <w:pPr>
        <w:pStyle w:val="Heading2"/>
      </w:pPr>
      <w:proofErr w:type="gramStart"/>
      <w:r>
        <w:t>8.1  Three</w:t>
      </w:r>
      <w:proofErr w:type="gramEnd"/>
      <w:r>
        <w:t>-year profit &amp; loss (£'000)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52537A" w14:paraId="325A620B" w14:textId="77777777">
        <w:tblPrEx>
          <w:tblCellMar>
            <w:top w:w="0" w:type="dxa"/>
            <w:bottom w:w="0" w:type="dxa"/>
          </w:tblCellMar>
        </w:tblPrEx>
        <w:trPr>
          <w:tblHeader/>
        </w:trPr>
        <w:tc>
          <w:tcPr>
            <w:tcW w:w="336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4DC0D86D" w14:textId="77777777" w:rsidR="0052537A" w:rsidRDefault="0052537A"/>
        </w:tc>
        <w:tc>
          <w:tcPr>
            <w:tcW w:w="200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7A3BB3B9" w14:textId="77777777" w:rsidR="0052537A" w:rsidRDefault="00000000">
            <w:pPr>
              <w:jc w:val="right"/>
            </w:pPr>
            <w:r>
              <w:rPr>
                <w:b/>
                <w:bCs/>
                <w:color w:val="FFFFFF"/>
                <w:sz w:val="19"/>
                <w:szCs w:val="19"/>
              </w:rPr>
              <w:t>Year 1</w:t>
            </w:r>
          </w:p>
        </w:tc>
        <w:tc>
          <w:tcPr>
            <w:tcW w:w="200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5F6AB026" w14:textId="77777777" w:rsidR="0052537A" w:rsidRDefault="00000000">
            <w:pPr>
              <w:jc w:val="right"/>
            </w:pPr>
            <w:r>
              <w:rPr>
                <w:b/>
                <w:bCs/>
                <w:color w:val="FFFFFF"/>
                <w:sz w:val="19"/>
                <w:szCs w:val="19"/>
              </w:rPr>
              <w:t>Year 2</w:t>
            </w:r>
          </w:p>
        </w:tc>
        <w:tc>
          <w:tcPr>
            <w:tcW w:w="200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1AF489E2" w14:textId="77777777" w:rsidR="0052537A" w:rsidRDefault="00000000">
            <w:pPr>
              <w:jc w:val="right"/>
            </w:pPr>
            <w:r>
              <w:rPr>
                <w:b/>
                <w:bCs/>
                <w:color w:val="FFFFFF"/>
                <w:sz w:val="19"/>
                <w:szCs w:val="19"/>
              </w:rPr>
              <w:t>Year 3</w:t>
            </w:r>
          </w:p>
        </w:tc>
      </w:tr>
      <w:tr w:rsidR="0052537A" w14:paraId="044BA895" w14:textId="77777777">
        <w:tblPrEx>
          <w:tblCellMar>
            <w:top w:w="0" w:type="dxa"/>
            <w:bottom w:w="0" w:type="dxa"/>
          </w:tblCellMar>
        </w:tblPrEx>
        <w:tc>
          <w:tcPr>
            <w:tcW w:w="336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07009A6" w14:textId="77777777" w:rsidR="0052537A" w:rsidRDefault="00000000">
            <w:r>
              <w:rPr>
                <w:color w:val="000000"/>
                <w:sz w:val="19"/>
                <w:szCs w:val="19"/>
              </w:rPr>
              <w:t>Revenue</w:t>
            </w:r>
          </w:p>
        </w:tc>
        <w:tc>
          <w:tcPr>
            <w:tcW w:w="20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752F1458" w14:textId="77777777" w:rsidR="0052537A" w:rsidRDefault="00000000">
            <w:pPr>
              <w:jc w:val="right"/>
            </w:pPr>
            <w:r>
              <w:rPr>
                <w:color w:val="000000"/>
                <w:sz w:val="19"/>
                <w:szCs w:val="19"/>
              </w:rPr>
              <w:t>4,000</w:t>
            </w:r>
          </w:p>
        </w:tc>
        <w:tc>
          <w:tcPr>
            <w:tcW w:w="20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2A2C7B84" w14:textId="77777777" w:rsidR="0052537A" w:rsidRDefault="00000000">
            <w:pPr>
              <w:jc w:val="right"/>
            </w:pPr>
            <w:r>
              <w:rPr>
                <w:color w:val="000000"/>
                <w:sz w:val="19"/>
                <w:szCs w:val="19"/>
              </w:rPr>
              <w:t>7,000</w:t>
            </w:r>
          </w:p>
        </w:tc>
        <w:tc>
          <w:tcPr>
            <w:tcW w:w="20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078B4110" w14:textId="77777777" w:rsidR="0052537A" w:rsidRDefault="00000000">
            <w:pPr>
              <w:jc w:val="right"/>
            </w:pPr>
            <w:r>
              <w:rPr>
                <w:color w:val="000000"/>
                <w:sz w:val="19"/>
                <w:szCs w:val="19"/>
              </w:rPr>
              <w:t>10,000</w:t>
            </w:r>
          </w:p>
        </w:tc>
      </w:tr>
      <w:tr w:rsidR="0052537A" w14:paraId="60843BA2" w14:textId="77777777">
        <w:tblPrEx>
          <w:tblCellMar>
            <w:top w:w="0" w:type="dxa"/>
            <w:bottom w:w="0" w:type="dxa"/>
          </w:tblCellMar>
        </w:tblPrEx>
        <w:tc>
          <w:tcPr>
            <w:tcW w:w="336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658EFE38" w14:textId="77777777" w:rsidR="0052537A" w:rsidRDefault="00000000">
            <w:r>
              <w:rPr>
                <w:color w:val="000000"/>
                <w:sz w:val="19"/>
                <w:szCs w:val="19"/>
              </w:rPr>
              <w:t>Cost of sales</w:t>
            </w:r>
          </w:p>
        </w:tc>
        <w:tc>
          <w:tcPr>
            <w:tcW w:w="2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39BB9CFC" w14:textId="77777777" w:rsidR="0052537A" w:rsidRDefault="00000000">
            <w:pPr>
              <w:jc w:val="right"/>
            </w:pPr>
            <w:r>
              <w:rPr>
                <w:color w:val="000000"/>
                <w:sz w:val="19"/>
                <w:szCs w:val="19"/>
              </w:rPr>
              <w:t>(3,415)</w:t>
            </w:r>
          </w:p>
        </w:tc>
        <w:tc>
          <w:tcPr>
            <w:tcW w:w="2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6D8245F0" w14:textId="77777777" w:rsidR="0052537A" w:rsidRDefault="00000000">
            <w:pPr>
              <w:jc w:val="right"/>
            </w:pPr>
            <w:r>
              <w:rPr>
                <w:color w:val="000000"/>
                <w:sz w:val="19"/>
                <w:szCs w:val="19"/>
              </w:rPr>
              <w:t>(5,938)</w:t>
            </w:r>
          </w:p>
        </w:tc>
        <w:tc>
          <w:tcPr>
            <w:tcW w:w="2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39C1F296" w14:textId="77777777" w:rsidR="0052537A" w:rsidRDefault="00000000">
            <w:pPr>
              <w:jc w:val="right"/>
            </w:pPr>
            <w:r>
              <w:rPr>
                <w:color w:val="000000"/>
                <w:sz w:val="19"/>
                <w:szCs w:val="19"/>
              </w:rPr>
              <w:t>(8,460)</w:t>
            </w:r>
          </w:p>
        </w:tc>
      </w:tr>
      <w:tr w:rsidR="0052537A" w14:paraId="19F4AD24" w14:textId="77777777">
        <w:tblPrEx>
          <w:tblCellMar>
            <w:top w:w="0" w:type="dxa"/>
            <w:bottom w:w="0" w:type="dxa"/>
          </w:tblCellMar>
        </w:tblPrEx>
        <w:tc>
          <w:tcPr>
            <w:tcW w:w="336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4BF09935" w14:textId="77777777" w:rsidR="0052537A" w:rsidRDefault="00000000">
            <w:r>
              <w:rPr>
                <w:b/>
                <w:bCs/>
                <w:color w:val="000000"/>
                <w:sz w:val="19"/>
                <w:szCs w:val="19"/>
              </w:rPr>
              <w:t>Gross profit</w:t>
            </w:r>
          </w:p>
        </w:tc>
        <w:tc>
          <w:tcPr>
            <w:tcW w:w="20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68325A8C" w14:textId="77777777" w:rsidR="0052537A" w:rsidRDefault="00000000">
            <w:pPr>
              <w:jc w:val="right"/>
            </w:pPr>
            <w:r>
              <w:rPr>
                <w:b/>
                <w:bCs/>
                <w:color w:val="000000"/>
                <w:sz w:val="19"/>
                <w:szCs w:val="19"/>
              </w:rPr>
              <w:t>585</w:t>
            </w:r>
          </w:p>
        </w:tc>
        <w:tc>
          <w:tcPr>
            <w:tcW w:w="20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6EC893F5" w14:textId="77777777" w:rsidR="0052537A" w:rsidRDefault="00000000">
            <w:pPr>
              <w:jc w:val="right"/>
            </w:pPr>
            <w:r>
              <w:rPr>
                <w:b/>
                <w:bCs/>
                <w:color w:val="000000"/>
                <w:sz w:val="19"/>
                <w:szCs w:val="19"/>
              </w:rPr>
              <w:t>1,063</w:t>
            </w:r>
          </w:p>
        </w:tc>
        <w:tc>
          <w:tcPr>
            <w:tcW w:w="20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1FE11BD0" w14:textId="77777777" w:rsidR="0052537A" w:rsidRDefault="00000000">
            <w:pPr>
              <w:jc w:val="right"/>
            </w:pPr>
            <w:r>
              <w:rPr>
                <w:b/>
                <w:bCs/>
                <w:color w:val="000000"/>
                <w:sz w:val="19"/>
                <w:szCs w:val="19"/>
              </w:rPr>
              <w:t>1,540</w:t>
            </w:r>
          </w:p>
        </w:tc>
      </w:tr>
      <w:tr w:rsidR="0052537A" w14:paraId="04B14964" w14:textId="77777777">
        <w:tblPrEx>
          <w:tblCellMar>
            <w:top w:w="0" w:type="dxa"/>
            <w:bottom w:w="0" w:type="dxa"/>
          </w:tblCellMar>
        </w:tblPrEx>
        <w:tc>
          <w:tcPr>
            <w:tcW w:w="336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5AA308DB" w14:textId="77777777" w:rsidR="0052537A" w:rsidRDefault="00000000">
            <w:r>
              <w:rPr>
                <w:color w:val="000000"/>
                <w:sz w:val="19"/>
                <w:szCs w:val="19"/>
              </w:rPr>
              <w:t>Gross margin %</w:t>
            </w:r>
          </w:p>
        </w:tc>
        <w:tc>
          <w:tcPr>
            <w:tcW w:w="2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3B979E0A" w14:textId="77777777" w:rsidR="0052537A" w:rsidRDefault="00000000">
            <w:pPr>
              <w:jc w:val="right"/>
            </w:pPr>
            <w:r>
              <w:rPr>
                <w:color w:val="000000"/>
                <w:sz w:val="19"/>
                <w:szCs w:val="19"/>
              </w:rPr>
              <w:t>14.6%</w:t>
            </w:r>
          </w:p>
        </w:tc>
        <w:tc>
          <w:tcPr>
            <w:tcW w:w="2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4296AF5D" w14:textId="77777777" w:rsidR="0052537A" w:rsidRDefault="00000000">
            <w:pPr>
              <w:jc w:val="right"/>
            </w:pPr>
            <w:r>
              <w:rPr>
                <w:color w:val="000000"/>
                <w:sz w:val="19"/>
                <w:szCs w:val="19"/>
              </w:rPr>
              <w:t>15.2%</w:t>
            </w:r>
          </w:p>
        </w:tc>
        <w:tc>
          <w:tcPr>
            <w:tcW w:w="2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29D25270" w14:textId="77777777" w:rsidR="0052537A" w:rsidRDefault="00000000">
            <w:pPr>
              <w:jc w:val="right"/>
            </w:pPr>
            <w:r>
              <w:rPr>
                <w:color w:val="000000"/>
                <w:sz w:val="19"/>
                <w:szCs w:val="19"/>
              </w:rPr>
              <w:t>15.4%</w:t>
            </w:r>
          </w:p>
        </w:tc>
      </w:tr>
      <w:tr w:rsidR="0052537A" w14:paraId="68B9FEDD" w14:textId="77777777">
        <w:tblPrEx>
          <w:tblCellMar>
            <w:top w:w="0" w:type="dxa"/>
            <w:bottom w:w="0" w:type="dxa"/>
          </w:tblCellMar>
        </w:tblPrEx>
        <w:tc>
          <w:tcPr>
            <w:tcW w:w="336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2059255F" w14:textId="77777777" w:rsidR="0052537A" w:rsidRDefault="00000000">
            <w:r>
              <w:rPr>
                <w:color w:val="000000"/>
                <w:sz w:val="19"/>
                <w:szCs w:val="19"/>
              </w:rPr>
              <w:t>Staff costs</w:t>
            </w:r>
          </w:p>
        </w:tc>
        <w:tc>
          <w:tcPr>
            <w:tcW w:w="20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16FB6F27" w14:textId="77777777" w:rsidR="0052537A" w:rsidRDefault="00000000">
            <w:pPr>
              <w:jc w:val="right"/>
            </w:pPr>
            <w:r>
              <w:rPr>
                <w:color w:val="000000"/>
                <w:sz w:val="19"/>
                <w:szCs w:val="19"/>
              </w:rPr>
              <w:t>(318)</w:t>
            </w:r>
          </w:p>
        </w:tc>
        <w:tc>
          <w:tcPr>
            <w:tcW w:w="20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46E3E324" w14:textId="77777777" w:rsidR="0052537A" w:rsidRDefault="00000000">
            <w:pPr>
              <w:jc w:val="right"/>
            </w:pPr>
            <w:r>
              <w:rPr>
                <w:color w:val="000000"/>
                <w:sz w:val="19"/>
                <w:szCs w:val="19"/>
              </w:rPr>
              <w:t>(582)</w:t>
            </w:r>
          </w:p>
        </w:tc>
        <w:tc>
          <w:tcPr>
            <w:tcW w:w="20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2F8DA9DB" w14:textId="77777777" w:rsidR="0052537A" w:rsidRDefault="00000000">
            <w:pPr>
              <w:jc w:val="right"/>
            </w:pPr>
            <w:r>
              <w:rPr>
                <w:color w:val="000000"/>
                <w:sz w:val="19"/>
                <w:szCs w:val="19"/>
              </w:rPr>
              <w:t>(828)</w:t>
            </w:r>
          </w:p>
        </w:tc>
      </w:tr>
      <w:tr w:rsidR="0052537A" w14:paraId="5382E354" w14:textId="77777777">
        <w:tblPrEx>
          <w:tblCellMar>
            <w:top w:w="0" w:type="dxa"/>
            <w:bottom w:w="0" w:type="dxa"/>
          </w:tblCellMar>
        </w:tblPrEx>
        <w:tc>
          <w:tcPr>
            <w:tcW w:w="336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427348FD" w14:textId="77777777" w:rsidR="0052537A" w:rsidRDefault="00000000">
            <w:r>
              <w:rPr>
                <w:color w:val="000000"/>
                <w:sz w:val="19"/>
                <w:szCs w:val="19"/>
              </w:rPr>
              <w:t>Other overheads</w:t>
            </w:r>
          </w:p>
        </w:tc>
        <w:tc>
          <w:tcPr>
            <w:tcW w:w="2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5BC3F08B" w14:textId="77777777" w:rsidR="0052537A" w:rsidRDefault="00000000">
            <w:pPr>
              <w:jc w:val="right"/>
            </w:pPr>
            <w:r>
              <w:rPr>
                <w:color w:val="000000"/>
                <w:sz w:val="19"/>
                <w:szCs w:val="19"/>
              </w:rPr>
              <w:t>(205)</w:t>
            </w:r>
          </w:p>
        </w:tc>
        <w:tc>
          <w:tcPr>
            <w:tcW w:w="2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06EFEE26" w14:textId="77777777" w:rsidR="0052537A" w:rsidRDefault="00000000">
            <w:pPr>
              <w:jc w:val="right"/>
            </w:pPr>
            <w:r>
              <w:rPr>
                <w:color w:val="000000"/>
                <w:sz w:val="19"/>
                <w:szCs w:val="19"/>
              </w:rPr>
              <w:t>(315)</w:t>
            </w:r>
          </w:p>
        </w:tc>
        <w:tc>
          <w:tcPr>
            <w:tcW w:w="2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3D8FDFA0" w14:textId="77777777" w:rsidR="0052537A" w:rsidRDefault="00000000">
            <w:pPr>
              <w:jc w:val="right"/>
            </w:pPr>
            <w:r>
              <w:rPr>
                <w:color w:val="000000"/>
                <w:sz w:val="19"/>
                <w:szCs w:val="19"/>
              </w:rPr>
              <w:t>(430)</w:t>
            </w:r>
          </w:p>
        </w:tc>
      </w:tr>
      <w:tr w:rsidR="0052537A" w14:paraId="40257B3C" w14:textId="77777777">
        <w:tblPrEx>
          <w:tblCellMar>
            <w:top w:w="0" w:type="dxa"/>
            <w:bottom w:w="0" w:type="dxa"/>
          </w:tblCellMar>
        </w:tblPrEx>
        <w:tc>
          <w:tcPr>
            <w:tcW w:w="336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F57DE10" w14:textId="77777777" w:rsidR="0052537A" w:rsidRDefault="00000000">
            <w:r>
              <w:rPr>
                <w:b/>
                <w:bCs/>
                <w:color w:val="000000"/>
                <w:sz w:val="19"/>
                <w:szCs w:val="19"/>
              </w:rPr>
              <w:t>EBITDA</w:t>
            </w:r>
          </w:p>
        </w:tc>
        <w:tc>
          <w:tcPr>
            <w:tcW w:w="20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48EEEFC4" w14:textId="77777777" w:rsidR="0052537A" w:rsidRDefault="00000000">
            <w:pPr>
              <w:jc w:val="right"/>
            </w:pPr>
            <w:r>
              <w:rPr>
                <w:b/>
                <w:bCs/>
                <w:color w:val="000000"/>
                <w:sz w:val="19"/>
                <w:szCs w:val="19"/>
              </w:rPr>
              <w:t>62</w:t>
            </w:r>
          </w:p>
        </w:tc>
        <w:tc>
          <w:tcPr>
            <w:tcW w:w="20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117117E2" w14:textId="77777777" w:rsidR="0052537A" w:rsidRDefault="00000000">
            <w:pPr>
              <w:jc w:val="right"/>
            </w:pPr>
            <w:r>
              <w:rPr>
                <w:b/>
                <w:bCs/>
                <w:color w:val="000000"/>
                <w:sz w:val="19"/>
                <w:szCs w:val="19"/>
              </w:rPr>
              <w:t>166</w:t>
            </w:r>
          </w:p>
        </w:tc>
        <w:tc>
          <w:tcPr>
            <w:tcW w:w="20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3AADFF3C" w14:textId="77777777" w:rsidR="0052537A" w:rsidRDefault="00000000">
            <w:pPr>
              <w:jc w:val="right"/>
            </w:pPr>
            <w:r>
              <w:rPr>
                <w:b/>
                <w:bCs/>
                <w:color w:val="000000"/>
                <w:sz w:val="19"/>
                <w:szCs w:val="19"/>
              </w:rPr>
              <w:t>282</w:t>
            </w:r>
          </w:p>
        </w:tc>
      </w:tr>
      <w:tr w:rsidR="0052537A" w14:paraId="356392EC" w14:textId="77777777">
        <w:tblPrEx>
          <w:tblCellMar>
            <w:top w:w="0" w:type="dxa"/>
            <w:bottom w:w="0" w:type="dxa"/>
          </w:tblCellMar>
        </w:tblPrEx>
        <w:tc>
          <w:tcPr>
            <w:tcW w:w="336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78F58FD9" w14:textId="77777777" w:rsidR="0052537A" w:rsidRDefault="00000000">
            <w:r>
              <w:rPr>
                <w:color w:val="000000"/>
                <w:sz w:val="19"/>
                <w:szCs w:val="19"/>
              </w:rPr>
              <w:t>Depreciation</w:t>
            </w:r>
          </w:p>
        </w:tc>
        <w:tc>
          <w:tcPr>
            <w:tcW w:w="2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7F9C7CFA" w14:textId="77777777" w:rsidR="0052537A" w:rsidRDefault="00000000">
            <w:pPr>
              <w:jc w:val="right"/>
            </w:pPr>
            <w:r>
              <w:rPr>
                <w:color w:val="000000"/>
                <w:sz w:val="19"/>
                <w:szCs w:val="19"/>
              </w:rPr>
              <w:t>(8)</w:t>
            </w:r>
          </w:p>
        </w:tc>
        <w:tc>
          <w:tcPr>
            <w:tcW w:w="2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31737A7B" w14:textId="77777777" w:rsidR="0052537A" w:rsidRDefault="00000000">
            <w:pPr>
              <w:jc w:val="right"/>
            </w:pPr>
            <w:r>
              <w:rPr>
                <w:color w:val="000000"/>
                <w:sz w:val="19"/>
                <w:szCs w:val="19"/>
              </w:rPr>
              <w:t>(12)</w:t>
            </w:r>
          </w:p>
        </w:tc>
        <w:tc>
          <w:tcPr>
            <w:tcW w:w="2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362E9DAC" w14:textId="77777777" w:rsidR="0052537A" w:rsidRDefault="00000000">
            <w:pPr>
              <w:jc w:val="right"/>
            </w:pPr>
            <w:r>
              <w:rPr>
                <w:color w:val="000000"/>
                <w:sz w:val="19"/>
                <w:szCs w:val="19"/>
              </w:rPr>
              <w:t>(16)</w:t>
            </w:r>
          </w:p>
        </w:tc>
      </w:tr>
      <w:tr w:rsidR="0052537A" w14:paraId="14F565B1" w14:textId="77777777">
        <w:tblPrEx>
          <w:tblCellMar>
            <w:top w:w="0" w:type="dxa"/>
            <w:bottom w:w="0" w:type="dxa"/>
          </w:tblCellMar>
        </w:tblPrEx>
        <w:tc>
          <w:tcPr>
            <w:tcW w:w="336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48082D7E" w14:textId="77777777" w:rsidR="0052537A" w:rsidRDefault="00000000">
            <w:r>
              <w:rPr>
                <w:b/>
                <w:bCs/>
                <w:color w:val="000000"/>
                <w:sz w:val="19"/>
                <w:szCs w:val="19"/>
              </w:rPr>
              <w:t>Operating profit</w:t>
            </w:r>
          </w:p>
        </w:tc>
        <w:tc>
          <w:tcPr>
            <w:tcW w:w="2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7CC618BB" w14:textId="77777777" w:rsidR="0052537A" w:rsidRDefault="00000000">
            <w:pPr>
              <w:jc w:val="right"/>
            </w:pPr>
            <w:r>
              <w:rPr>
                <w:b/>
                <w:bCs/>
                <w:color w:val="000000"/>
                <w:sz w:val="19"/>
                <w:szCs w:val="19"/>
              </w:rPr>
              <w:t>54</w:t>
            </w:r>
          </w:p>
        </w:tc>
        <w:tc>
          <w:tcPr>
            <w:tcW w:w="2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56AFB598" w14:textId="77777777" w:rsidR="0052537A" w:rsidRDefault="00000000">
            <w:pPr>
              <w:jc w:val="right"/>
            </w:pPr>
            <w:r>
              <w:rPr>
                <w:b/>
                <w:bCs/>
                <w:color w:val="000000"/>
                <w:sz w:val="19"/>
                <w:szCs w:val="19"/>
              </w:rPr>
              <w:t>154</w:t>
            </w:r>
          </w:p>
        </w:tc>
        <w:tc>
          <w:tcPr>
            <w:tcW w:w="2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2DD66535" w14:textId="77777777" w:rsidR="0052537A" w:rsidRDefault="00000000">
            <w:pPr>
              <w:jc w:val="right"/>
            </w:pPr>
            <w:r>
              <w:rPr>
                <w:b/>
                <w:bCs/>
                <w:color w:val="000000"/>
                <w:sz w:val="19"/>
                <w:szCs w:val="19"/>
              </w:rPr>
              <w:t>266</w:t>
            </w:r>
          </w:p>
        </w:tc>
      </w:tr>
      <w:tr w:rsidR="0052537A" w14:paraId="6CA15232" w14:textId="77777777">
        <w:tblPrEx>
          <w:tblCellMar>
            <w:top w:w="0" w:type="dxa"/>
            <w:bottom w:w="0" w:type="dxa"/>
          </w:tblCellMar>
        </w:tblPrEx>
        <w:tc>
          <w:tcPr>
            <w:tcW w:w="336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254AFD10" w14:textId="77777777" w:rsidR="0052537A" w:rsidRDefault="00000000">
            <w:r>
              <w:rPr>
                <w:color w:val="000000"/>
                <w:sz w:val="19"/>
                <w:szCs w:val="19"/>
              </w:rPr>
              <w:t>Operating margin %</w:t>
            </w:r>
          </w:p>
        </w:tc>
        <w:tc>
          <w:tcPr>
            <w:tcW w:w="2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48DB0669" w14:textId="77777777" w:rsidR="0052537A" w:rsidRDefault="00000000">
            <w:pPr>
              <w:jc w:val="right"/>
            </w:pPr>
            <w:r>
              <w:rPr>
                <w:color w:val="000000"/>
                <w:sz w:val="19"/>
                <w:szCs w:val="19"/>
              </w:rPr>
              <w:t>1.4%</w:t>
            </w:r>
          </w:p>
        </w:tc>
        <w:tc>
          <w:tcPr>
            <w:tcW w:w="2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1591BB72" w14:textId="77777777" w:rsidR="0052537A" w:rsidRDefault="00000000">
            <w:pPr>
              <w:jc w:val="right"/>
            </w:pPr>
            <w:r>
              <w:rPr>
                <w:color w:val="000000"/>
                <w:sz w:val="19"/>
                <w:szCs w:val="19"/>
              </w:rPr>
              <w:t>2.2%</w:t>
            </w:r>
          </w:p>
        </w:tc>
        <w:tc>
          <w:tcPr>
            <w:tcW w:w="2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12D0BAF7" w14:textId="77777777" w:rsidR="0052537A" w:rsidRDefault="00000000">
            <w:pPr>
              <w:jc w:val="right"/>
            </w:pPr>
            <w:r>
              <w:rPr>
                <w:color w:val="000000"/>
                <w:sz w:val="19"/>
                <w:szCs w:val="19"/>
              </w:rPr>
              <w:t>2.7%</w:t>
            </w:r>
          </w:p>
        </w:tc>
      </w:tr>
    </w:tbl>
    <w:p w14:paraId="03DB3869" w14:textId="77777777" w:rsidR="0052537A" w:rsidRDefault="0052537A">
      <w:pPr>
        <w:spacing w:after="80"/>
      </w:pPr>
    </w:p>
    <w:p w14:paraId="0C0FCB5F" w14:textId="77777777" w:rsidR="0052537A" w:rsidRDefault="00000000">
      <w:pPr>
        <w:pStyle w:val="Heading2"/>
      </w:pPr>
      <w:proofErr w:type="gramStart"/>
      <w:r>
        <w:t>8.2  Revenue</w:t>
      </w:r>
      <w:proofErr w:type="gramEnd"/>
      <w:r>
        <w:t xml:space="preserve"> ramp and margin maturity</w:t>
      </w:r>
    </w:p>
    <w:p w14:paraId="54F9A9F7" w14:textId="77777777" w:rsidR="0052537A" w:rsidRDefault="00000000">
      <w:pPr>
        <w:spacing w:after="140" w:line="276" w:lineRule="auto"/>
      </w:pPr>
      <w:r>
        <w:t xml:space="preserve">Year 1 is planned as a controlled </w:t>
      </w:r>
      <w:proofErr w:type="gramStart"/>
      <w:r>
        <w:t>near-breakeven</w:t>
      </w:r>
      <w:proofErr w:type="gramEnd"/>
      <w:r>
        <w:t>. Margin is intentionally thin while the entity is weighted toward the lower-margin Gemini sub-contract channel and is absorbing first-year accreditation and set-up cost. As the higher-margin direct channel grows — from £2.0m in Year 1 to £7.0m by Year 3 — blended gross margin firms and operating margin roughly doubles. These are deliberately conservative contracting margins, not aspirational figures.</w:t>
      </w:r>
    </w:p>
    <w:p w14:paraId="08FA5A40" w14:textId="77777777" w:rsidR="0052537A" w:rsidRDefault="00000000">
      <w:pPr>
        <w:pStyle w:val="Heading2"/>
      </w:pPr>
      <w:proofErr w:type="gramStart"/>
      <w:r>
        <w:t>8.3  Working</w:t>
      </w:r>
      <w:proofErr w:type="gramEnd"/>
      <w:r>
        <w:t xml:space="preserve"> capital and cash</w:t>
      </w:r>
    </w:p>
    <w:p w14:paraId="076503D9" w14:textId="77777777" w:rsidR="0052537A" w:rsidRDefault="00000000">
      <w:pPr>
        <w:spacing w:after="140" w:line="276" w:lineRule="auto"/>
      </w:pPr>
      <w:r>
        <w:t>The Year-1 monthly cash-flow shows a peak working-capital requirement of approximately £157k during the ramp, driven by the lag between cost outlay and client receipts plus retention withheld. The board is asked to approve a ring-fenced facility of up to £200k to cover this with headroom.</w:t>
      </w:r>
    </w:p>
    <w:p w14:paraId="495150F5" w14:textId="77777777" w:rsidR="0052537A" w:rsidRDefault="00000000">
      <w:pPr>
        <w:spacing w:after="140" w:line="276" w:lineRule="auto"/>
      </w:pPr>
      <w:r>
        <w:rPr>
          <w:b/>
          <w:bCs/>
        </w:rPr>
        <w:t xml:space="preserve">Critical control. </w:t>
      </w:r>
      <w:r>
        <w:t>This facility must be funded independently of Gemini AMPM. Gemini's own cash position is tight, and the explicit design principle of this entity is to remove building-services risk and cash drag from the flagship — not to transfer it. Building Services must be self-funding from its own facility from day one.</w:t>
      </w:r>
    </w:p>
    <w:p w14:paraId="4F9B9886" w14:textId="77777777" w:rsidR="0052537A" w:rsidRDefault="00000000">
      <w:pPr>
        <w:pStyle w:val="Heading2"/>
      </w:pPr>
      <w:proofErr w:type="gramStart"/>
      <w:r>
        <w:t>8.4  Key</w:t>
      </w:r>
      <w:proofErr w:type="gramEnd"/>
      <w:r>
        <w:t xml:space="preserve"> assumptions</w:t>
      </w:r>
    </w:p>
    <w:p w14:paraId="1F373E80" w14:textId="77777777" w:rsidR="0052537A" w:rsidRDefault="00000000">
      <w:pPr>
        <w:pStyle w:val="ListParagraph"/>
        <w:numPr>
          <w:ilvl w:val="0"/>
          <w:numId w:val="3"/>
        </w:numPr>
        <w:spacing w:after="90" w:line="276" w:lineRule="auto"/>
      </w:pPr>
      <w:r>
        <w:t>Gross margins by channel: Gemini sub-contract 12.5%, direct (existing) 17%, direct (new) 16%.</w:t>
      </w:r>
    </w:p>
    <w:p w14:paraId="2565649B" w14:textId="77777777" w:rsidR="0052537A" w:rsidRDefault="00000000">
      <w:pPr>
        <w:pStyle w:val="ListParagraph"/>
        <w:numPr>
          <w:ilvl w:val="0"/>
          <w:numId w:val="3"/>
        </w:numPr>
        <w:spacing w:after="90" w:line="276" w:lineRule="auto"/>
      </w:pPr>
      <w:r>
        <w:t>No dedicated premises in Year 1 — operates from the Group base with site-based delivery.</w:t>
      </w:r>
    </w:p>
    <w:p w14:paraId="3DD15950" w14:textId="77777777" w:rsidR="0052537A" w:rsidRDefault="00000000">
      <w:pPr>
        <w:pStyle w:val="ListParagraph"/>
        <w:numPr>
          <w:ilvl w:val="0"/>
          <w:numId w:val="3"/>
        </w:numPr>
        <w:spacing w:after="90" w:line="276" w:lineRule="auto"/>
      </w:pPr>
      <w:r>
        <w:t>Initial fleet of 2–3 vans; additional capacity hired as revenue ramps.</w:t>
      </w:r>
    </w:p>
    <w:p w14:paraId="235C2516" w14:textId="77777777" w:rsidR="0052537A" w:rsidRDefault="00000000">
      <w:pPr>
        <w:pStyle w:val="ListParagraph"/>
        <w:numPr>
          <w:ilvl w:val="0"/>
          <w:numId w:val="3"/>
        </w:numPr>
        <w:spacing w:after="90" w:line="276" w:lineRule="auto"/>
      </w:pPr>
      <w:r>
        <w:t>Standard 30-day payment terms; Gemini channel settled monthly. 5% retention typical, released in the following year.</w:t>
      </w:r>
    </w:p>
    <w:p w14:paraId="21077A5C" w14:textId="77777777" w:rsidR="0052537A" w:rsidRDefault="00000000">
      <w:pPr>
        <w:pStyle w:val="ListParagraph"/>
        <w:numPr>
          <w:ilvl w:val="0"/>
          <w:numId w:val="3"/>
        </w:numPr>
        <w:spacing w:after="90" w:line="276" w:lineRule="auto"/>
      </w:pPr>
      <w:r>
        <w:t>Employer's NI and pension loaded at 15% on base salaries; group management charge ramps from £60k (Y1) to £150k (Y3).</w:t>
      </w:r>
    </w:p>
    <w:p w14:paraId="36EDEC32" w14:textId="77777777" w:rsidR="0052537A" w:rsidRDefault="00000000">
      <w:pPr>
        <w:pStyle w:val="Heading1"/>
      </w:pPr>
      <w:bookmarkStart w:id="9" w:name="_Toc231836823"/>
      <w:r>
        <w:t>9.  Operations and Team</w:t>
      </w:r>
      <w:bookmarkEnd w:id="9"/>
    </w:p>
    <w:p w14:paraId="608B0CA9" w14:textId="77777777" w:rsidR="0052537A" w:rsidRDefault="00000000">
      <w:pPr>
        <w:pStyle w:val="Heading2"/>
      </w:pPr>
      <w:proofErr w:type="gramStart"/>
      <w:r>
        <w:t>9.1  Leadership</w:t>
      </w:r>
      <w:proofErr w:type="gramEnd"/>
      <w:r>
        <w:t xml:space="preserve"> and structure</w:t>
      </w:r>
    </w:p>
    <w:p w14:paraId="517188B5" w14:textId="77777777" w:rsidR="0052537A" w:rsidRDefault="00000000">
      <w:pPr>
        <w:spacing w:after="140" w:line="276" w:lineRule="auto"/>
      </w:pPr>
      <w:r>
        <w:t>AMPM Building Services launches under the existing Group leadership. Jamie Dawson (Chair), Dan Small (Managing Director) and Luke Finney (Commercial Director) retain their Group roles in the new company. Steve Lee moves across from Gemini to run the project side of the business. Joe Isaac and Jill Wilson each contribute one day per week alongside their Gemini roles, providing experienced commercial and delivery support without a full-time fixed cost.</w:t>
      </w:r>
    </w:p>
    <w:p w14:paraId="0B967561" w14:textId="77777777" w:rsidR="0052537A" w:rsidRDefault="00000000">
      <w:pPr>
        <w:spacing w:after="140" w:line="276" w:lineRule="auto"/>
      </w:pPr>
      <w:r>
        <w:rPr>
          <w:b/>
          <w:bCs/>
        </w:rPr>
        <w:t xml:space="preserve">Inter-company arrangements. </w:t>
      </w:r>
      <w:r>
        <w:t>The time of Gemini personnel supporting Building Services is provided under inter-company recharge or secondment agreements, so the cost sits in Building Services and not Gemini. This is a deliberate control: it keeps both profit-and-loss accounts clean and preserves the principle that Gemini does not subsidise the new entity. These agreements are to be executed before launch.</w:t>
      </w:r>
    </w:p>
    <w:p w14:paraId="2621B3C0" w14:textId="77777777" w:rsidR="0052537A" w:rsidRDefault="00000000">
      <w:pPr>
        <w:pStyle w:val="Heading2"/>
      </w:pPr>
      <w:proofErr w:type="gramStart"/>
      <w:r>
        <w:t>9.2  Indicative</w:t>
      </w:r>
      <w:proofErr w:type="gramEnd"/>
      <w:r>
        <w:t xml:space="preserve"> steady-state headcount</w:t>
      </w:r>
    </w:p>
    <w:p w14:paraId="75F9985A" w14:textId="77777777" w:rsidR="0052537A" w:rsidRDefault="00000000">
      <w:pPr>
        <w:spacing w:after="140" w:line="276" w:lineRule="auto"/>
      </w:pPr>
      <w:r>
        <w:lastRenderedPageBreak/>
        <w:t>The entity launches lean, drawing on the Group's shared back-office (finance, HR, IT, marketing) and part-time secondments. The table below is the indicative steady-state build as direct revenue scales; Year-1 resourcing is intentionally weighted to recharged Group and Gemini time to minimise fixed cost while the order book establishes.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0"/>
        <w:gridCol w:w="1866"/>
        <w:gridCol w:w="1867"/>
        <w:gridCol w:w="1867"/>
      </w:tblGrid>
      <w:tr w:rsidR="0052537A" w14:paraId="418E6A93" w14:textId="77777777">
        <w:tblPrEx>
          <w:tblCellMar>
            <w:top w:w="0" w:type="dxa"/>
            <w:bottom w:w="0" w:type="dxa"/>
          </w:tblCellMar>
        </w:tblPrEx>
        <w:trPr>
          <w:tblHeader/>
        </w:trPr>
        <w:tc>
          <w:tcPr>
            <w:tcW w:w="376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0356991A" w14:textId="77777777" w:rsidR="0052537A" w:rsidRDefault="00000000">
            <w:r>
              <w:rPr>
                <w:b/>
                <w:bCs/>
                <w:color w:val="FFFFFF"/>
                <w:sz w:val="19"/>
                <w:szCs w:val="19"/>
              </w:rPr>
              <w:t>Role</w:t>
            </w:r>
          </w:p>
        </w:tc>
        <w:tc>
          <w:tcPr>
            <w:tcW w:w="1866"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2C3C3D35" w14:textId="77777777" w:rsidR="0052537A" w:rsidRDefault="00000000">
            <w:pPr>
              <w:jc w:val="right"/>
            </w:pPr>
            <w:r>
              <w:rPr>
                <w:b/>
                <w:bCs/>
                <w:color w:val="FFFFFF"/>
                <w:sz w:val="19"/>
                <w:szCs w:val="19"/>
              </w:rPr>
              <w:t>Y1 FTE</w:t>
            </w:r>
          </w:p>
        </w:tc>
        <w:tc>
          <w:tcPr>
            <w:tcW w:w="1867"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1E04EE07" w14:textId="77777777" w:rsidR="0052537A" w:rsidRDefault="00000000">
            <w:pPr>
              <w:jc w:val="right"/>
            </w:pPr>
            <w:r>
              <w:rPr>
                <w:b/>
                <w:bCs/>
                <w:color w:val="FFFFFF"/>
                <w:sz w:val="19"/>
                <w:szCs w:val="19"/>
              </w:rPr>
              <w:t>Y2 FTE</w:t>
            </w:r>
          </w:p>
        </w:tc>
        <w:tc>
          <w:tcPr>
            <w:tcW w:w="1867"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3E2C38DE" w14:textId="77777777" w:rsidR="0052537A" w:rsidRDefault="00000000">
            <w:pPr>
              <w:jc w:val="right"/>
            </w:pPr>
            <w:r>
              <w:rPr>
                <w:b/>
                <w:bCs/>
                <w:color w:val="FFFFFF"/>
                <w:sz w:val="19"/>
                <w:szCs w:val="19"/>
              </w:rPr>
              <w:t>Y3 FTE</w:t>
            </w:r>
          </w:p>
        </w:tc>
      </w:tr>
      <w:tr w:rsidR="0052537A" w14:paraId="7BB5E49A" w14:textId="77777777">
        <w:tblPrEx>
          <w:tblCellMar>
            <w:top w:w="0" w:type="dxa"/>
            <w:bottom w:w="0" w:type="dxa"/>
          </w:tblCellMar>
        </w:tblPrEx>
        <w:tc>
          <w:tcPr>
            <w:tcW w:w="376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0F9B5FA6" w14:textId="77777777" w:rsidR="0052537A" w:rsidRDefault="00000000">
            <w:r>
              <w:rPr>
                <w:color w:val="000000"/>
                <w:sz w:val="19"/>
                <w:szCs w:val="19"/>
              </w:rPr>
              <w:t xml:space="preserve">BS </w:t>
            </w:r>
            <w:proofErr w:type="gramStart"/>
            <w:r>
              <w:rPr>
                <w:color w:val="000000"/>
                <w:sz w:val="19"/>
                <w:szCs w:val="19"/>
              </w:rPr>
              <w:t>Lead</w:t>
            </w:r>
            <w:proofErr w:type="gramEnd"/>
            <w:r>
              <w:rPr>
                <w:color w:val="000000"/>
                <w:sz w:val="19"/>
                <w:szCs w:val="19"/>
              </w:rPr>
              <w:t xml:space="preserve"> / General Manager</w:t>
            </w:r>
          </w:p>
        </w:tc>
        <w:tc>
          <w:tcPr>
            <w:tcW w:w="1866"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6B11967" w14:textId="77777777" w:rsidR="0052537A" w:rsidRDefault="00000000">
            <w:pPr>
              <w:jc w:val="right"/>
            </w:pPr>
            <w:r>
              <w:rPr>
                <w:color w:val="000000"/>
                <w:sz w:val="19"/>
                <w:szCs w:val="19"/>
              </w:rPr>
              <w:t>1.0</w:t>
            </w:r>
          </w:p>
        </w:tc>
        <w:tc>
          <w:tcPr>
            <w:tcW w:w="1867"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632863CD" w14:textId="77777777" w:rsidR="0052537A" w:rsidRDefault="00000000">
            <w:pPr>
              <w:jc w:val="right"/>
            </w:pPr>
            <w:r>
              <w:rPr>
                <w:color w:val="000000"/>
                <w:sz w:val="19"/>
                <w:szCs w:val="19"/>
              </w:rPr>
              <w:t>1.0</w:t>
            </w:r>
          </w:p>
        </w:tc>
        <w:tc>
          <w:tcPr>
            <w:tcW w:w="1867"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1F899215" w14:textId="77777777" w:rsidR="0052537A" w:rsidRDefault="00000000">
            <w:pPr>
              <w:jc w:val="right"/>
            </w:pPr>
            <w:r>
              <w:rPr>
                <w:color w:val="000000"/>
                <w:sz w:val="19"/>
                <w:szCs w:val="19"/>
              </w:rPr>
              <w:t>1.0</w:t>
            </w:r>
          </w:p>
        </w:tc>
      </w:tr>
      <w:tr w:rsidR="0052537A" w14:paraId="56DE4321" w14:textId="77777777">
        <w:tblPrEx>
          <w:tblCellMar>
            <w:top w:w="0" w:type="dxa"/>
            <w:bottom w:w="0" w:type="dxa"/>
          </w:tblCellMar>
        </w:tblPrEx>
        <w:tc>
          <w:tcPr>
            <w:tcW w:w="376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0C0FD1E6" w14:textId="77777777" w:rsidR="0052537A" w:rsidRDefault="00000000">
            <w:r>
              <w:rPr>
                <w:color w:val="000000"/>
                <w:sz w:val="19"/>
                <w:szCs w:val="19"/>
              </w:rPr>
              <w:t>Contracts Manager</w:t>
            </w:r>
          </w:p>
        </w:tc>
        <w:tc>
          <w:tcPr>
            <w:tcW w:w="1866"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55F411E3" w14:textId="77777777" w:rsidR="0052537A" w:rsidRDefault="00000000">
            <w:pPr>
              <w:jc w:val="right"/>
            </w:pPr>
            <w:r>
              <w:rPr>
                <w:color w:val="000000"/>
                <w:sz w:val="19"/>
                <w:szCs w:val="19"/>
              </w:rPr>
              <w:t>1.0</w:t>
            </w:r>
          </w:p>
        </w:tc>
        <w:tc>
          <w:tcPr>
            <w:tcW w:w="1867"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0F5F0730" w14:textId="77777777" w:rsidR="0052537A" w:rsidRDefault="00000000">
            <w:pPr>
              <w:jc w:val="right"/>
            </w:pPr>
            <w:r>
              <w:rPr>
                <w:color w:val="000000"/>
                <w:sz w:val="19"/>
                <w:szCs w:val="19"/>
              </w:rPr>
              <w:t>2.0</w:t>
            </w:r>
          </w:p>
        </w:tc>
        <w:tc>
          <w:tcPr>
            <w:tcW w:w="1867"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4BA3681F" w14:textId="77777777" w:rsidR="0052537A" w:rsidRDefault="00000000">
            <w:pPr>
              <w:jc w:val="right"/>
            </w:pPr>
            <w:r>
              <w:rPr>
                <w:color w:val="000000"/>
                <w:sz w:val="19"/>
                <w:szCs w:val="19"/>
              </w:rPr>
              <w:t>3.0</w:t>
            </w:r>
          </w:p>
        </w:tc>
      </w:tr>
      <w:tr w:rsidR="0052537A" w14:paraId="75DB0608" w14:textId="77777777">
        <w:tblPrEx>
          <w:tblCellMar>
            <w:top w:w="0" w:type="dxa"/>
            <w:bottom w:w="0" w:type="dxa"/>
          </w:tblCellMar>
        </w:tblPrEx>
        <w:tc>
          <w:tcPr>
            <w:tcW w:w="376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27C228F9" w14:textId="77777777" w:rsidR="0052537A" w:rsidRDefault="00000000">
            <w:r>
              <w:rPr>
                <w:color w:val="000000"/>
                <w:sz w:val="19"/>
                <w:szCs w:val="19"/>
              </w:rPr>
              <w:t>Project Manager</w:t>
            </w:r>
          </w:p>
        </w:tc>
        <w:tc>
          <w:tcPr>
            <w:tcW w:w="1866"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EAAA615" w14:textId="77777777" w:rsidR="0052537A" w:rsidRDefault="00000000">
            <w:pPr>
              <w:jc w:val="right"/>
            </w:pPr>
            <w:r>
              <w:rPr>
                <w:color w:val="000000"/>
                <w:sz w:val="19"/>
                <w:szCs w:val="19"/>
              </w:rPr>
              <w:t>1.0</w:t>
            </w:r>
          </w:p>
        </w:tc>
        <w:tc>
          <w:tcPr>
            <w:tcW w:w="1867"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3B2545C" w14:textId="77777777" w:rsidR="0052537A" w:rsidRDefault="00000000">
            <w:pPr>
              <w:jc w:val="right"/>
            </w:pPr>
            <w:r>
              <w:rPr>
                <w:color w:val="000000"/>
                <w:sz w:val="19"/>
                <w:szCs w:val="19"/>
              </w:rPr>
              <w:t>2.0</w:t>
            </w:r>
          </w:p>
        </w:tc>
        <w:tc>
          <w:tcPr>
            <w:tcW w:w="1867"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7B5B3A5D" w14:textId="77777777" w:rsidR="0052537A" w:rsidRDefault="00000000">
            <w:pPr>
              <w:jc w:val="right"/>
            </w:pPr>
            <w:r>
              <w:rPr>
                <w:color w:val="000000"/>
                <w:sz w:val="19"/>
                <w:szCs w:val="19"/>
              </w:rPr>
              <w:t>3.0</w:t>
            </w:r>
          </w:p>
        </w:tc>
      </w:tr>
      <w:tr w:rsidR="0052537A" w14:paraId="234E46A4" w14:textId="77777777">
        <w:tblPrEx>
          <w:tblCellMar>
            <w:top w:w="0" w:type="dxa"/>
            <w:bottom w:w="0" w:type="dxa"/>
          </w:tblCellMar>
        </w:tblPrEx>
        <w:tc>
          <w:tcPr>
            <w:tcW w:w="376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6E8351AC" w14:textId="77777777" w:rsidR="0052537A" w:rsidRDefault="00000000">
            <w:r>
              <w:rPr>
                <w:color w:val="000000"/>
                <w:sz w:val="19"/>
                <w:szCs w:val="19"/>
              </w:rPr>
              <w:t>Commercial / Quantity Surveyor</w:t>
            </w:r>
          </w:p>
        </w:tc>
        <w:tc>
          <w:tcPr>
            <w:tcW w:w="1866"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3EE11B8F" w14:textId="77777777" w:rsidR="0052537A" w:rsidRDefault="00000000">
            <w:pPr>
              <w:jc w:val="right"/>
            </w:pPr>
            <w:r>
              <w:rPr>
                <w:color w:val="000000"/>
                <w:sz w:val="19"/>
                <w:szCs w:val="19"/>
              </w:rPr>
              <w:t>1.0</w:t>
            </w:r>
          </w:p>
        </w:tc>
        <w:tc>
          <w:tcPr>
            <w:tcW w:w="1867"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5CEB2253" w14:textId="77777777" w:rsidR="0052537A" w:rsidRDefault="00000000">
            <w:pPr>
              <w:jc w:val="right"/>
            </w:pPr>
            <w:r>
              <w:rPr>
                <w:color w:val="000000"/>
                <w:sz w:val="19"/>
                <w:szCs w:val="19"/>
              </w:rPr>
              <w:t>1.0</w:t>
            </w:r>
          </w:p>
        </w:tc>
        <w:tc>
          <w:tcPr>
            <w:tcW w:w="1867"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4390C123" w14:textId="77777777" w:rsidR="0052537A" w:rsidRDefault="00000000">
            <w:pPr>
              <w:jc w:val="right"/>
            </w:pPr>
            <w:r>
              <w:rPr>
                <w:color w:val="000000"/>
                <w:sz w:val="19"/>
                <w:szCs w:val="19"/>
              </w:rPr>
              <w:t>2.0</w:t>
            </w:r>
          </w:p>
        </w:tc>
      </w:tr>
      <w:tr w:rsidR="0052537A" w14:paraId="6BAF6822" w14:textId="77777777">
        <w:tblPrEx>
          <w:tblCellMar>
            <w:top w:w="0" w:type="dxa"/>
            <w:bottom w:w="0" w:type="dxa"/>
          </w:tblCellMar>
        </w:tblPrEx>
        <w:tc>
          <w:tcPr>
            <w:tcW w:w="376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0CF8BCC6" w14:textId="77777777" w:rsidR="0052537A" w:rsidRDefault="00000000">
            <w:r>
              <w:rPr>
                <w:color w:val="000000"/>
                <w:sz w:val="19"/>
                <w:szCs w:val="19"/>
              </w:rPr>
              <w:t>Site Supervisor</w:t>
            </w:r>
          </w:p>
        </w:tc>
        <w:tc>
          <w:tcPr>
            <w:tcW w:w="1866"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3D6EBE70" w14:textId="77777777" w:rsidR="0052537A" w:rsidRDefault="00000000">
            <w:pPr>
              <w:jc w:val="right"/>
            </w:pPr>
            <w:r>
              <w:rPr>
                <w:color w:val="000000"/>
                <w:sz w:val="19"/>
                <w:szCs w:val="19"/>
              </w:rPr>
              <w:t>0.5</w:t>
            </w:r>
          </w:p>
        </w:tc>
        <w:tc>
          <w:tcPr>
            <w:tcW w:w="1867"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C8CA59A" w14:textId="77777777" w:rsidR="0052537A" w:rsidRDefault="00000000">
            <w:pPr>
              <w:jc w:val="right"/>
            </w:pPr>
            <w:r>
              <w:rPr>
                <w:color w:val="000000"/>
                <w:sz w:val="19"/>
                <w:szCs w:val="19"/>
              </w:rPr>
              <w:t>2.0</w:t>
            </w:r>
          </w:p>
        </w:tc>
        <w:tc>
          <w:tcPr>
            <w:tcW w:w="1867"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1AB9F9C3" w14:textId="77777777" w:rsidR="0052537A" w:rsidRDefault="00000000">
            <w:pPr>
              <w:jc w:val="right"/>
            </w:pPr>
            <w:r>
              <w:rPr>
                <w:color w:val="000000"/>
                <w:sz w:val="19"/>
                <w:szCs w:val="19"/>
              </w:rPr>
              <w:t>3.0</w:t>
            </w:r>
          </w:p>
        </w:tc>
      </w:tr>
      <w:tr w:rsidR="0052537A" w14:paraId="4FE4A1AE" w14:textId="77777777">
        <w:tblPrEx>
          <w:tblCellMar>
            <w:top w:w="0" w:type="dxa"/>
            <w:bottom w:w="0" w:type="dxa"/>
          </w:tblCellMar>
        </w:tblPrEx>
        <w:tc>
          <w:tcPr>
            <w:tcW w:w="376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433AC654" w14:textId="77777777" w:rsidR="0052537A" w:rsidRDefault="00000000">
            <w:r>
              <w:rPr>
                <w:color w:val="000000"/>
                <w:sz w:val="19"/>
                <w:szCs w:val="19"/>
              </w:rPr>
              <w:t>Estimator</w:t>
            </w:r>
          </w:p>
        </w:tc>
        <w:tc>
          <w:tcPr>
            <w:tcW w:w="1866"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40D76699" w14:textId="77777777" w:rsidR="0052537A" w:rsidRDefault="00000000">
            <w:pPr>
              <w:jc w:val="right"/>
            </w:pPr>
            <w:r>
              <w:rPr>
                <w:color w:val="000000"/>
                <w:sz w:val="19"/>
                <w:szCs w:val="19"/>
              </w:rPr>
              <w:t>—</w:t>
            </w:r>
          </w:p>
        </w:tc>
        <w:tc>
          <w:tcPr>
            <w:tcW w:w="1867"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2287CC82" w14:textId="77777777" w:rsidR="0052537A" w:rsidRDefault="00000000">
            <w:pPr>
              <w:jc w:val="right"/>
            </w:pPr>
            <w:r>
              <w:rPr>
                <w:color w:val="000000"/>
                <w:sz w:val="19"/>
                <w:szCs w:val="19"/>
              </w:rPr>
              <w:t>1.0</w:t>
            </w:r>
          </w:p>
        </w:tc>
        <w:tc>
          <w:tcPr>
            <w:tcW w:w="1867"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4EBD514C" w14:textId="77777777" w:rsidR="0052537A" w:rsidRDefault="00000000">
            <w:pPr>
              <w:jc w:val="right"/>
            </w:pPr>
            <w:r>
              <w:rPr>
                <w:color w:val="000000"/>
                <w:sz w:val="19"/>
                <w:szCs w:val="19"/>
              </w:rPr>
              <w:t>1.0</w:t>
            </w:r>
          </w:p>
        </w:tc>
      </w:tr>
      <w:tr w:rsidR="0052537A" w14:paraId="37A7A16B" w14:textId="77777777">
        <w:tblPrEx>
          <w:tblCellMar>
            <w:top w:w="0" w:type="dxa"/>
            <w:bottom w:w="0" w:type="dxa"/>
          </w:tblCellMar>
        </w:tblPrEx>
        <w:tc>
          <w:tcPr>
            <w:tcW w:w="376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111B7E95" w14:textId="77777777" w:rsidR="0052537A" w:rsidRDefault="00000000">
            <w:r>
              <w:rPr>
                <w:b/>
                <w:bCs/>
                <w:color w:val="000000"/>
                <w:sz w:val="19"/>
                <w:szCs w:val="19"/>
              </w:rPr>
              <w:t>Total FTE</w:t>
            </w:r>
          </w:p>
        </w:tc>
        <w:tc>
          <w:tcPr>
            <w:tcW w:w="1866"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66D3E2F5" w14:textId="77777777" w:rsidR="0052537A" w:rsidRDefault="00000000">
            <w:pPr>
              <w:jc w:val="right"/>
            </w:pPr>
            <w:r>
              <w:rPr>
                <w:b/>
                <w:bCs/>
                <w:color w:val="000000"/>
                <w:sz w:val="19"/>
                <w:szCs w:val="19"/>
              </w:rPr>
              <w:t>5.5</w:t>
            </w:r>
          </w:p>
        </w:tc>
        <w:tc>
          <w:tcPr>
            <w:tcW w:w="1867"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69B6C01F" w14:textId="77777777" w:rsidR="0052537A" w:rsidRDefault="00000000">
            <w:pPr>
              <w:jc w:val="right"/>
            </w:pPr>
            <w:r>
              <w:rPr>
                <w:b/>
                <w:bCs/>
                <w:color w:val="000000"/>
                <w:sz w:val="19"/>
                <w:szCs w:val="19"/>
              </w:rPr>
              <w:t>9.0</w:t>
            </w:r>
          </w:p>
        </w:tc>
        <w:tc>
          <w:tcPr>
            <w:tcW w:w="1867"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22F54D6A" w14:textId="77777777" w:rsidR="0052537A" w:rsidRDefault="00000000">
            <w:pPr>
              <w:jc w:val="right"/>
            </w:pPr>
            <w:r>
              <w:rPr>
                <w:b/>
                <w:bCs/>
                <w:color w:val="000000"/>
                <w:sz w:val="19"/>
                <w:szCs w:val="19"/>
              </w:rPr>
              <w:t>13.0</w:t>
            </w:r>
          </w:p>
        </w:tc>
      </w:tr>
      <w:tr w:rsidR="0052537A" w14:paraId="2E08AF4A" w14:textId="77777777">
        <w:tblPrEx>
          <w:tblCellMar>
            <w:top w:w="0" w:type="dxa"/>
            <w:bottom w:w="0" w:type="dxa"/>
          </w:tblCellMar>
        </w:tblPrEx>
        <w:tc>
          <w:tcPr>
            <w:tcW w:w="376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34E84B68" w14:textId="77777777" w:rsidR="0052537A" w:rsidRDefault="00000000">
            <w:proofErr w:type="gramStart"/>
            <w:r>
              <w:rPr>
                <w:b/>
                <w:bCs/>
                <w:color w:val="000000"/>
                <w:sz w:val="19"/>
                <w:szCs w:val="19"/>
              </w:rPr>
              <w:t>Fully-loaded</w:t>
            </w:r>
            <w:proofErr w:type="gramEnd"/>
            <w:r>
              <w:rPr>
                <w:b/>
                <w:bCs/>
                <w:color w:val="000000"/>
                <w:sz w:val="19"/>
                <w:szCs w:val="19"/>
              </w:rPr>
              <w:t xml:space="preserve"> staff cost (£'000)</w:t>
            </w:r>
          </w:p>
        </w:tc>
        <w:tc>
          <w:tcPr>
            <w:tcW w:w="1866"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4EA19DD6" w14:textId="77777777" w:rsidR="0052537A" w:rsidRDefault="00000000">
            <w:pPr>
              <w:jc w:val="right"/>
            </w:pPr>
            <w:r>
              <w:rPr>
                <w:b/>
                <w:bCs/>
                <w:color w:val="000000"/>
                <w:sz w:val="19"/>
                <w:szCs w:val="19"/>
              </w:rPr>
              <w:t>318</w:t>
            </w:r>
          </w:p>
        </w:tc>
        <w:tc>
          <w:tcPr>
            <w:tcW w:w="1867"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2930F867" w14:textId="77777777" w:rsidR="0052537A" w:rsidRDefault="00000000">
            <w:pPr>
              <w:jc w:val="right"/>
            </w:pPr>
            <w:r>
              <w:rPr>
                <w:b/>
                <w:bCs/>
                <w:color w:val="000000"/>
                <w:sz w:val="19"/>
                <w:szCs w:val="19"/>
              </w:rPr>
              <w:t>582</w:t>
            </w:r>
          </w:p>
        </w:tc>
        <w:tc>
          <w:tcPr>
            <w:tcW w:w="1867"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6B66334" w14:textId="77777777" w:rsidR="0052537A" w:rsidRDefault="00000000">
            <w:pPr>
              <w:jc w:val="right"/>
            </w:pPr>
            <w:r>
              <w:rPr>
                <w:b/>
                <w:bCs/>
                <w:color w:val="000000"/>
                <w:sz w:val="19"/>
                <w:szCs w:val="19"/>
              </w:rPr>
              <w:t>828</w:t>
            </w:r>
          </w:p>
        </w:tc>
      </w:tr>
    </w:tbl>
    <w:p w14:paraId="1E3964DB" w14:textId="77777777" w:rsidR="0052537A" w:rsidRDefault="0052537A">
      <w:pPr>
        <w:spacing w:after="80"/>
      </w:pPr>
    </w:p>
    <w:p w14:paraId="1ADED72A" w14:textId="77777777" w:rsidR="0052537A" w:rsidRDefault="00000000">
      <w:pPr>
        <w:pStyle w:val="Heading2"/>
      </w:pPr>
      <w:proofErr w:type="gramStart"/>
      <w:r>
        <w:t>9.3  Supply</w:t>
      </w:r>
      <w:proofErr w:type="gramEnd"/>
      <w:r>
        <w:t xml:space="preserve"> chain</w:t>
      </w:r>
    </w:p>
    <w:p w14:paraId="71F1232C" w14:textId="77777777" w:rsidR="0052537A" w:rsidRDefault="00000000">
      <w:pPr>
        <w:spacing w:after="140" w:line="276" w:lineRule="auto"/>
      </w:pPr>
      <w:r>
        <w:t>An early priority is a qualified, reliable supply chain across all five lines. All appointments pass the Group's standard qualification: PL/EL insurance verification, references, and RAMS capability check.</w:t>
      </w:r>
    </w:p>
    <w:p w14:paraId="4ADF42AC" w14:textId="77777777" w:rsidR="0052537A" w:rsidRDefault="00000000">
      <w:pPr>
        <w:pStyle w:val="ListParagraph"/>
        <w:numPr>
          <w:ilvl w:val="0"/>
          <w:numId w:val="3"/>
        </w:numPr>
        <w:spacing w:after="90" w:line="276" w:lineRule="auto"/>
      </w:pPr>
      <w:r>
        <w:rPr>
          <w:b/>
          <w:bCs/>
        </w:rPr>
        <w:t xml:space="preserve">Electrical — </w:t>
      </w:r>
      <w:r>
        <w:t>2–3 NICEIC-approved sub-contractors approved in Month 1.</w:t>
      </w:r>
    </w:p>
    <w:p w14:paraId="720DABB4" w14:textId="77777777" w:rsidR="0052537A" w:rsidRDefault="00000000">
      <w:pPr>
        <w:pStyle w:val="ListParagraph"/>
        <w:numPr>
          <w:ilvl w:val="0"/>
          <w:numId w:val="3"/>
        </w:numPr>
        <w:spacing w:after="90" w:line="276" w:lineRule="auto"/>
      </w:pPr>
      <w:r>
        <w:rPr>
          <w:b/>
          <w:bCs/>
        </w:rPr>
        <w:t xml:space="preserve">Mechanical — </w:t>
      </w:r>
      <w:r>
        <w:t>plumbing, heating and Gas Safe engineers; existing Gemini relationships referenced but formal BS supply agreements executed.</w:t>
      </w:r>
    </w:p>
    <w:p w14:paraId="118115D3" w14:textId="77777777" w:rsidR="0052537A" w:rsidRDefault="00000000">
      <w:pPr>
        <w:pStyle w:val="ListParagraph"/>
        <w:numPr>
          <w:ilvl w:val="0"/>
          <w:numId w:val="3"/>
        </w:numPr>
        <w:spacing w:after="90" w:line="276" w:lineRule="auto"/>
      </w:pPr>
      <w:r>
        <w:rPr>
          <w:b/>
          <w:bCs/>
        </w:rPr>
        <w:t xml:space="preserve">Fit-out — </w:t>
      </w:r>
      <w:r>
        <w:t>3–4 preferred dry-lining, joinery and finishing trades.</w:t>
      </w:r>
    </w:p>
    <w:p w14:paraId="202EF5AE" w14:textId="77777777" w:rsidR="0052537A" w:rsidRDefault="00000000">
      <w:pPr>
        <w:pStyle w:val="ListParagraph"/>
        <w:numPr>
          <w:ilvl w:val="0"/>
          <w:numId w:val="3"/>
        </w:numPr>
        <w:spacing w:after="90" w:line="276" w:lineRule="auto"/>
      </w:pPr>
      <w:r>
        <w:rPr>
          <w:b/>
          <w:bCs/>
        </w:rPr>
        <w:t xml:space="preserve">Fabric &amp; roofing — </w:t>
      </w:r>
      <w:r>
        <w:t>façade/EWI specialists and GRP/EPDM/pitched roofers; 2 preferred suppliers minimum per trade.</w:t>
      </w:r>
    </w:p>
    <w:p w14:paraId="4493C643" w14:textId="77777777" w:rsidR="0052537A" w:rsidRDefault="00000000">
      <w:pPr>
        <w:pStyle w:val="ListParagraph"/>
        <w:numPr>
          <w:ilvl w:val="0"/>
          <w:numId w:val="3"/>
        </w:numPr>
        <w:spacing w:after="90" w:line="276" w:lineRule="auto"/>
      </w:pPr>
      <w:r>
        <w:rPr>
          <w:b/>
          <w:bCs/>
        </w:rPr>
        <w:t xml:space="preserve">Groundworks — </w:t>
      </w:r>
      <w:r>
        <w:t>2 preferred drainage and concrete sub-contractors.</w:t>
      </w:r>
    </w:p>
    <w:p w14:paraId="7429DF10" w14:textId="77777777" w:rsidR="0052537A" w:rsidRDefault="00000000">
      <w:pPr>
        <w:pStyle w:val="Heading2"/>
      </w:pPr>
      <w:proofErr w:type="gramStart"/>
      <w:r>
        <w:t>9.4  Systems</w:t>
      </w:r>
      <w:proofErr w:type="gramEnd"/>
      <w:r>
        <w:t xml:space="preserve"> and reporting</w:t>
      </w:r>
    </w:p>
    <w:p w14:paraId="055F6A25" w14:textId="77777777" w:rsidR="0052537A" w:rsidRDefault="00000000">
      <w:pPr>
        <w:pStyle w:val="ListParagraph"/>
        <w:numPr>
          <w:ilvl w:val="0"/>
          <w:numId w:val="3"/>
        </w:numPr>
        <w:spacing w:after="90" w:line="276" w:lineRule="auto"/>
      </w:pPr>
      <w:r>
        <w:rPr>
          <w:b/>
          <w:bCs/>
        </w:rPr>
        <w:t xml:space="preserve">Xero — </w:t>
      </w:r>
      <w:r>
        <w:t>done. Separate entity on the Group account, live ahead of the first invoice.</w:t>
      </w:r>
    </w:p>
    <w:p w14:paraId="3877AE30" w14:textId="77777777" w:rsidR="0052537A" w:rsidRDefault="00000000">
      <w:pPr>
        <w:pStyle w:val="ListParagraph"/>
        <w:numPr>
          <w:ilvl w:val="0"/>
          <w:numId w:val="3"/>
        </w:numPr>
        <w:spacing w:after="90" w:line="276" w:lineRule="auto"/>
      </w:pPr>
      <w:r>
        <w:rPr>
          <w:b/>
          <w:bCs/>
        </w:rPr>
        <w:t xml:space="preserve">Procore — </w:t>
      </w:r>
      <w:r>
        <w:t>extend the Group platform group-wide to Building Services for consistent project delivery and golden-thread documentation; confirm the seat/licensing basis.</w:t>
      </w:r>
    </w:p>
    <w:p w14:paraId="6262295F" w14:textId="77777777" w:rsidR="0052537A" w:rsidRDefault="00000000">
      <w:pPr>
        <w:pStyle w:val="ListParagraph"/>
        <w:numPr>
          <w:ilvl w:val="0"/>
          <w:numId w:val="3"/>
        </w:numPr>
        <w:spacing w:after="90" w:line="276" w:lineRule="auto"/>
      </w:pPr>
      <w:proofErr w:type="spellStart"/>
      <w:r>
        <w:rPr>
          <w:b/>
          <w:bCs/>
        </w:rPr>
        <w:t>SafeHR</w:t>
      </w:r>
      <w:proofErr w:type="spellEnd"/>
      <w:r>
        <w:rPr>
          <w:b/>
          <w:bCs/>
        </w:rPr>
        <w:t xml:space="preserve"> — </w:t>
      </w:r>
      <w:r>
        <w:t xml:space="preserve">stand up Building Services on </w:t>
      </w:r>
      <w:proofErr w:type="spellStart"/>
      <w:r>
        <w:t>SafeHR</w:t>
      </w:r>
      <w:proofErr w:type="spellEnd"/>
      <w:r>
        <w:t xml:space="preserve"> before any staff transfer or first hire. Priority pre-launch action.</w:t>
      </w:r>
    </w:p>
    <w:p w14:paraId="6ADA1BB8" w14:textId="77777777" w:rsidR="0052537A" w:rsidRDefault="00000000">
      <w:pPr>
        <w:pStyle w:val="ListParagraph"/>
        <w:numPr>
          <w:ilvl w:val="0"/>
          <w:numId w:val="3"/>
        </w:numPr>
        <w:spacing w:after="90" w:line="276" w:lineRule="auto"/>
      </w:pPr>
      <w:r>
        <w:rPr>
          <w:b/>
          <w:bCs/>
        </w:rPr>
        <w:t xml:space="preserve">IMS — </w:t>
      </w:r>
      <w:r>
        <w:t>build the Integrated Management System by cloning Gemini's and rebranding for Building Services, keeping quality, safety and environmental standards common across the Group and ready for the entity's own ISO certification as scale justifies.</w:t>
      </w:r>
    </w:p>
    <w:p w14:paraId="4C66457F" w14:textId="77777777" w:rsidR="0052537A" w:rsidRDefault="00000000">
      <w:pPr>
        <w:pStyle w:val="ListParagraph"/>
        <w:numPr>
          <w:ilvl w:val="0"/>
          <w:numId w:val="3"/>
        </w:numPr>
        <w:spacing w:after="90" w:line="276" w:lineRule="auto"/>
      </w:pPr>
      <w:r>
        <w:rPr>
          <w:b/>
          <w:bCs/>
        </w:rPr>
        <w:t xml:space="preserve">Uptick — </w:t>
      </w:r>
      <w:r>
        <w:t>defer. Relevant only for planned-maintenance contracts, which are not a Day-1 priority; avoid a second subscription until such contracts materialise.</w:t>
      </w:r>
    </w:p>
    <w:p w14:paraId="0A85094F" w14:textId="77777777" w:rsidR="0052537A" w:rsidRDefault="00000000">
      <w:pPr>
        <w:pStyle w:val="ListParagraph"/>
        <w:numPr>
          <w:ilvl w:val="0"/>
          <w:numId w:val="3"/>
        </w:numPr>
        <w:spacing w:after="90" w:line="276" w:lineRule="auto"/>
      </w:pPr>
      <w:r>
        <w:rPr>
          <w:b/>
          <w:bCs/>
        </w:rPr>
        <w:t xml:space="preserve">AMPM Live — </w:t>
      </w:r>
      <w:r>
        <w:t>Building Services clients onboarded to the Group portal on launch.</w:t>
      </w:r>
    </w:p>
    <w:p w14:paraId="2CC2CBF4" w14:textId="77777777" w:rsidR="0052537A" w:rsidRDefault="00000000">
      <w:pPr>
        <w:pStyle w:val="Heading1"/>
      </w:pPr>
      <w:bookmarkStart w:id="10" w:name="_Toc231836824"/>
      <w:r>
        <w:lastRenderedPageBreak/>
        <w:t>10.  Launch Plan — to 1 July and First 90 Days</w:t>
      </w:r>
      <w:bookmarkEnd w:id="10"/>
    </w:p>
    <w:p w14:paraId="48172895" w14:textId="77777777" w:rsidR="0052537A" w:rsidRDefault="00000000">
      <w:pPr>
        <w:spacing w:after="140" w:line="276" w:lineRule="auto"/>
      </w:pPr>
      <w:r>
        <w:t>Detailed mobilisation actions, owners and target dates are set out in the accompanying Launch Readiness Plan. The summary below anchors on the 1 July 2026 go-live.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730"/>
        <w:gridCol w:w="2930"/>
      </w:tblGrid>
      <w:tr w:rsidR="0052537A" w14:paraId="724390AF" w14:textId="77777777">
        <w:tblPrEx>
          <w:tblCellMar>
            <w:top w:w="0" w:type="dxa"/>
            <w:bottom w:w="0" w:type="dxa"/>
          </w:tblCellMar>
        </w:tblPrEx>
        <w:trPr>
          <w:tblHeader/>
        </w:trPr>
        <w:tc>
          <w:tcPr>
            <w:tcW w:w="170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3B7CA6E8" w14:textId="77777777" w:rsidR="0052537A" w:rsidRDefault="00000000">
            <w:r>
              <w:rPr>
                <w:b/>
                <w:bCs/>
                <w:color w:val="FFFFFF"/>
                <w:sz w:val="19"/>
                <w:szCs w:val="19"/>
              </w:rPr>
              <w:t>Window</w:t>
            </w:r>
          </w:p>
        </w:tc>
        <w:tc>
          <w:tcPr>
            <w:tcW w:w="473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381BF6C3" w14:textId="77777777" w:rsidR="0052537A" w:rsidRDefault="00000000">
            <w:r>
              <w:rPr>
                <w:b/>
                <w:bCs/>
                <w:color w:val="FFFFFF"/>
                <w:sz w:val="19"/>
                <w:szCs w:val="19"/>
              </w:rPr>
              <w:t>Actions</w:t>
            </w:r>
          </w:p>
        </w:tc>
        <w:tc>
          <w:tcPr>
            <w:tcW w:w="293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23D66092" w14:textId="77777777" w:rsidR="0052537A" w:rsidRDefault="00000000">
            <w:r>
              <w:rPr>
                <w:b/>
                <w:bCs/>
                <w:color w:val="FFFFFF"/>
                <w:sz w:val="19"/>
                <w:szCs w:val="19"/>
              </w:rPr>
              <w:t>Outcome</w:t>
            </w:r>
          </w:p>
        </w:tc>
      </w:tr>
      <w:tr w:rsidR="0052537A" w14:paraId="7C03DD34" w14:textId="77777777">
        <w:tblPrEx>
          <w:tblCellMar>
            <w:top w:w="0" w:type="dxa"/>
            <w:bottom w:w="0" w:type="dxa"/>
          </w:tblCellMar>
        </w:tblPrEx>
        <w:tc>
          <w:tcPr>
            <w:tcW w:w="17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25128D00" w14:textId="77777777" w:rsidR="0052537A" w:rsidRDefault="00000000">
            <w:r>
              <w:rPr>
                <w:color w:val="000000"/>
                <w:sz w:val="19"/>
                <w:szCs w:val="19"/>
              </w:rPr>
              <w:t>Pre-launch (to 30 Jun)</w:t>
            </w:r>
          </w:p>
        </w:tc>
        <w:tc>
          <w:tcPr>
            <w:tcW w:w="473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3B80367" w14:textId="77777777" w:rsidR="0052537A" w:rsidRDefault="00000000">
            <w:pPr>
              <w:jc w:val="right"/>
            </w:pPr>
            <w:r>
              <w:rPr>
                <w:color w:val="000000"/>
                <w:sz w:val="19"/>
                <w:szCs w:val="19"/>
              </w:rPr>
              <w:t xml:space="preserve">Stand up </w:t>
            </w:r>
            <w:proofErr w:type="spellStart"/>
            <w:r>
              <w:rPr>
                <w:color w:val="000000"/>
                <w:sz w:val="19"/>
                <w:szCs w:val="19"/>
              </w:rPr>
              <w:t>SafeHR</w:t>
            </w:r>
            <w:proofErr w:type="spellEnd"/>
            <w:r>
              <w:rPr>
                <w:color w:val="000000"/>
                <w:sz w:val="19"/>
                <w:szCs w:val="19"/>
              </w:rPr>
              <w:t>; confirm Xero live and extend Procore to the entity; clone and rebrand Gemini's IMS; confirm insurance route with the Group broker (Gemini umbrella for Phase 1); execute inter-company recharge/secondment agreements for Steve Lee, Joe Isaac and Jill Wilson; finalise brand, logo and letterheads; submit NICEIC/Gas Safe and CHAS applications.</w:t>
            </w:r>
          </w:p>
        </w:tc>
        <w:tc>
          <w:tcPr>
            <w:tcW w:w="293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5676E6B" w14:textId="77777777" w:rsidR="0052537A" w:rsidRDefault="00000000">
            <w:pPr>
              <w:jc w:val="right"/>
            </w:pPr>
            <w:r>
              <w:rPr>
                <w:color w:val="000000"/>
                <w:sz w:val="19"/>
                <w:szCs w:val="19"/>
              </w:rPr>
              <w:t>Entity launch-ready for 1 July.</w:t>
            </w:r>
          </w:p>
        </w:tc>
      </w:tr>
      <w:tr w:rsidR="0052537A" w14:paraId="7B1BEF6C" w14:textId="77777777">
        <w:tblPrEx>
          <w:tblCellMar>
            <w:top w:w="0" w:type="dxa"/>
            <w:bottom w:w="0" w:type="dxa"/>
          </w:tblCellMar>
        </w:tblPrEx>
        <w:tc>
          <w:tcPr>
            <w:tcW w:w="17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3B4A0808" w14:textId="77777777" w:rsidR="0052537A" w:rsidRDefault="00000000">
            <w:r>
              <w:rPr>
                <w:color w:val="000000"/>
                <w:sz w:val="19"/>
                <w:szCs w:val="19"/>
              </w:rPr>
              <w:t>Month 1 (July)</w:t>
            </w:r>
          </w:p>
        </w:tc>
        <w:tc>
          <w:tcPr>
            <w:tcW w:w="473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2222E337" w14:textId="77777777" w:rsidR="0052537A" w:rsidRDefault="00000000">
            <w:pPr>
              <w:jc w:val="right"/>
            </w:pPr>
            <w:r>
              <w:rPr>
                <w:color w:val="000000"/>
                <w:sz w:val="19"/>
                <w:szCs w:val="19"/>
              </w:rPr>
              <w:t>Appoint to the first Gemini sub-contract package and invoice first Phase-1 revenue; qualify first electrical and mechanical sub-contractors; convert Dan's client conversations into the first direct enquiry.</w:t>
            </w:r>
          </w:p>
        </w:tc>
        <w:tc>
          <w:tcPr>
            <w:tcW w:w="293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2F737352" w14:textId="77777777" w:rsidR="0052537A" w:rsidRDefault="00000000">
            <w:pPr>
              <w:jc w:val="right"/>
            </w:pPr>
            <w:r>
              <w:rPr>
                <w:color w:val="000000"/>
                <w:sz w:val="19"/>
                <w:szCs w:val="19"/>
              </w:rPr>
              <w:t>Trading; first revenue invoiced.</w:t>
            </w:r>
          </w:p>
        </w:tc>
      </w:tr>
      <w:tr w:rsidR="0052537A" w14:paraId="425E5AA0" w14:textId="77777777">
        <w:tblPrEx>
          <w:tblCellMar>
            <w:top w:w="0" w:type="dxa"/>
            <w:bottom w:w="0" w:type="dxa"/>
          </w:tblCellMar>
        </w:tblPrEx>
        <w:tc>
          <w:tcPr>
            <w:tcW w:w="17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79BCEBE1" w14:textId="77777777" w:rsidR="0052537A" w:rsidRDefault="00000000">
            <w:r>
              <w:rPr>
                <w:color w:val="000000"/>
                <w:sz w:val="19"/>
                <w:szCs w:val="19"/>
              </w:rPr>
              <w:t>Months 2–3 (Aug–Sep)</w:t>
            </w:r>
          </w:p>
        </w:tc>
        <w:tc>
          <w:tcPr>
            <w:tcW w:w="473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FB21B49" w14:textId="77777777" w:rsidR="0052537A" w:rsidRDefault="00000000">
            <w:pPr>
              <w:jc w:val="right"/>
            </w:pPr>
            <w:r>
              <w:rPr>
                <w:color w:val="000000"/>
                <w:sz w:val="19"/>
                <w:szCs w:val="19"/>
              </w:rPr>
              <w:t>Place the entity's own EL/PL/PI cover; complete priority accreditations; secure first direct client instruction; embed monthly board reporting and job-level commercial control; review run-rate against the £4m trajectory.</w:t>
            </w:r>
          </w:p>
        </w:tc>
        <w:tc>
          <w:tcPr>
            <w:tcW w:w="293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4ECDA5CC" w14:textId="77777777" w:rsidR="0052537A" w:rsidRDefault="00000000">
            <w:pPr>
              <w:jc w:val="right"/>
            </w:pPr>
            <w:proofErr w:type="gramStart"/>
            <w:r>
              <w:rPr>
                <w:color w:val="000000"/>
                <w:sz w:val="19"/>
                <w:szCs w:val="19"/>
              </w:rPr>
              <w:t>Run-rate</w:t>
            </w:r>
            <w:proofErr w:type="gramEnd"/>
            <w:r>
              <w:rPr>
                <w:color w:val="000000"/>
                <w:sz w:val="19"/>
                <w:szCs w:val="19"/>
              </w:rPr>
              <w:t xml:space="preserve"> established; first direct instruction secured.</w:t>
            </w:r>
          </w:p>
        </w:tc>
      </w:tr>
    </w:tbl>
    <w:p w14:paraId="38C78BF6" w14:textId="77777777" w:rsidR="0052537A" w:rsidRDefault="00000000">
      <w:pPr>
        <w:pStyle w:val="Heading1"/>
      </w:pPr>
      <w:bookmarkStart w:id="11" w:name="_Toc231836825"/>
      <w:r>
        <w:t>11.  Principal Risks and Mitigants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52537A" w14:paraId="36C25BDF" w14:textId="77777777">
        <w:tblPrEx>
          <w:tblCellMar>
            <w:top w:w="0" w:type="dxa"/>
            <w:bottom w:w="0" w:type="dxa"/>
          </w:tblCellMar>
        </w:tblPrEx>
        <w:trPr>
          <w:tblHeader/>
        </w:trPr>
        <w:tc>
          <w:tcPr>
            <w:tcW w:w="300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5A511C0E" w14:textId="77777777" w:rsidR="0052537A" w:rsidRDefault="00000000">
            <w:r>
              <w:rPr>
                <w:b/>
                <w:bCs/>
                <w:color w:val="FFFFFF"/>
                <w:sz w:val="19"/>
                <w:szCs w:val="19"/>
              </w:rPr>
              <w:t>Risk</w:t>
            </w:r>
          </w:p>
        </w:tc>
        <w:tc>
          <w:tcPr>
            <w:tcW w:w="318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74AE2E0F" w14:textId="77777777" w:rsidR="0052537A" w:rsidRDefault="00000000">
            <w:r>
              <w:rPr>
                <w:b/>
                <w:bCs/>
                <w:color w:val="FFFFFF"/>
                <w:sz w:val="19"/>
                <w:szCs w:val="19"/>
              </w:rPr>
              <w:t>Impact</w:t>
            </w:r>
          </w:p>
        </w:tc>
        <w:tc>
          <w:tcPr>
            <w:tcW w:w="3180" w:type="dxa"/>
            <w:tcBorders>
              <w:top w:val="single" w:sz="1" w:space="0" w:color="C9D2DC"/>
              <w:left w:val="single" w:sz="1" w:space="0" w:color="C9D2DC"/>
              <w:bottom w:val="single" w:sz="1" w:space="0" w:color="C9D2DC"/>
              <w:right w:val="single" w:sz="1" w:space="0" w:color="C9D2DC"/>
            </w:tcBorders>
            <w:shd w:val="clear" w:color="auto" w:fill="1F3A5F"/>
            <w:tcMar>
              <w:top w:w="60" w:type="dxa"/>
              <w:left w:w="110" w:type="dxa"/>
              <w:bottom w:w="60" w:type="dxa"/>
              <w:right w:w="110" w:type="dxa"/>
            </w:tcMar>
            <w:vAlign w:val="center"/>
          </w:tcPr>
          <w:p w14:paraId="5929E1A5" w14:textId="77777777" w:rsidR="0052537A" w:rsidRDefault="00000000">
            <w:r>
              <w:rPr>
                <w:b/>
                <w:bCs/>
                <w:color w:val="FFFFFF"/>
                <w:sz w:val="19"/>
                <w:szCs w:val="19"/>
              </w:rPr>
              <w:t>Mitigant</w:t>
            </w:r>
          </w:p>
        </w:tc>
      </w:tr>
      <w:tr w:rsidR="0052537A" w14:paraId="15753C98" w14:textId="77777777">
        <w:tblPrEx>
          <w:tblCellMar>
            <w:top w:w="0" w:type="dxa"/>
            <w:bottom w:w="0" w:type="dxa"/>
          </w:tblCellMar>
        </w:tblPrEx>
        <w:tc>
          <w:tcPr>
            <w:tcW w:w="30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94B4730" w14:textId="77777777" w:rsidR="0052537A" w:rsidRDefault="00000000">
            <w:r>
              <w:rPr>
                <w:color w:val="000000"/>
                <w:sz w:val="19"/>
                <w:szCs w:val="19"/>
              </w:rPr>
              <w:t>Over-reliance on Gemini channel</w:t>
            </w:r>
          </w:p>
        </w:tc>
        <w:tc>
          <w:tcPr>
            <w:tcW w:w="318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37F6D9B9" w14:textId="77777777" w:rsidR="0052537A" w:rsidRDefault="00000000">
            <w:pPr>
              <w:jc w:val="right"/>
            </w:pPr>
            <w:r>
              <w:rPr>
                <w:color w:val="000000"/>
                <w:sz w:val="19"/>
                <w:szCs w:val="19"/>
              </w:rPr>
              <w:t>Revenue concentration; Phase 2 stalls.</w:t>
            </w:r>
          </w:p>
        </w:tc>
        <w:tc>
          <w:tcPr>
            <w:tcW w:w="318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140B6D85" w14:textId="77777777" w:rsidR="0052537A" w:rsidRDefault="00000000">
            <w:pPr>
              <w:jc w:val="right"/>
            </w:pPr>
            <w:r>
              <w:rPr>
                <w:color w:val="000000"/>
                <w:sz w:val="19"/>
                <w:szCs w:val="19"/>
              </w:rPr>
              <w:t>Hard 60-day target for first direct instruction; Phase 2 development resourced from day one.</w:t>
            </w:r>
          </w:p>
        </w:tc>
      </w:tr>
      <w:tr w:rsidR="0052537A" w14:paraId="35A52C49" w14:textId="77777777">
        <w:tblPrEx>
          <w:tblCellMar>
            <w:top w:w="0" w:type="dxa"/>
            <w:bottom w:w="0" w:type="dxa"/>
          </w:tblCellMar>
        </w:tblPrEx>
        <w:tc>
          <w:tcPr>
            <w:tcW w:w="3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4DA24C50" w14:textId="77777777" w:rsidR="0052537A" w:rsidRDefault="00000000">
            <w:r>
              <w:rPr>
                <w:color w:val="000000"/>
                <w:sz w:val="19"/>
                <w:szCs w:val="19"/>
              </w:rPr>
              <w:t>Margin erosion on contracts</w:t>
            </w:r>
          </w:p>
        </w:tc>
        <w:tc>
          <w:tcPr>
            <w:tcW w:w="318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665682A2" w14:textId="77777777" w:rsidR="0052537A" w:rsidRDefault="00000000">
            <w:pPr>
              <w:jc w:val="right"/>
            </w:pPr>
            <w:r>
              <w:rPr>
                <w:color w:val="000000"/>
                <w:sz w:val="19"/>
                <w:szCs w:val="19"/>
              </w:rPr>
              <w:t>Repeat of the loss-making pattern seen in Gemini's project divisions.</w:t>
            </w:r>
          </w:p>
        </w:tc>
        <w:tc>
          <w:tcPr>
            <w:tcW w:w="318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1FDE7E6F" w14:textId="77777777" w:rsidR="0052537A" w:rsidRDefault="00000000">
            <w:pPr>
              <w:jc w:val="right"/>
            </w:pPr>
            <w:r>
              <w:rPr>
                <w:color w:val="000000"/>
                <w:sz w:val="19"/>
                <w:szCs w:val="19"/>
              </w:rPr>
              <w:t>Job-level commercial control via QS from launch; disciplined tender review; conservative margin assumptions.</w:t>
            </w:r>
          </w:p>
        </w:tc>
      </w:tr>
      <w:tr w:rsidR="0052537A" w14:paraId="24A8913E" w14:textId="77777777">
        <w:tblPrEx>
          <w:tblCellMar>
            <w:top w:w="0" w:type="dxa"/>
            <w:bottom w:w="0" w:type="dxa"/>
          </w:tblCellMar>
        </w:tblPrEx>
        <w:tc>
          <w:tcPr>
            <w:tcW w:w="30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1CA0BCB2" w14:textId="77777777" w:rsidR="0052537A" w:rsidRDefault="00000000">
            <w:r>
              <w:rPr>
                <w:color w:val="000000"/>
                <w:sz w:val="19"/>
                <w:szCs w:val="19"/>
              </w:rPr>
              <w:t>Working-capital strain</w:t>
            </w:r>
          </w:p>
        </w:tc>
        <w:tc>
          <w:tcPr>
            <w:tcW w:w="318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D73B9C6" w14:textId="77777777" w:rsidR="0052537A" w:rsidRDefault="00000000">
            <w:pPr>
              <w:jc w:val="right"/>
            </w:pPr>
            <w:r>
              <w:rPr>
                <w:color w:val="000000"/>
                <w:sz w:val="19"/>
                <w:szCs w:val="19"/>
              </w:rPr>
              <w:t>Cash drag, including on Gemini.</w:t>
            </w:r>
          </w:p>
        </w:tc>
        <w:tc>
          <w:tcPr>
            <w:tcW w:w="318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3BAADB37" w14:textId="77777777" w:rsidR="0052537A" w:rsidRDefault="00000000">
            <w:pPr>
              <w:jc w:val="right"/>
            </w:pPr>
            <w:r>
              <w:rPr>
                <w:color w:val="000000"/>
                <w:sz w:val="19"/>
                <w:szCs w:val="19"/>
              </w:rPr>
              <w:t>Ring-fenced £200k facility, independent of Gemini; monthly cash-flow monitoring.</w:t>
            </w:r>
          </w:p>
        </w:tc>
      </w:tr>
      <w:tr w:rsidR="0052537A" w14:paraId="677393BE" w14:textId="77777777">
        <w:tblPrEx>
          <w:tblCellMar>
            <w:top w:w="0" w:type="dxa"/>
            <w:bottom w:w="0" w:type="dxa"/>
          </w:tblCellMar>
        </w:tblPrEx>
        <w:tc>
          <w:tcPr>
            <w:tcW w:w="3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71D8BD34" w14:textId="77777777" w:rsidR="0052537A" w:rsidRDefault="00000000">
            <w:r>
              <w:rPr>
                <w:color w:val="000000"/>
                <w:sz w:val="19"/>
                <w:szCs w:val="19"/>
              </w:rPr>
              <w:t>Accreditation delay</w:t>
            </w:r>
          </w:p>
        </w:tc>
        <w:tc>
          <w:tcPr>
            <w:tcW w:w="318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22DF713F" w14:textId="77777777" w:rsidR="0052537A" w:rsidRDefault="00000000">
            <w:pPr>
              <w:jc w:val="right"/>
            </w:pPr>
            <w:r>
              <w:rPr>
                <w:color w:val="000000"/>
                <w:sz w:val="19"/>
                <w:szCs w:val="19"/>
              </w:rPr>
              <w:t>Phase 2 direct trading blocked.</w:t>
            </w:r>
          </w:p>
        </w:tc>
        <w:tc>
          <w:tcPr>
            <w:tcW w:w="318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71085361" w14:textId="77777777" w:rsidR="0052537A" w:rsidRDefault="00000000">
            <w:pPr>
              <w:jc w:val="right"/>
            </w:pPr>
            <w:r>
              <w:rPr>
                <w:color w:val="000000"/>
                <w:sz w:val="19"/>
                <w:szCs w:val="19"/>
              </w:rPr>
              <w:t>Applications begin Month 1; Phase 1 proceeds under Gemini umbrella insurance in the interim.</w:t>
            </w:r>
          </w:p>
        </w:tc>
      </w:tr>
      <w:tr w:rsidR="0052537A" w14:paraId="15C29BA1" w14:textId="77777777">
        <w:tblPrEx>
          <w:tblCellMar>
            <w:top w:w="0" w:type="dxa"/>
            <w:bottom w:w="0" w:type="dxa"/>
          </w:tblCellMar>
        </w:tblPrEx>
        <w:tc>
          <w:tcPr>
            <w:tcW w:w="300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7F7C241" w14:textId="77777777" w:rsidR="0052537A" w:rsidRDefault="00000000">
            <w:r>
              <w:rPr>
                <w:color w:val="000000"/>
                <w:sz w:val="19"/>
                <w:szCs w:val="19"/>
              </w:rPr>
              <w:t>Key-person dependency</w:t>
            </w:r>
          </w:p>
        </w:tc>
        <w:tc>
          <w:tcPr>
            <w:tcW w:w="318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56E41679" w14:textId="77777777" w:rsidR="0052537A" w:rsidRDefault="00000000">
            <w:pPr>
              <w:jc w:val="right"/>
            </w:pPr>
            <w:r>
              <w:rPr>
                <w:color w:val="000000"/>
                <w:sz w:val="19"/>
                <w:szCs w:val="19"/>
              </w:rPr>
              <w:t>Delivery capacity tied to a small team.</w:t>
            </w:r>
          </w:p>
        </w:tc>
        <w:tc>
          <w:tcPr>
            <w:tcW w:w="3180" w:type="dxa"/>
            <w:tcBorders>
              <w:top w:val="single" w:sz="1" w:space="0" w:color="C9D2DC"/>
              <w:left w:val="single" w:sz="1" w:space="0" w:color="C9D2DC"/>
              <w:bottom w:val="single" w:sz="1" w:space="0" w:color="C9D2DC"/>
              <w:right w:val="single" w:sz="1" w:space="0" w:color="C9D2DC"/>
            </w:tcBorders>
            <w:shd w:val="clear" w:color="auto" w:fill="FFFFFF"/>
            <w:tcMar>
              <w:top w:w="60" w:type="dxa"/>
              <w:left w:w="110" w:type="dxa"/>
              <w:bottom w:w="60" w:type="dxa"/>
              <w:right w:w="110" w:type="dxa"/>
            </w:tcMar>
            <w:vAlign w:val="center"/>
          </w:tcPr>
          <w:p w14:paraId="073EF827" w14:textId="77777777" w:rsidR="0052537A" w:rsidRDefault="00000000">
            <w:pPr>
              <w:jc w:val="right"/>
            </w:pPr>
            <w:r>
              <w:rPr>
                <w:color w:val="000000"/>
                <w:sz w:val="19"/>
                <w:szCs w:val="19"/>
              </w:rPr>
              <w:t>Lean but multi-disciplinary first hires; Group back-office support; documented systems in Procore.</w:t>
            </w:r>
          </w:p>
        </w:tc>
      </w:tr>
      <w:tr w:rsidR="0052537A" w14:paraId="2DF946EC" w14:textId="77777777">
        <w:tblPrEx>
          <w:tblCellMar>
            <w:top w:w="0" w:type="dxa"/>
            <w:bottom w:w="0" w:type="dxa"/>
          </w:tblCellMar>
        </w:tblPrEx>
        <w:tc>
          <w:tcPr>
            <w:tcW w:w="300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65D93073" w14:textId="77777777" w:rsidR="0052537A" w:rsidRDefault="00000000">
            <w:r>
              <w:rPr>
                <w:color w:val="000000"/>
                <w:sz w:val="19"/>
                <w:szCs w:val="19"/>
              </w:rPr>
              <w:t>Supply-chain reliability</w:t>
            </w:r>
          </w:p>
        </w:tc>
        <w:tc>
          <w:tcPr>
            <w:tcW w:w="318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5824981F" w14:textId="77777777" w:rsidR="0052537A" w:rsidRDefault="00000000">
            <w:pPr>
              <w:jc w:val="right"/>
            </w:pPr>
            <w:r>
              <w:rPr>
                <w:color w:val="000000"/>
                <w:sz w:val="19"/>
                <w:szCs w:val="19"/>
              </w:rPr>
              <w:t>Delivery and quality risk.</w:t>
            </w:r>
          </w:p>
        </w:tc>
        <w:tc>
          <w:tcPr>
            <w:tcW w:w="3180" w:type="dxa"/>
            <w:tcBorders>
              <w:top w:val="single" w:sz="1" w:space="0" w:color="C9D2DC"/>
              <w:left w:val="single" w:sz="1" w:space="0" w:color="C9D2DC"/>
              <w:bottom w:val="single" w:sz="1" w:space="0" w:color="C9D2DC"/>
              <w:right w:val="single" w:sz="1" w:space="0" w:color="C9D2DC"/>
            </w:tcBorders>
            <w:shd w:val="clear" w:color="auto" w:fill="EDF1F6"/>
            <w:tcMar>
              <w:top w:w="60" w:type="dxa"/>
              <w:left w:w="110" w:type="dxa"/>
              <w:bottom w:w="60" w:type="dxa"/>
              <w:right w:w="110" w:type="dxa"/>
            </w:tcMar>
            <w:vAlign w:val="center"/>
          </w:tcPr>
          <w:p w14:paraId="0EECD021" w14:textId="77777777" w:rsidR="0052537A" w:rsidRDefault="00000000">
            <w:pPr>
              <w:jc w:val="right"/>
            </w:pPr>
            <w:r>
              <w:rPr>
                <w:color w:val="000000"/>
                <w:sz w:val="19"/>
                <w:szCs w:val="19"/>
              </w:rPr>
              <w:t>Standard Group qualification process; minimum two preferred suppliers per trade.</w:t>
            </w:r>
          </w:p>
        </w:tc>
      </w:tr>
    </w:tbl>
    <w:p w14:paraId="4F22A9C5" w14:textId="77777777" w:rsidR="0052537A" w:rsidRDefault="00000000">
      <w:pPr>
        <w:pStyle w:val="Heading1"/>
      </w:pPr>
      <w:bookmarkStart w:id="12" w:name="_Toc231836826"/>
      <w:r>
        <w:t>12.  Relationship to Gemini and the Group</w:t>
      </w:r>
      <w:bookmarkEnd w:id="12"/>
    </w:p>
    <w:p w14:paraId="7FD7C2D4" w14:textId="77777777" w:rsidR="0052537A" w:rsidRDefault="00000000">
      <w:pPr>
        <w:spacing w:after="140" w:line="276" w:lineRule="auto"/>
      </w:pPr>
      <w:r>
        <w:rPr>
          <w:b/>
          <w:bCs/>
        </w:rPr>
        <w:lastRenderedPageBreak/>
        <w:t xml:space="preserve">Honest starting position. </w:t>
      </w:r>
      <w:r>
        <w:t>Building-services activity has been running inside Gemini since January 2026 and has been loss-making from inception — a small revenue line at a heavily negative gross margin, flagged in the Q2 board pack as requiring a decision. This entity is that decision. It moves the scope out of Gemini and into a properly structured, separately managed and separately accredited business with its own P&amp;L, supply chain and commercial control — converting an uncontrolled cost line inside the flagship into a managed, margin-accountable subsidiary.</w:t>
      </w:r>
    </w:p>
    <w:p w14:paraId="135A3E2C" w14:textId="77777777" w:rsidR="0052537A" w:rsidRDefault="00000000">
      <w:pPr>
        <w:spacing w:after="140" w:line="276" w:lineRule="auto"/>
      </w:pPr>
      <w:r>
        <w:t xml:space="preserve">AMPM Building Services was referenced in the AMPM Group Business Plan (May 2026) as a Year-1 subsidiary. This paper provides the operational and financial detail behind that </w:t>
      </w:r>
      <w:proofErr w:type="gramStart"/>
      <w:r>
        <w:t>reference, and</w:t>
      </w:r>
      <w:proofErr w:type="gramEnd"/>
      <w:r>
        <w:t xml:space="preserve"> confirms the Year-1 revenue contribution of £4.0m to the Group's consolidated plan.</w:t>
      </w:r>
    </w:p>
    <w:p w14:paraId="080FDAE8" w14:textId="77777777" w:rsidR="0052537A" w:rsidRDefault="00000000">
      <w:pPr>
        <w:spacing w:after="140" w:line="276" w:lineRule="auto"/>
      </w:pPr>
      <w:r>
        <w:t>Within the Group architecture, Building Services absorbs the M&amp;E and building-services scope previously procured outside Gemini; Gemini provides the revenue base, accreditation credibility and client introductions; and the entity contributes a third independent revenue stream toward the Group's three-year ambition alongside acquisitions.</w:t>
      </w:r>
    </w:p>
    <w:p w14:paraId="634D9D3E" w14:textId="77777777" w:rsidR="0052537A" w:rsidRDefault="00000000">
      <w:pPr>
        <w:pStyle w:val="Heading1"/>
      </w:pPr>
      <w:bookmarkStart w:id="13" w:name="_Toc231836827"/>
      <w:r>
        <w:t>13.  Decision and Next Steps</w:t>
      </w:r>
      <w:bookmarkEnd w:id="13"/>
    </w:p>
    <w:p w14:paraId="33963EBF" w14:textId="77777777" w:rsidR="0052537A" w:rsidRDefault="00000000">
      <w:pPr>
        <w:spacing w:after="140" w:line="276" w:lineRule="auto"/>
      </w:pPr>
      <w:r>
        <w:t>Immediate actions on approval, in priority order:</w:t>
      </w:r>
    </w:p>
    <w:p w14:paraId="25F1FC75" w14:textId="77777777" w:rsidR="0052537A" w:rsidRDefault="00000000">
      <w:pPr>
        <w:pStyle w:val="ListParagraph"/>
        <w:numPr>
          <w:ilvl w:val="0"/>
          <w:numId w:val="2"/>
        </w:numPr>
        <w:spacing w:after="90" w:line="276" w:lineRule="auto"/>
      </w:pPr>
      <w:r>
        <w:t>Confirm the insurance route with the Group broker (umbrella cover for Phase 1; own cover before Phase 2).</w:t>
      </w:r>
    </w:p>
    <w:p w14:paraId="4F6ECA87" w14:textId="77777777" w:rsidR="0052537A" w:rsidRDefault="00000000">
      <w:pPr>
        <w:pStyle w:val="ListParagraph"/>
        <w:numPr>
          <w:ilvl w:val="0"/>
          <w:numId w:val="2"/>
        </w:numPr>
        <w:spacing w:after="90" w:line="276" w:lineRule="auto"/>
      </w:pPr>
      <w:r>
        <w:t>Set up Xero and extend Procore to the entity.</w:t>
      </w:r>
    </w:p>
    <w:p w14:paraId="685C7575" w14:textId="77777777" w:rsidR="0052537A" w:rsidRDefault="00000000">
      <w:pPr>
        <w:pStyle w:val="ListParagraph"/>
        <w:numPr>
          <w:ilvl w:val="0"/>
          <w:numId w:val="2"/>
        </w:numPr>
        <w:spacing w:after="90" w:line="276" w:lineRule="auto"/>
      </w:pPr>
      <w:r>
        <w:t>Appoint the BS Lead and first Contracts Manager; begin priority accreditation applications.</w:t>
      </w:r>
    </w:p>
    <w:p w14:paraId="3E12F03B" w14:textId="77777777" w:rsidR="0052537A" w:rsidRDefault="00000000">
      <w:pPr>
        <w:pStyle w:val="ListParagraph"/>
        <w:numPr>
          <w:ilvl w:val="0"/>
          <w:numId w:val="2"/>
        </w:numPr>
        <w:spacing w:after="90" w:line="276" w:lineRule="auto"/>
      </w:pPr>
      <w:r>
        <w:t>Confirm the ring-fenced £200k working-capital facility.</w:t>
      </w:r>
    </w:p>
    <w:p w14:paraId="7796E265" w14:textId="77777777" w:rsidR="0052537A" w:rsidRDefault="00000000">
      <w:pPr>
        <w:pStyle w:val="ListParagraph"/>
        <w:numPr>
          <w:ilvl w:val="0"/>
          <w:numId w:val="2"/>
        </w:numPr>
        <w:spacing w:after="90" w:line="276" w:lineRule="auto"/>
      </w:pPr>
      <w:r>
        <w:t>Appoint to the first Gemini sub-contract package and invoice first Phase-1 revenue.</w:t>
      </w:r>
    </w:p>
    <w:p w14:paraId="72782A29" w14:textId="77777777" w:rsidR="0052537A" w:rsidRDefault="00000000">
      <w:pPr>
        <w:pStyle w:val="ListParagraph"/>
        <w:numPr>
          <w:ilvl w:val="0"/>
          <w:numId w:val="2"/>
        </w:numPr>
        <w:spacing w:after="90" w:line="276" w:lineRule="auto"/>
      </w:pPr>
      <w:r>
        <w:t>Open Phase-2 conversations with named direct clients, targeting first instruction within 60 days.</w:t>
      </w:r>
    </w:p>
    <w:p w14:paraId="06F64F46" w14:textId="77777777" w:rsidR="0052537A" w:rsidRDefault="0052537A">
      <w:pPr>
        <w:spacing w:after="120"/>
      </w:pPr>
    </w:p>
    <w:p w14:paraId="324BE4F5" w14:textId="77777777" w:rsidR="0052537A" w:rsidRDefault="00000000">
      <w:pPr>
        <w:spacing w:after="140" w:line="276" w:lineRule="auto"/>
      </w:pPr>
      <w:r>
        <w:rPr>
          <w:b/>
          <w:bCs/>
        </w:rPr>
        <w:t xml:space="preserve">Recommendation. </w:t>
      </w:r>
      <w:r>
        <w:t>That the board approve the launch of AMPM Building Services Limited and the six decisions set out in Section 2.</w:t>
      </w:r>
    </w:p>
    <w:p w14:paraId="249B4B25" w14:textId="77777777" w:rsidR="0052537A" w:rsidRDefault="0052537A">
      <w:pPr>
        <w:spacing w:after="200"/>
      </w:pPr>
    </w:p>
    <w:p w14:paraId="749E907F" w14:textId="77777777" w:rsidR="0052537A" w:rsidRDefault="00000000">
      <w:pPr>
        <w:pBdr>
          <w:top w:val="single" w:sz="8" w:space="6" w:color="C8A24B"/>
        </w:pBdr>
        <w:spacing w:before="200"/>
        <w:jc w:val="center"/>
      </w:pPr>
      <w:r>
        <w:rPr>
          <w:color w:val="555555"/>
          <w:sz w:val="16"/>
          <w:szCs w:val="16"/>
        </w:rPr>
        <w:t xml:space="preserve">AMPM Building Services </w:t>
      </w:r>
      <w:proofErr w:type="gramStart"/>
      <w:r>
        <w:rPr>
          <w:color w:val="555555"/>
          <w:sz w:val="16"/>
          <w:szCs w:val="16"/>
        </w:rPr>
        <w:t>Limited  ·</w:t>
      </w:r>
      <w:proofErr w:type="gramEnd"/>
      <w:r>
        <w:rPr>
          <w:color w:val="555555"/>
          <w:sz w:val="16"/>
          <w:szCs w:val="16"/>
        </w:rPr>
        <w:t xml:space="preserve">  Launch Business </w:t>
      </w:r>
      <w:proofErr w:type="gramStart"/>
      <w:r>
        <w:rPr>
          <w:color w:val="555555"/>
          <w:sz w:val="16"/>
          <w:szCs w:val="16"/>
        </w:rPr>
        <w:t>Plan  ·</w:t>
      </w:r>
      <w:proofErr w:type="gramEnd"/>
      <w:r>
        <w:rPr>
          <w:color w:val="555555"/>
          <w:sz w:val="16"/>
          <w:szCs w:val="16"/>
        </w:rPr>
        <w:t xml:space="preserve">  v2.0 June </w:t>
      </w:r>
      <w:proofErr w:type="gramStart"/>
      <w:r>
        <w:rPr>
          <w:color w:val="555555"/>
          <w:sz w:val="16"/>
          <w:szCs w:val="16"/>
        </w:rPr>
        <w:t>2026  ·</w:t>
      </w:r>
      <w:proofErr w:type="gramEnd"/>
      <w:r>
        <w:rPr>
          <w:color w:val="555555"/>
          <w:sz w:val="16"/>
          <w:szCs w:val="16"/>
        </w:rPr>
        <w:t xml:space="preserve">  Strictly Confidential</w:t>
      </w:r>
    </w:p>
    <w:sectPr w:rsidR="0052537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74533" w14:textId="77777777" w:rsidR="00086AD4" w:rsidRDefault="00086AD4">
      <w:r>
        <w:separator/>
      </w:r>
    </w:p>
  </w:endnote>
  <w:endnote w:type="continuationSeparator" w:id="0">
    <w:p w14:paraId="35E72FF1" w14:textId="77777777" w:rsidR="00086AD4" w:rsidRDefault="00086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A140E" w14:textId="77777777" w:rsidR="0052537A" w:rsidRDefault="00000000">
    <w:pPr>
      <w:jc w:val="center"/>
    </w:pPr>
    <w:r>
      <w:rPr>
        <w:color w:val="888888"/>
        <w:sz w:val="16"/>
        <w:szCs w:val="16"/>
      </w:rPr>
      <w:t xml:space="preserve">AMPM Building Services </w:t>
    </w:r>
    <w:proofErr w:type="gramStart"/>
    <w:r>
      <w:rPr>
        <w:color w:val="888888"/>
        <w:sz w:val="16"/>
        <w:szCs w:val="16"/>
      </w:rPr>
      <w:t>Limited  ·</w:t>
    </w:r>
    <w:proofErr w:type="gramEnd"/>
    <w:r>
      <w:rPr>
        <w:color w:val="888888"/>
        <w:sz w:val="16"/>
        <w:szCs w:val="16"/>
      </w:rPr>
      <w:t xml:space="preserve">  Strictly Confidential        Page </w:t>
    </w:r>
    <w:r>
      <w:rPr>
        <w:color w:val="888888"/>
        <w:sz w:val="16"/>
        <w:szCs w:val="16"/>
      </w:rPr>
      <w:fldChar w:fldCharType="begin"/>
    </w:r>
    <w:r>
      <w:rPr>
        <w:color w:val="888888"/>
        <w:sz w:val="16"/>
        <w:szCs w:val="16"/>
      </w:rPr>
      <w:instrText>PAGE</w:instrText>
    </w:r>
    <w:r>
      <w:rPr>
        <w:color w:val="888888"/>
        <w:sz w:val="16"/>
        <w:szCs w:val="16"/>
      </w:rPr>
      <w:fldChar w:fldCharType="separate"/>
    </w:r>
    <w:r w:rsidR="00FE386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13226" w14:textId="77777777" w:rsidR="00086AD4" w:rsidRDefault="00086AD4">
      <w:r>
        <w:separator/>
      </w:r>
    </w:p>
  </w:footnote>
  <w:footnote w:type="continuationSeparator" w:id="0">
    <w:p w14:paraId="5FF74DA5" w14:textId="77777777" w:rsidR="00086AD4" w:rsidRDefault="00086A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12238"/>
    <w:multiLevelType w:val="hybridMultilevel"/>
    <w:tmpl w:val="106425DC"/>
    <w:lvl w:ilvl="0" w:tplc="D21AE7F4">
      <w:start w:val="1"/>
      <w:numFmt w:val="decimal"/>
      <w:lvlText w:val="%1."/>
      <w:lvlJc w:val="left"/>
      <w:pPr>
        <w:ind w:left="540" w:hanging="300"/>
      </w:pPr>
    </w:lvl>
    <w:lvl w:ilvl="1" w:tplc="4158251A">
      <w:numFmt w:val="decimal"/>
      <w:lvlText w:val=""/>
      <w:lvlJc w:val="left"/>
    </w:lvl>
    <w:lvl w:ilvl="2" w:tplc="CC080B30">
      <w:numFmt w:val="decimal"/>
      <w:lvlText w:val=""/>
      <w:lvlJc w:val="left"/>
    </w:lvl>
    <w:lvl w:ilvl="3" w:tplc="A27CF54A">
      <w:numFmt w:val="decimal"/>
      <w:lvlText w:val=""/>
      <w:lvlJc w:val="left"/>
    </w:lvl>
    <w:lvl w:ilvl="4" w:tplc="CA7C7DDC">
      <w:numFmt w:val="decimal"/>
      <w:lvlText w:val=""/>
      <w:lvlJc w:val="left"/>
    </w:lvl>
    <w:lvl w:ilvl="5" w:tplc="07186046">
      <w:numFmt w:val="decimal"/>
      <w:lvlText w:val=""/>
      <w:lvlJc w:val="left"/>
    </w:lvl>
    <w:lvl w:ilvl="6" w:tplc="DBA02468">
      <w:numFmt w:val="decimal"/>
      <w:lvlText w:val=""/>
      <w:lvlJc w:val="left"/>
    </w:lvl>
    <w:lvl w:ilvl="7" w:tplc="047AFFD0">
      <w:numFmt w:val="decimal"/>
      <w:lvlText w:val=""/>
      <w:lvlJc w:val="left"/>
    </w:lvl>
    <w:lvl w:ilvl="8" w:tplc="5158F248">
      <w:numFmt w:val="decimal"/>
      <w:lvlText w:val=""/>
      <w:lvlJc w:val="left"/>
    </w:lvl>
  </w:abstractNum>
  <w:abstractNum w:abstractNumId="1" w15:restartNumberingAfterBreak="0">
    <w:nsid w:val="5DBB207A"/>
    <w:multiLevelType w:val="hybridMultilevel"/>
    <w:tmpl w:val="659CA54A"/>
    <w:lvl w:ilvl="0" w:tplc="9DB83EE6">
      <w:start w:val="1"/>
      <w:numFmt w:val="bullet"/>
      <w:lvlText w:val="●"/>
      <w:lvlJc w:val="left"/>
      <w:pPr>
        <w:ind w:left="720" w:hanging="360"/>
      </w:pPr>
    </w:lvl>
    <w:lvl w:ilvl="1" w:tplc="85603076">
      <w:start w:val="1"/>
      <w:numFmt w:val="bullet"/>
      <w:lvlText w:val="○"/>
      <w:lvlJc w:val="left"/>
      <w:pPr>
        <w:ind w:left="1440" w:hanging="360"/>
      </w:pPr>
    </w:lvl>
    <w:lvl w:ilvl="2" w:tplc="AA982954">
      <w:start w:val="1"/>
      <w:numFmt w:val="bullet"/>
      <w:lvlText w:val="■"/>
      <w:lvlJc w:val="left"/>
      <w:pPr>
        <w:ind w:left="2160" w:hanging="360"/>
      </w:pPr>
    </w:lvl>
    <w:lvl w:ilvl="3" w:tplc="03AACF6C">
      <w:start w:val="1"/>
      <w:numFmt w:val="bullet"/>
      <w:lvlText w:val="●"/>
      <w:lvlJc w:val="left"/>
      <w:pPr>
        <w:ind w:left="2880" w:hanging="360"/>
      </w:pPr>
    </w:lvl>
    <w:lvl w:ilvl="4" w:tplc="0CBE2BFC">
      <w:start w:val="1"/>
      <w:numFmt w:val="bullet"/>
      <w:lvlText w:val="○"/>
      <w:lvlJc w:val="left"/>
      <w:pPr>
        <w:ind w:left="3600" w:hanging="360"/>
      </w:pPr>
    </w:lvl>
    <w:lvl w:ilvl="5" w:tplc="DC68089C">
      <w:start w:val="1"/>
      <w:numFmt w:val="bullet"/>
      <w:lvlText w:val="■"/>
      <w:lvlJc w:val="left"/>
      <w:pPr>
        <w:ind w:left="4320" w:hanging="360"/>
      </w:pPr>
    </w:lvl>
    <w:lvl w:ilvl="6" w:tplc="9ABA7CA2">
      <w:start w:val="1"/>
      <w:numFmt w:val="bullet"/>
      <w:lvlText w:val="●"/>
      <w:lvlJc w:val="left"/>
      <w:pPr>
        <w:ind w:left="5040" w:hanging="360"/>
      </w:pPr>
    </w:lvl>
    <w:lvl w:ilvl="7" w:tplc="DEE8FAC6">
      <w:start w:val="1"/>
      <w:numFmt w:val="bullet"/>
      <w:lvlText w:val="●"/>
      <w:lvlJc w:val="left"/>
      <w:pPr>
        <w:ind w:left="5760" w:hanging="360"/>
      </w:pPr>
    </w:lvl>
    <w:lvl w:ilvl="8" w:tplc="34D43190">
      <w:start w:val="1"/>
      <w:numFmt w:val="bullet"/>
      <w:lvlText w:val="●"/>
      <w:lvlJc w:val="left"/>
      <w:pPr>
        <w:ind w:left="6480" w:hanging="360"/>
      </w:pPr>
    </w:lvl>
  </w:abstractNum>
  <w:abstractNum w:abstractNumId="2" w15:restartNumberingAfterBreak="0">
    <w:nsid w:val="74F77E6D"/>
    <w:multiLevelType w:val="hybridMultilevel"/>
    <w:tmpl w:val="CC5EDB78"/>
    <w:lvl w:ilvl="0" w:tplc="17B4D192">
      <w:start w:val="1"/>
      <w:numFmt w:val="bullet"/>
      <w:lvlText w:val="•"/>
      <w:lvlJc w:val="left"/>
      <w:pPr>
        <w:ind w:left="540" w:hanging="260"/>
      </w:pPr>
    </w:lvl>
    <w:lvl w:ilvl="1" w:tplc="759A1450">
      <w:numFmt w:val="decimal"/>
      <w:lvlText w:val=""/>
      <w:lvlJc w:val="left"/>
    </w:lvl>
    <w:lvl w:ilvl="2" w:tplc="C0C8543A">
      <w:numFmt w:val="decimal"/>
      <w:lvlText w:val=""/>
      <w:lvlJc w:val="left"/>
    </w:lvl>
    <w:lvl w:ilvl="3" w:tplc="9D24DE9A">
      <w:numFmt w:val="decimal"/>
      <w:lvlText w:val=""/>
      <w:lvlJc w:val="left"/>
    </w:lvl>
    <w:lvl w:ilvl="4" w:tplc="39807700">
      <w:numFmt w:val="decimal"/>
      <w:lvlText w:val=""/>
      <w:lvlJc w:val="left"/>
    </w:lvl>
    <w:lvl w:ilvl="5" w:tplc="9D80D466">
      <w:numFmt w:val="decimal"/>
      <w:lvlText w:val=""/>
      <w:lvlJc w:val="left"/>
    </w:lvl>
    <w:lvl w:ilvl="6" w:tplc="D7128FEE">
      <w:numFmt w:val="decimal"/>
      <w:lvlText w:val=""/>
      <w:lvlJc w:val="left"/>
    </w:lvl>
    <w:lvl w:ilvl="7" w:tplc="19DA3648">
      <w:numFmt w:val="decimal"/>
      <w:lvlText w:val=""/>
      <w:lvlJc w:val="left"/>
    </w:lvl>
    <w:lvl w:ilvl="8" w:tplc="BC7216A4">
      <w:numFmt w:val="decimal"/>
      <w:lvlText w:val=""/>
      <w:lvlJc w:val="left"/>
    </w:lvl>
  </w:abstractNum>
  <w:num w:numId="1" w16cid:durableId="351304210">
    <w:abstractNumId w:val="1"/>
    <w:lvlOverride w:ilvl="0">
      <w:startOverride w:val="1"/>
    </w:lvlOverride>
  </w:num>
  <w:num w:numId="2" w16cid:durableId="1084498033">
    <w:abstractNumId w:val="0"/>
    <w:lvlOverride w:ilvl="0">
      <w:startOverride w:val="1"/>
    </w:lvlOverride>
  </w:num>
  <w:num w:numId="3" w16cid:durableId="379025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37A"/>
    <w:rsid w:val="00086AD4"/>
    <w:rsid w:val="0052537A"/>
    <w:rsid w:val="006A723C"/>
    <w:rsid w:val="00A00969"/>
    <w:rsid w:val="00FE38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A42A87A"/>
  <w15:docId w15:val="{8C0227B1-848C-4149-B3C0-9CB770A4D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C8A24B"/>
      </w:pBdr>
      <w:spacing w:before="320" w:after="160"/>
      <w:outlineLvl w:val="0"/>
    </w:pPr>
    <w:rPr>
      <w:b/>
      <w:bCs/>
      <w:color w:val="1F3A5F"/>
      <w:sz w:val="30"/>
      <w:szCs w:val="30"/>
    </w:rPr>
  </w:style>
  <w:style w:type="paragraph" w:styleId="Heading2">
    <w:name w:val="heading 2"/>
    <w:uiPriority w:val="9"/>
    <w:unhideWhenUsed/>
    <w:qFormat/>
    <w:pPr>
      <w:spacing w:before="200" w:after="100"/>
      <w:outlineLvl w:val="1"/>
    </w:pPr>
    <w:rPr>
      <w:b/>
      <w:bCs/>
      <w:color w:val="2C4A6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E386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3049</Words>
  <Characters>18334</Characters>
  <Application>Microsoft Office Word</Application>
  <DocSecurity>0</DocSecurity>
  <Lines>507</Lines>
  <Paragraphs>330</Paragraphs>
  <ScaleCrop>false</ScaleCrop>
  <Company/>
  <LinksUpToDate>false</LinksUpToDate>
  <CharactersWithSpaces>21187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AMPM Building Services — Launch Business Plan</dc:title>
  <dc:creator>AMPM Group</dc:creator>
  <cp:lastModifiedBy>Jamie Dawson | Gemini AMPM</cp:lastModifiedBy>
  <cp:revision>2</cp:revision>
  <dcterms:created xsi:type="dcterms:W3CDTF">2026-06-08T17:35:00Z</dcterms:created>
  <dcterms:modified xsi:type="dcterms:W3CDTF">2026-06-08T18:01:00Z</dcterms:modified>
</cp:coreProperties>
</file>