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3A5F"/>
          <w:sz w:val="44"/>
          <w:szCs w:val="44"/>
        </w:rPr>
        <w:t xml:space="preserve">AMPM BUILDING SERVICES LIMITED</w:t>
      </w:r>
    </w:p>
    <w:p>
      <w:pPr>
        <w:pBdr>
          <w:bottom w:val="single" w:color="C8A24B" w:sz="12" w:space="8"/>
        </w:pBdr>
        <w:spacing w:after="0" w:before="120"/>
        <w:jc w:val="center"/>
      </w:pPr>
      <w:r>
        <w:rPr>
          <w:b/>
          <w:bCs/>
          <w:color w:val="C8A24B"/>
          <w:sz w:val="30"/>
          <w:szCs w:val="30"/>
        </w:rPr>
        <w:t xml:space="preserve">Launch Readiness Plan</w:t>
      </w:r>
    </w:p>
    <w:p>
      <w:pPr>
        <w:spacing w:after="0" w:before="280"/>
        <w:jc w:val="center"/>
      </w:pPr>
      <w:r>
        <w:rPr>
          <w:i/>
          <w:iCs/>
          <w:color w:val="555555"/>
          <w:sz w:val="24"/>
          <w:szCs w:val="24"/>
        </w:rPr>
        <w:t xml:space="preserve">Mobilisation to go-live</w:t>
      </w:r>
    </w:p>
    <w:p>
      <w:pPr>
        <w:spacing w:after="0" w:before="620"/>
        <w:jc w:val="center"/>
      </w:pPr>
      <w:r>
        <w:rPr>
          <w:b/>
          <w:bCs/>
          <w:color w:val="1F3A5F"/>
          <w:sz w:val="26"/>
          <w:szCs w:val="26"/>
        </w:rPr>
        <w:t xml:space="preserve">Go-live: 1 July 2026</w:t>
      </w:r>
    </w:p>
    <w:p>
      <w:pPr>
        <w:spacing w:after="0" w:before="60"/>
        <w:jc w:val="center"/>
      </w:pPr>
      <w:r>
        <w:rPr>
          <w:color w:val="303030"/>
          <w:sz w:val="22"/>
          <w:szCs w:val="22"/>
        </w:rPr>
        <w:t xml:space="preserve">A trading subsidiary of AMPM Group Limited</w:t>
      </w:r>
    </w:p>
    <w:p>
      <w:pPr>
        <w:spacing w:after="0" w:before="900"/>
        <w:jc w:val="center"/>
      </w:pPr>
      <w:r>
        <w:rPr>
          <w:color w:val="555555"/>
          <w:sz w:val="20"/>
          <w:szCs w:val="20"/>
        </w:rPr>
        <w:t xml:space="preserve">Version 1.0   |   June 2026   |   Strictly Confidential</w:t>
      </w:r>
    </w:p>
    <w:p>
      <w:r>
        <w:br w:type="page"/>
      </w:r>
    </w:p>
    <w:p>
      <w:pPr>
        <w:pStyle w:val="Heading1"/>
      </w:pPr>
      <w:r>
        <w:t xml:space="preserve">1.  Purpose and Critical Path</w:t>
      </w:r>
    </w:p>
    <w:p>
      <w:pPr>
        <w:spacing w:after="140" w:line="276"/>
      </w:pPr>
      <w:r>
        <w:t xml:space="preserve">This plan tracks everything required to launch AMPM Building Services Limited cleanly on 1 July 2026. It complements the Launch Business Plan (the why and the financials) with the operational how — workstreams, owners, statuses and the decisions outstanding.</w:t>
      </w:r>
    </w:p>
    <w:p>
      <w:pPr>
        <w:spacing w:after="140" w:line="276"/>
      </w:pPr>
      <w:r>
        <w:rPr>
          <w:b/>
          <w:bCs/>
        </w:rPr>
        <w:t xml:space="preserve">Headline. </w:t>
      </w:r>
      <w:r>
        <w:t xml:space="preserve">Corporate set-up, bank account and Xero are done. Commercial momentum is real — Dan has clients willing to trade. The critical path now runs through HR (SafeHR), the Integrated Management System, insurance, the inter-company people agreements and brand, all of which must land before 1 July.</w:t>
      </w:r>
    </w:p>
    <w:p>
      <w:pPr>
        <w:spacing w:after="140" w:line="276"/>
      </w:pPr>
      <w:r>
        <w:t xml:space="preserve">Three things gate a clean launch and need a decision this week: the HR system go-live, the inter-company arrangements for seconded staff, and the insurance route. These are covered in Section 3.</w:t>
      </w:r>
    </w:p>
    <w:p>
      <w:pPr>
        <w:pStyle w:val="Heading1"/>
      </w:pPr>
      <w:r>
        <w:t xml:space="preserve">2.  Mobilisation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0"/>
        <w:gridCol w:w="1300"/>
        <w:gridCol w:w="1160"/>
        <w:gridCol w:w="1950"/>
      </w:tblGrid>
      <w:tr>
        <w:trPr>
          <w:tblHeader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open question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Corporate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incorporated; wholly owned by AMPM Group; structure set.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Banking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 bank account opened.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 — Xero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Xero entity set up on the Group account.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 — SafeHR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 up Building Services on SafeHR (contracts, holiday, H&amp;S) before any staff move across.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TBC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D2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 do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23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systems — Procore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Decide and confirm: extend Group Procore to BS; seat/licensing basis.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 / Becca Lee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Decision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20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systems — Uptick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 company in existing instance vs separate subscription. Recommendation: defer until PM contracts land.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Becca Lee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Decision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IMS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Clone Gemini's Integrated Management System and rebrand for BS; common standards across the Group.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Becca Lee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27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route with broker: Gemini umbrella for Phase 1; own EL/PL/PI before Phase 2.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Luke / broker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Umbrella by 30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People — secondments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Inter-company recharge/secondment agreements: Steve Lee (projects), Joe Isaac, Jill Wilson (1 day/wk).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 / Luke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D2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 do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30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NICEIC/Gas Safe and CHAS applications; Constructionline to follow.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Becca Lee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by 20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/ stationery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Logos, letterheads, email signatures, stationery; consistent Group identity.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27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/ web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ampmbuilding.services — resolve SSL/privacy error; site live for launch.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30 Jun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Dan's client conversations to first enquiry; identify first Gemini sub-contract package.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</w:t>
            </w:r>
          </w:p>
        </w:tc>
        <w:tc>
          <w:tcPr>
            <w:tcW w:type="dxa" w:w="1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From 1 Jul</w:t>
            </w:r>
          </w:p>
        </w:tc>
      </w:tr>
    </w:tbl>
    <w:p>
      <w:pPr>
        <w:pStyle w:val="Heading1"/>
      </w:pPr>
      <w:r>
        <w:t xml:space="preserve">3.  Decisions Needed Now</w:t>
      </w:r>
    </w:p>
    <w:p>
      <w:pPr>
        <w:pStyle w:val="Heading2"/>
      </w:pPr>
      <w:r>
        <w:t xml:space="preserve">3.1  HR system — SafeHR go-live</w:t>
      </w:r>
    </w:p>
    <w:p>
      <w:pPr>
        <w:spacing w:after="140" w:line="276"/>
      </w:pPr>
      <w:r>
        <w:rPr>
          <w:b/>
          <w:bCs/>
        </w:rPr>
        <w:t xml:space="preserve">Decision: </w:t>
      </w:r>
      <w:r>
        <w:t xml:space="preserve">confirm SafeHR is configured for Building Services before anyone transfers in. </w:t>
      </w:r>
      <w:r>
        <w:rPr>
          <w:b/>
          <w:bCs/>
        </w:rPr>
        <w:t xml:space="preserve">Recommendation: </w:t>
      </w:r>
      <w:r>
        <w:t xml:space="preserve">treat as the top pre-launch priority. No one — Steve Lee included — should move across without contracts, holiday and H&amp;S records in place. Owner and date to be assigned this week.</w:t>
      </w:r>
    </w:p>
    <w:p>
      <w:pPr>
        <w:pStyle w:val="Heading2"/>
      </w:pPr>
      <w:r>
        <w:t xml:space="preserve">3.2  Inter-company people arrangements</w:t>
      </w:r>
    </w:p>
    <w:p>
      <w:pPr>
        <w:spacing w:after="140" w:line="276"/>
      </w:pPr>
      <w:r>
        <w:rPr>
          <w:b/>
          <w:bCs/>
        </w:rPr>
        <w:t xml:space="preserve">Decision: </w:t>
      </w:r>
      <w:r>
        <w:t xml:space="preserve">how Steve Lee, Joe Isaac and Jill Wilson are engaged. </w:t>
      </w:r>
      <w:r>
        <w:rPr>
          <w:b/>
          <w:bCs/>
        </w:rPr>
        <w:t xml:space="preserve">Recommendation: </w:t>
      </w:r>
      <w:r>
        <w:t xml:space="preserve">a short secondment/recharge agreement for each — Gemini invoices Building Services for their time at cost-plus. Steve Lee's move is a contractual variation or internal transfer by agreement (an intra-group move; full TUPE machinery is unlikely to be needed, but document it). This keeps Building Services carrying its own cost and stops Gemini quietly subsidising the launch — the core de-risking principle.</w:t>
      </w:r>
    </w:p>
    <w:p>
      <w:pPr>
        <w:pStyle w:val="Heading2"/>
      </w:pPr>
      <w:r>
        <w:t xml:space="preserve">3.3  Insurance route</w:t>
      </w:r>
    </w:p>
    <w:p>
      <w:pPr>
        <w:spacing w:after="140" w:line="276"/>
      </w:pPr>
      <w:r>
        <w:rPr>
          <w:b/>
          <w:bCs/>
        </w:rPr>
        <w:t xml:space="preserve">Decision: </w:t>
      </w:r>
      <w:r>
        <w:t xml:space="preserve">confirm with the Group broker that Phase 1 (sub-contracting into Gemini) can run under Gemini's umbrella while the entity's own EL/PL/PI is placed, and the date the standalone cover binds. </w:t>
      </w:r>
      <w:r>
        <w:rPr>
          <w:b/>
          <w:bCs/>
        </w:rPr>
        <w:t xml:space="preserve">Recommendation: </w:t>
      </w:r>
      <w:r>
        <w:t xml:space="preserve">umbrella confirmed before 1 July; own cover bound before the first Phase-2 direct instruction.</w:t>
      </w:r>
    </w:p>
    <w:p>
      <w:pPr>
        <w:pStyle w:val="Heading2"/>
      </w:pPr>
      <w:r>
        <w:t xml:space="preserve">3.4  Systems — Procore and Uptick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Procore — extend group-wide. </w:t>
      </w:r>
      <w:r>
        <w:t xml:space="preserve">Consistency and golden-thread documentation favour one delivery platform. Confirm whether BS is a new company in the existing account or needs added seats (cost check).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Uptick — defer. </w:t>
      </w:r>
      <w:r>
        <w:t xml:space="preserve">Planned-maintenance is not a Day-1 need. Do not buy a second subscription or complicate the instance until PM contracts land.</w:t>
      </w:r>
    </w:p>
    <w:p>
      <w:pPr>
        <w:pStyle w:val="Heading1"/>
      </w:pPr>
      <w:r>
        <w:t xml:space="preserve">4.  People and Inter-Company Arrangements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in Building Services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 / 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Jamie Dawson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Chair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role retained in NewCo.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 Small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role retained; leading client development.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Luke Finney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Commercial Director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role retained; owns insurance and commercial set-up.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Steve Lee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 of Projects (project delivery)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Move across from Gemini — document as transfer/variation; SafeHR record before start.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Joe Isaac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Commercial / delivery support (1 day/week)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Secondment + inter-company recharge from Gemini.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Jill Wilson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Commercial / delivery support (1 day/week)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Secondment + inter-company recharge from Gemini.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Becca Lee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Compliance &amp; systems (Gemini)</w:t>
            </w:r>
          </w:p>
        </w:tc>
        <w:tc>
          <w:tcPr>
            <w:tcW w:type="dxa" w:w="4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Supporting Uptick/IMS/accreditation set-up; recharge for time spent.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Why this matters. </w:t>
      </w:r>
      <w:r>
        <w:t xml:space="preserve">Every pound of Gemini time spent on Building Services must be recharged. Without it, Building Services looks artificially profitable and Gemini absorbs a hidden cost — the opposite of what this structure is for.</w:t>
      </w:r>
    </w:p>
    <w:p>
      <w:pPr>
        <w:pStyle w:val="Heading1"/>
      </w:pPr>
      <w:r>
        <w:t xml:space="preserve">5.  Systems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560"/>
      </w:tblGrid>
      <w:tr>
        <w:trPr>
          <w:tblHeader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Xero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entity live on the Group account ahead of first invoice.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SafeHR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D2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 do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BS instance: employment contracts, holiday, absence, H&amp;S records. Live before staff transfer.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Procore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Extend Group platform to BS; confirm seat/licensing basis; set up first project.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IMS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Clone Gemini IMS; rebrand for BS; issue controlled documents; align to ISO 9001/14001/45001 for future certification.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Uptick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Defer. Revisit when planned-maintenance contracts are secured.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AMPM Live</w:t>
            </w:r>
          </w:p>
        </w:tc>
        <w:tc>
          <w:tcPr>
            <w:tcW w:type="dxa" w:w="1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BE6C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 BS clients to the Group portal at launch.</w:t>
            </w:r>
          </w:p>
        </w:tc>
      </w:tr>
    </w:tbl>
    <w:p>
      <w:pPr>
        <w:pStyle w:val="Heading1"/>
      </w:pPr>
      <w:r>
        <w:t xml:space="preserve">6.  Insurance and Compliance Checklist</w:t>
      </w:r>
    </w:p>
    <w:p>
      <w:pPr>
        <w:pStyle w:val="Heading2"/>
      </w:pPr>
      <w:r>
        <w:t xml:space="preserve">6.1  Insurance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Employers' Liability — </w:t>
      </w:r>
      <w:r>
        <w:t xml:space="preserve">statutory £5m minimum; £10m recommended.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Public Liability — </w:t>
      </w:r>
      <w:r>
        <w:t xml:space="preserve">£5m minimum; £10m for Tier-1 supply-chain.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Professional Indemnity — </w:t>
      </w:r>
      <w:r>
        <w:t xml:space="preserve">£1–2m for design-and-build / specification work.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Contract Works / All-Risks — </w:t>
      </w:r>
      <w:r>
        <w:t xml:space="preserve">required for most main-contractor appointments.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Plant &amp; Equipment — </w:t>
      </w:r>
      <w:r>
        <w:t xml:space="preserve">if plant is owned rather than hired.</w:t>
      </w:r>
    </w:p>
    <w:p>
      <w:pPr>
        <w:spacing w:after="140" w:line="276"/>
      </w:pPr>
      <w:r>
        <w:rPr>
          <w:b/>
          <w:bCs/>
        </w:rPr>
        <w:t xml:space="preserve">Sequence: </w:t>
      </w:r>
      <w:r>
        <w:t xml:space="preserve">Gemini umbrella covers Phase 1; entity's own cover binds before Phase 2. Confirm both with the broker before 1 July.</w:t>
      </w:r>
    </w:p>
    <w:p>
      <w:pPr>
        <w:pStyle w:val="Heading2"/>
      </w:pPr>
      <w:r>
        <w:t xml:space="preserve">6.2  Accreditation pipeline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Month 1–3: </w:t>
      </w:r>
      <w:r>
        <w:t xml:space="preserve">NICEIC/NAPIT (electrical), Gas Safe, CHAS/SafeContractor.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Month 2–4: </w:t>
      </w:r>
      <w:r>
        <w:t xml:space="preserve">Constructionline Gold for PQQ standard.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Month 3–6: </w:t>
      </w:r>
      <w:r>
        <w:t xml:space="preserve">FMB / trade schemes; ISO alignment via the cloned IMS.</w:t>
      </w:r>
    </w:p>
    <w:p>
      <w:pPr>
        <w:pStyle w:val="Heading2"/>
      </w:pPr>
      <w:r>
        <w:t xml:space="preserve">6.3  Brand and stationery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Logo and visual identity consistent with the AMPM Group family.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Letterheads, email signatures, business cards, document templates (tender, RAMS, O&amp;M).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Resolve the ampmbuilding.services SSL/privacy-error and confirm the site is live for launch.</w:t>
      </w:r>
    </w:p>
    <w:p>
      <w:pPr>
        <w:pStyle w:val="Heading1"/>
      </w:pPr>
      <w:r>
        <w:t xml:space="preserve">7.  Pre-Launch Critical Path</w:t>
      </w:r>
    </w:p>
    <w:p>
      <w:pPr>
        <w:spacing w:after="140" w:line="276"/>
      </w:pPr>
      <w:r>
        <w:t xml:space="preserve">Roughly three weeks to go-live. The sequence below puts the gating items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60"/>
        <w:gridCol w:w="1900"/>
      </w:tblGrid>
      <w:tr>
        <w:trPr>
          <w:tblHeader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of 9 Jun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SafeHR owner and start configuration; engage broker on umbrella + own-cover; draft inter-company secondment/recharge agreements; submit NICEIC/Gas Safe/CHAS; start IMS clone; confirm Procore extension; finalise logo.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Owners assigned; applications in.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of 16 Jun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Populate SafeHR; issue rebranded IMS documents; confirm Gemini umbrella in writing; identify first Gemini sub-contract package; begin supply-chain qualification; produce letterheads and templates.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 + IMS substantially ready.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of 23 Jun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Execute secondment/recharge agreements; dry-run first invoice in Xero; finalise website/SSL and email signatures; board readiness review and sign-off.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sign-off; launch-ready.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July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Go-live. Appoint to first package; Steve Lee in post; first Phase-1 revenue invoiced.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C8A24B" w:sz="8" w:space="6"/>
        </w:pBdr>
        <w:spacing w:before="200"/>
        <w:jc w:val="center"/>
      </w:pPr>
      <w:r>
        <w:rPr>
          <w:color w:val="555555"/>
          <w:sz w:val="16"/>
          <w:szCs w:val="16"/>
        </w:rPr>
        <w:t xml:space="preserve">AMPM Building Services Limited  ·  Launch Readiness Plan  ·  v1.0 June 2026  ·  Strictly Confidential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AMPM Building Services Limited  ·  Strictly Confidential    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4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AMPM Building Services — Launch Readiness Plan</dc:title>
  <dc:creator>AMPM Group</dc:creator>
  <cp:lastModifiedBy>Un-named</cp:lastModifiedBy>
  <cp:revision>1</cp:revision>
  <dcterms:created xsi:type="dcterms:W3CDTF">2026-06-08T17:35:14.165Z</dcterms:created>
  <dcterms:modified xsi:type="dcterms:W3CDTF">2026-06-08T17:35:14.165Z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