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1F3A5F"/>
          <w:sz w:val="42"/>
          <w:szCs w:val="42"/>
        </w:rPr>
        <w:t xml:space="preserve">AMPM BUILDING SERVICES</w:t>
      </w:r>
    </w:p>
    <w:p>
      <w:pPr>
        <w:pBdr>
          <w:bottom w:val="single" w:color="C8A24B" w:sz="12" w:space="8"/>
        </w:pBdr>
        <w:spacing w:before="120"/>
        <w:jc w:val="center"/>
      </w:pPr>
      <w:r>
        <w:rPr>
          <w:b/>
          <w:bCs/>
          <w:color w:val="C8A24B"/>
          <w:sz w:val="30"/>
          <w:szCs w:val="30"/>
        </w:rPr>
        <w:t xml:space="preserve">Website Briefing &amp; Scope</w:t>
      </w:r>
    </w:p>
    <w:p>
      <w:pPr>
        <w:spacing w:before="280"/>
        <w:jc w:val="center"/>
      </w:pPr>
      <w:r>
        <w:rPr>
          <w:i/>
          <w:iCs/>
          <w:color w:val="555555"/>
          <w:sz w:val="23"/>
          <w:szCs w:val="23"/>
        </w:rPr>
        <w:t xml:space="preserve">Positioning, audiences, architecture and build scope</w:t>
      </w:r>
    </w:p>
    <w:p>
      <w:pPr>
        <w:spacing w:before="620"/>
        <w:jc w:val="center"/>
      </w:pPr>
      <w:r>
        <w:rPr>
          <w:color w:val="303030"/>
          <w:sz w:val="20"/>
          <w:szCs w:val="20"/>
        </w:rPr>
        <w:t xml:space="preserve">Informed by a scan of Concept, Mitie, Mace, VINCI, Sureserve, andwis &amp; NG Bailey</w:t>
      </w:r>
    </w:p>
    <w:p>
      <w:pPr>
        <w:spacing w:before="900"/>
        <w:jc w:val="center"/>
      </w:pPr>
      <w:r>
        <w:rPr>
          <w:color w:val="555555"/>
          <w:sz w:val="20"/>
          <w:szCs w:val="20"/>
        </w:rPr>
        <w:t xml:space="preserve">Version 1.0   |   June 2026   |   Strictly Confidential</w:t>
      </w:r>
    </w:p>
    <w:p>
      <w:r>
        <w:br w:type="page"/>
      </w:r>
    </w:p>
    <w:p>
      <w:pPr>
        <w:pStyle w:val="Heading1"/>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Purpose of this Brief</w:t>
      </w:r>
    </w:p>
    <w:p>
      <w:pPr>
        <w:spacing w:after="140" w:line="276"/>
      </w:pPr>
      <w:r>
        <w:t xml:space="preserve">This brief defines what the AMPM Building Services website needs to be, who it is for, and how to build it so it earns work from the right buyers. It is the reference document for design and build — including any work done in a visual design tool — and for the copy that fills it.</w:t>
      </w:r>
    </w:p>
    <w:p>
      <w:pPr>
        <w:spacing w:after="140" w:line="276"/>
      </w:pPr>
      <w:r>
        <w:rPr>
          <w:b/>
          <w:bCs/>
        </w:rPr>
        <w:t xml:space="preserve">The job of the site: </w:t>
      </w:r>
      <w:r>
        <w:t xml:space="preserve">make a brand-new contractor look like a safe, premium, compliance-led choice to two sophisticated B2B audiences — and give them an obvious reason to make contact.</w:t>
      </w:r>
    </w:p>
    <w:p>
      <w:pPr>
        <w:spacing w:after="140" w:line="276"/>
      </w:pPr>
      <w:r>
        <w:rPr>
          <w:b/>
          <w:bCs/>
        </w:rPr>
        <w:t xml:space="preserve">One thing to fix up front. </w:t>
      </w:r>
      <w:r>
        <w:t xml:space="preserve">The current site still describes “five trades — M&amp;E, fit-out, fabric, roofing and groundworks.” The brief below uses the agreed four service lines: MEPH, Commercial, Fabric (incl. roofing) and Groundworks. Migrating the site to four lines is the first content task.</w:t>
      </w:r>
    </w:p>
    <w:p>
      <w:pPr>
        <w:pStyle w:val="Heading1"/>
      </w:pPr>
      <w:r>
        <w:t xml:space="preserve">2.  Positioning and Value Proposition</w:t>
      </w:r>
    </w:p>
    <w:p>
      <w:pPr>
        <w:spacing w:after="140" w:line="276"/>
      </w:pPr>
      <w:r>
        <w:t xml:space="preserve">AMPM Building Services is a compliance-led building-services contractor: four service lines under one accountable team, backed by the group that built Gemini AMPM. It is a premium, professional, B2B offering — explicitly not a domestic-trades site.</w:t>
      </w:r>
    </w:p>
    <w:p>
      <w:pPr>
        <w:pStyle w:val="Heading2"/>
      </w:pPr>
      <w:r>
        <w:t xml:space="preserve">2.1  The one-line proposition (use it everywhere)</w:t>
      </w:r>
    </w:p>
    <w:p>
      <w:pPr>
        <w:spacing w:after="140" w:line="276"/>
      </w:pPr>
      <w:r>
        <w:rPr>
          <w:b/>
          <w:bCs/>
        </w:rPr>
        <w:t xml:space="preserve">“Compliance-led building services across MEPH, Commercial, Fabric and Groundworks — one accountable contractor for London and the South.”</w:t>
      </w:r>
    </w:p>
    <w:p>
      <w:pPr>
        <w:spacing w:after="140" w:line="276"/>
      </w:pPr>
      <w:r>
        <w:rPr>
          <w:i/>
          <w:iCs/>
          <w:color w:val="555555"/>
          <w:sz w:val="18"/>
          <w:szCs w:val="18"/>
        </w:rPr>
        <w:t xml:space="preserve">The strongest competitor sites (andwis, Mace, NG Bailey) repeat a single confident line relentlessly. AMPM should do the same — on the hero, in the footer, in the meta description.</w:t>
      </w:r>
    </w:p>
    <w:p>
      <w:pPr>
        <w:pStyle w:val="Heading2"/>
      </w:pPr>
      <w:r>
        <w:t xml:space="preserve">2.2  The differentiators to lead with</w:t>
      </w:r>
    </w:p>
    <w:p>
      <w:pPr>
        <w:pStyle w:val="ListParagraph"/>
        <w:numPr>
          <w:ilvl w:val="0"/>
          <w:numId w:val="2"/>
        </w:numPr>
        <w:spacing w:after="80" w:line="272"/>
      </w:pPr>
      <w:r>
        <w:rPr>
          <w:b/>
          <w:bCs/>
        </w:rPr>
        <w:t xml:space="preserve">Compliance and the golden thread. </w:t>
      </w:r>
      <w:r>
        <w:t xml:space="preserve">Building Safety Act positioning and audit-ready handover, inherited from Gemini AMPM's life-safety heritage since 1997. No competitor in the set leads as hard on BSA as AMPM can — this is the sharpest edge.</w:t>
      </w:r>
    </w:p>
    <w:p>
      <w:pPr>
        <w:pStyle w:val="ListParagraph"/>
        <w:numPr>
          <w:ilvl w:val="0"/>
          <w:numId w:val="2"/>
        </w:numPr>
        <w:spacing w:after="80" w:line="272"/>
      </w:pPr>
      <w:r>
        <w:rPr>
          <w:b/>
          <w:bCs/>
        </w:rPr>
        <w:t xml:space="preserve">One accountable contractor. </w:t>
      </w:r>
      <w:r>
        <w:t xml:space="preserve">Four service lines self-delivered and coordinated — one Form of Tender, one PM, one snag list. The complexity of multiple sub-contractors stops at AMPM's door.</w:t>
      </w:r>
    </w:p>
    <w:p>
      <w:pPr>
        <w:pStyle w:val="ListParagraph"/>
        <w:numPr>
          <w:ilvl w:val="0"/>
          <w:numId w:val="2"/>
        </w:numPr>
        <w:spacing w:after="80" w:line="272"/>
      </w:pPr>
      <w:r>
        <w:rPr>
          <w:b/>
          <w:bCs/>
        </w:rPr>
        <w:t xml:space="preserve">Inherited credibility. </w:t>
      </w:r>
      <w:r>
        <w:t xml:space="preserve">“Sister company to Gemini AMPM, trading since 1997” and “part of AMPM Group.” A new contractor borrows trust from the group — make the lineage prominent, not buried.</w:t>
      </w:r>
    </w:p>
    <w:p>
      <w:pPr>
        <w:pStyle w:val="ListParagraph"/>
        <w:numPr>
          <w:ilvl w:val="0"/>
          <w:numId w:val="2"/>
        </w:numPr>
        <w:spacing w:after="80" w:line="272"/>
      </w:pPr>
      <w:r>
        <w:rPr>
          <w:b/>
          <w:bCs/>
        </w:rPr>
        <w:t xml:space="preserve">Tier-1 application discipline. </w:t>
      </w:r>
      <w:r>
        <w:t xml:space="preserve">Understands main-contractor application cycles, golden-thread handover and the audit posture on Higher-Risk Buildings.</w:t>
      </w:r>
    </w:p>
    <w:p>
      <w:pPr>
        <w:pStyle w:val="Heading1"/>
      </w:pPr>
      <w:r>
        <w:t xml:space="preserve">3.  Target Audiences</w:t>
      </w:r>
    </w:p>
    <w:p>
      <w:pPr>
        <w:spacing w:after="140" w:line="276"/>
      </w:pPr>
      <w:r>
        <w:t xml:space="preserve">Two B2B audiences, with different needs. The site must serve both with a clear route for each — not a single generic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3400"/>
        <w:gridCol w:w="3810"/>
      </w:tblGrid>
      <w:tr>
        <w:trPr>
          <w:tblHeader/>
        </w:trPr>
        <w:tc>
          <w:tcPr>
            <w:tcW w:type="dxa" w:w="2150"/>
            <w:tcBorders>
              <w:top w:val="single" w:color="C9D2DC" w:sz="1"/>
              <w:left w:val="single" w:color="C9D2DC" w:sz="1"/>
              <w:bottom w:val="single" w:color="C9D2DC" w:sz="1"/>
              <w:right w:val="single" w:color="C9D2DC" w:sz="1"/>
            </w:tcBorders>
            <w:shd w:fill="1F3A5F" w:val="clear"/>
            <w:tcMar>
              <w:top w:type="dxa" w:w="60"/>
              <w:left w:type="dxa" w:w="110"/>
              <w:bottom w:type="dxa" w:w="60"/>
              <w:right w:type="dxa" w:w="110"/>
            </w:tcMar>
            <w:vAlign w:val="center"/>
          </w:tcPr>
          <w:p>
            <w:pPr>
              <w:jc w:val="left"/>
            </w:pPr>
            <w:r>
              <w:rPr>
                <w:b/>
                <w:bCs/>
                <w:color w:val="FFFFFF"/>
                <w:sz w:val="18"/>
                <w:szCs w:val="18"/>
              </w:rPr>
              <w:t xml:space="preserve">Audience</w:t>
            </w:r>
          </w:p>
        </w:tc>
        <w:tc>
          <w:tcPr>
            <w:tcW w:type="dxa" w:w="3400"/>
            <w:tcBorders>
              <w:top w:val="single" w:color="C9D2DC" w:sz="1"/>
              <w:left w:val="single" w:color="C9D2DC" w:sz="1"/>
              <w:bottom w:val="single" w:color="C9D2DC" w:sz="1"/>
              <w:right w:val="single" w:color="C9D2DC" w:sz="1"/>
            </w:tcBorders>
            <w:shd w:fill="1F3A5F" w:val="clear"/>
            <w:tcMar>
              <w:top w:type="dxa" w:w="60"/>
              <w:left w:type="dxa" w:w="110"/>
              <w:bottom w:type="dxa" w:w="60"/>
              <w:right w:type="dxa" w:w="110"/>
            </w:tcMar>
            <w:vAlign w:val="center"/>
          </w:tcPr>
          <w:p>
            <w:pPr>
              <w:jc w:val="left"/>
            </w:pPr>
            <w:r>
              <w:rPr>
                <w:b/>
                <w:bCs/>
                <w:color w:val="FFFFFF"/>
                <w:sz w:val="18"/>
                <w:szCs w:val="18"/>
              </w:rPr>
              <w:t xml:space="preserve">Who they are</w:t>
            </w:r>
          </w:p>
        </w:tc>
        <w:tc>
          <w:tcPr>
            <w:tcW w:type="dxa" w:w="3810"/>
            <w:tcBorders>
              <w:top w:val="single" w:color="C9D2DC" w:sz="1"/>
              <w:left w:val="single" w:color="C9D2DC" w:sz="1"/>
              <w:bottom w:val="single" w:color="C9D2DC" w:sz="1"/>
              <w:right w:val="single" w:color="C9D2DC" w:sz="1"/>
            </w:tcBorders>
            <w:shd w:fill="1F3A5F" w:val="clear"/>
            <w:tcMar>
              <w:top w:type="dxa" w:w="60"/>
              <w:left w:type="dxa" w:w="110"/>
              <w:bottom w:type="dxa" w:w="60"/>
              <w:right w:type="dxa" w:w="110"/>
            </w:tcMar>
            <w:vAlign w:val="center"/>
          </w:tcPr>
          <w:p>
            <w:pPr>
              <w:jc w:val="left"/>
            </w:pPr>
            <w:r>
              <w:rPr>
                <w:b/>
                <w:bCs/>
                <w:color w:val="FFFFFF"/>
                <w:sz w:val="18"/>
                <w:szCs w:val="18"/>
              </w:rPr>
              <w:t xml:space="preserve">What they need to see</w:t>
            </w:r>
          </w:p>
        </w:tc>
      </w:tr>
      <w:tr>
        <w:trPr>
          <w:tblHeader w:val="false"/>
        </w:trPr>
        <w:tc>
          <w:tcPr>
            <w:tcW w:type="dxa" w:w="21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Tier-1 main contractors</w:t>
            </w:r>
          </w:p>
        </w:tc>
        <w:tc>
          <w:tcPr>
            <w:tcW w:type="dxa" w:w="3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Main contractors letting building-services packages (e.g. Mace, Arc Group).</w:t>
            </w:r>
          </w:p>
        </w:tc>
        <w:tc>
          <w:tcPr>
            <w:tcW w:type="dxa" w:w="38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Self-delivery and package coordination; accreditations/PQQ credentials; golden-thread handover; application discipline; case studies proving they can carry a package.</w:t>
            </w:r>
          </w:p>
        </w:tc>
      </w:tr>
      <w:tr>
        <w:trPr>
          <w:tblHeader w:val="false"/>
        </w:trPr>
        <w:tc>
          <w:tcPr>
            <w:tcW w:type="dxa" w:w="21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High-end direct end-users</w:t>
            </w:r>
          </w:p>
        </w:tc>
        <w:tc>
          <w:tcPr>
            <w:tcW w:type="dxa" w:w="34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Owners/occupiers of their own facilities with in-house teams — commercial landlords, office occupiers, managed estates, residential property managers.</w:t>
            </w:r>
          </w:p>
        </w:tc>
        <w:tc>
          <w:tcPr>
            <w:tcW w:type="dxa" w:w="381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A single accountable partner; finish quality; planned + responsive delivery; asset and compliance reporting; minimal disruption to their operation.</w:t>
            </w:r>
          </w:p>
        </w:tc>
      </w:tr>
    </w:tbl>
    <w:p>
      <w:pPr>
        <w:spacing w:after="80"/>
      </w:pPr>
      <w:r>
        <w:t xml:space="preserve"/>
      </w:r>
    </w:p>
    <w:p>
      <w:pPr>
        <w:spacing w:after="140" w:line="276"/>
      </w:pPr>
      <w:r>
        <w:rPr>
          <w:b/>
          <w:bCs/>
        </w:rPr>
        <w:t xml:space="preserve">Design implication. </w:t>
      </w:r>
      <w:r>
        <w:t xml:space="preserve">Give the home page two clear “routes in” — one for main contractors (“Tender enquiries”), one for direct clients (“For landlords &amp; occupiers”) — as the current site already begins to do. Keep both above the fold.</w:t>
      </w:r>
    </w:p>
    <w:p>
      <w:pPr>
        <w:pStyle w:val="Heading1"/>
      </w:pPr>
      <w:r>
        <w:t xml:space="preserve">4.  What Good Looks Like — Competitor Takeaways</w:t>
      </w:r>
    </w:p>
    <w:p>
      <w:pPr>
        <w:spacing w:after="140" w:line="276"/>
      </w:pPr>
      <w:r>
        <w:t xml:space="preserve">A scan of the field, distilled to what AMPM should borrow and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660"/>
      </w:tblGrid>
      <w:tr>
        <w:trPr>
          <w:tblHeader/>
        </w:trPr>
        <w:tc>
          <w:tcPr>
            <w:tcW w:type="dxa" w:w="1700"/>
            <w:tcBorders>
              <w:top w:val="single" w:color="C9D2DC" w:sz="1"/>
              <w:left w:val="single" w:color="C9D2DC" w:sz="1"/>
              <w:bottom w:val="single" w:color="C9D2DC" w:sz="1"/>
              <w:right w:val="single" w:color="C9D2DC" w:sz="1"/>
            </w:tcBorders>
            <w:shd w:fill="1F3A5F" w:val="clear"/>
            <w:tcMar>
              <w:top w:type="dxa" w:w="60"/>
              <w:left w:type="dxa" w:w="110"/>
              <w:bottom w:type="dxa" w:w="60"/>
              <w:right w:type="dxa" w:w="110"/>
            </w:tcMar>
            <w:vAlign w:val="center"/>
          </w:tcPr>
          <w:p>
            <w:pPr>
              <w:jc w:val="left"/>
            </w:pPr>
            <w:r>
              <w:rPr>
                <w:b/>
                <w:bCs/>
                <w:color w:val="FFFFFF"/>
                <w:sz w:val="18"/>
                <w:szCs w:val="18"/>
              </w:rPr>
              <w:t xml:space="preserve">Site</w:t>
            </w:r>
          </w:p>
        </w:tc>
        <w:tc>
          <w:tcPr>
            <w:tcW w:type="dxa" w:w="4000"/>
            <w:tcBorders>
              <w:top w:val="single" w:color="C9D2DC" w:sz="1"/>
              <w:left w:val="single" w:color="C9D2DC" w:sz="1"/>
              <w:bottom w:val="single" w:color="C9D2DC" w:sz="1"/>
              <w:right w:val="single" w:color="C9D2DC" w:sz="1"/>
            </w:tcBorders>
            <w:shd w:fill="1F3A5F" w:val="clear"/>
            <w:tcMar>
              <w:top w:type="dxa" w:w="60"/>
              <w:left w:type="dxa" w:w="110"/>
              <w:bottom w:type="dxa" w:w="60"/>
              <w:right w:type="dxa" w:w="110"/>
            </w:tcMar>
            <w:vAlign w:val="center"/>
          </w:tcPr>
          <w:p>
            <w:pPr>
              <w:jc w:val="left"/>
            </w:pPr>
            <w:r>
              <w:rPr>
                <w:b/>
                <w:bCs/>
                <w:color w:val="FFFFFF"/>
                <w:sz w:val="18"/>
                <w:szCs w:val="18"/>
              </w:rPr>
              <w:t xml:space="preserve">Borrow</w:t>
            </w:r>
          </w:p>
        </w:tc>
        <w:tc>
          <w:tcPr>
            <w:tcW w:type="dxa" w:w="3660"/>
            <w:tcBorders>
              <w:top w:val="single" w:color="C9D2DC" w:sz="1"/>
              <w:left w:val="single" w:color="C9D2DC" w:sz="1"/>
              <w:bottom w:val="single" w:color="C9D2DC" w:sz="1"/>
              <w:right w:val="single" w:color="C9D2DC" w:sz="1"/>
            </w:tcBorders>
            <w:shd w:fill="1F3A5F" w:val="clear"/>
            <w:tcMar>
              <w:top w:type="dxa" w:w="60"/>
              <w:left w:type="dxa" w:w="110"/>
              <w:bottom w:type="dxa" w:w="60"/>
              <w:right w:type="dxa" w:w="110"/>
            </w:tcMar>
            <w:vAlign w:val="center"/>
          </w:tcPr>
          <w:p>
            <w:pPr>
              <w:jc w:val="left"/>
            </w:pPr>
            <w:r>
              <w:rPr>
                <w:b/>
                <w:bCs/>
                <w:color w:val="FFFFFF"/>
                <w:sz w:val="18"/>
                <w:szCs w:val="18"/>
              </w:rPr>
              <w:t xml:space="preserve">Avoid</w:t>
            </w:r>
          </w:p>
        </w:tc>
      </w:tr>
      <w:tr>
        <w:trPr>
          <w:tblHeader w:val="false"/>
        </w:trPr>
        <w:tc>
          <w:tcPr>
            <w:tcW w:type="dxa" w:w="17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andwis (closest analogue)</w:t>
            </w:r>
          </w:p>
        </w:tc>
        <w:tc>
          <w:tcPr>
            <w:tcW w:type="dxa" w:w="4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Expertise × Sectors mega-menu; capability framing that maps to AMPM's lines; blue-chip client wall; attributed compliance-outcome testimonials; hero video of real work.</w:t>
            </w:r>
          </w:p>
        </w:tc>
        <w:tc>
          <w:tcPr>
            <w:tcW w:type="dxa" w:w="36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“Single partner across 19 companies” breadth — AMPM should lean into focus.</w:t>
            </w:r>
          </w:p>
        </w:tc>
      </w:tr>
      <w:tr>
        <w:trPr>
          <w:tblHeader w:val="false"/>
        </w:trPr>
        <w:tc>
          <w:tcPr>
            <w:tcW w:type="dxa" w:w="17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Mace</w:t>
            </w:r>
          </w:p>
        </w:tc>
        <w:tc>
          <w:tcPr>
            <w:tcW w:type="dxa" w:w="40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Premium visual register; in-house MEP framed as early-design value; projects as a portfolio gallery.</w:t>
            </w:r>
          </w:p>
        </w:tc>
        <w:tc>
          <w:tcPr>
            <w:tcW w:type="dxa" w:w="36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High-concept abstraction — hollow without track record.</w:t>
            </w:r>
          </w:p>
        </w:tc>
      </w:tr>
      <w:tr>
        <w:trPr>
          <w:tblHeader w:val="false"/>
        </w:trPr>
        <w:tc>
          <w:tcPr>
            <w:tcW w:type="dxa" w:w="17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NG Bailey</w:t>
            </w:r>
          </w:p>
        </w:tc>
        <w:tc>
          <w:tcPr>
            <w:tcW w:type="dxa" w:w="4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“Premium spaces and critical assets” language; data/IT as a first-class capability; engineering-excellence framing.</w:t>
            </w:r>
          </w:p>
        </w:tc>
        <w:tc>
          <w:tcPr>
            <w:tcW w:type="dxa" w:w="36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Conglomerate scale that a launch brand can't claim.</w:t>
            </w:r>
          </w:p>
        </w:tc>
      </w:tr>
      <w:tr>
        <w:trPr>
          <w:tblHeader w:val="false"/>
        </w:trPr>
        <w:tc>
          <w:tcPr>
            <w:tcW w:type="dxa" w:w="17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Concept</w:t>
            </w:r>
          </w:p>
        </w:tc>
        <w:tc>
          <w:tcPr>
            <w:tcW w:type="dxa" w:w="40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Clean Services × Sectors IA; stat band; named testimonials; explicit Frameworks page; sector empathy copy.</w:t>
            </w:r>
          </w:p>
        </w:tc>
        <w:tc>
          <w:tcPr>
            <w:tcW w:type="dxa" w:w="36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Homepage dumping ~25 office addresses; “property maintenance” reads workmanlike.</w:t>
            </w:r>
          </w:p>
        </w:tc>
      </w:tr>
      <w:tr>
        <w:trPr>
          <w:tblHeader w:val="false"/>
        </w:trPr>
        <w:tc>
          <w:tcPr>
            <w:tcW w:type="dxa" w:w="17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VINCI Facilities</w:t>
            </w:r>
          </w:p>
        </w:tc>
        <w:tc>
          <w:tcPr>
            <w:tcW w:type="dxa" w:w="4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Leading with outcomes + compliance + quantified social value; clean, uncluttered homepage.</w:t>
            </w:r>
          </w:p>
        </w:tc>
        <w:tc>
          <w:tcPr>
            <w:tcW w:type="dxa" w:w="36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Too vague at the top — visitor must dig to learn what they do.</w:t>
            </w:r>
          </w:p>
        </w:tc>
      </w:tr>
      <w:tr>
        <w:trPr>
          <w:tblHeader w:val="false"/>
        </w:trPr>
        <w:tc>
          <w:tcPr>
            <w:tcW w:type="dxa" w:w="17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Mitie</w:t>
            </w:r>
          </w:p>
        </w:tc>
        <w:tc>
          <w:tcPr>
            <w:tcW w:type="dxa" w:w="400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Disciplined Services × Sectors matrix; coherent compliance cluster.</w:t>
            </w:r>
          </w:p>
        </w:tc>
        <w:tc>
          <w:tcPr>
            <w:tcW w:type="dxa" w:w="36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Breadth dilutes specialism; nav feels like a directory.</w:t>
            </w:r>
          </w:p>
        </w:tc>
      </w:tr>
      <w:tr>
        <w:trPr>
          <w:tblHeader w:val="false"/>
        </w:trPr>
        <w:tc>
          <w:tcPr>
            <w:tcW w:type="dxa" w:w="17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Sureserve</w:t>
            </w:r>
          </w:p>
        </w:tc>
        <w:tc>
          <w:tcPr>
            <w:tcW w:type="dxa" w:w="4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Clear naming of compliance disciplines; clean group-and-subsidiaries model.</w:t>
            </w:r>
          </w:p>
        </w:tc>
        <w:tc>
          <w:tcPr>
            <w:tcW w:type="dxa" w:w="36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Investor-heavy, functional, not premium — keep group/governance on the parent site.</w:t>
            </w:r>
          </w:p>
        </w:tc>
      </w:tr>
    </w:tbl>
    <w:p>
      <w:pPr>
        <w:pStyle w:val="Heading1"/>
      </w:pPr>
      <w:r>
        <w:t xml:space="preserve">5.  Recommended Architecture (Sitemap)</w:t>
      </w:r>
    </w:p>
    <w:p>
      <w:pPr>
        <w:spacing w:after="140" w:line="276"/>
      </w:pPr>
      <w:r>
        <w:t xml:space="preserve">The spine of every credible site in this market is Services × Sectors, plus a portfolio of case studies and a clear contact route. Recommended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6910"/>
      </w:tblGrid>
      <w:tr>
        <w:trPr>
          <w:tblHeader/>
        </w:trPr>
        <w:tc>
          <w:tcPr>
            <w:tcW w:type="dxa" w:w="2450"/>
            <w:tcBorders>
              <w:top w:val="single" w:color="C9D2DC" w:sz="1"/>
              <w:left w:val="single" w:color="C9D2DC" w:sz="1"/>
              <w:bottom w:val="single" w:color="C9D2DC" w:sz="1"/>
              <w:right w:val="single" w:color="C9D2DC" w:sz="1"/>
            </w:tcBorders>
            <w:shd w:fill="1F3A5F" w:val="clear"/>
            <w:tcMar>
              <w:top w:type="dxa" w:w="60"/>
              <w:left w:type="dxa" w:w="110"/>
              <w:bottom w:type="dxa" w:w="60"/>
              <w:right w:type="dxa" w:w="110"/>
            </w:tcMar>
            <w:vAlign w:val="center"/>
          </w:tcPr>
          <w:p>
            <w:pPr>
              <w:jc w:val="left"/>
            </w:pPr>
            <w:r>
              <w:rPr>
                <w:b/>
                <w:bCs/>
                <w:color w:val="FFFFFF"/>
                <w:sz w:val="18"/>
                <w:szCs w:val="18"/>
              </w:rPr>
              <w:t xml:space="preserve">Page</w:t>
            </w:r>
          </w:p>
        </w:tc>
        <w:tc>
          <w:tcPr>
            <w:tcW w:type="dxa" w:w="6910"/>
            <w:tcBorders>
              <w:top w:val="single" w:color="C9D2DC" w:sz="1"/>
              <w:left w:val="single" w:color="C9D2DC" w:sz="1"/>
              <w:bottom w:val="single" w:color="C9D2DC" w:sz="1"/>
              <w:right w:val="single" w:color="C9D2DC" w:sz="1"/>
            </w:tcBorders>
            <w:shd w:fill="1F3A5F" w:val="clear"/>
            <w:tcMar>
              <w:top w:type="dxa" w:w="60"/>
              <w:left w:type="dxa" w:w="110"/>
              <w:bottom w:type="dxa" w:w="60"/>
              <w:right w:type="dxa" w:w="110"/>
            </w:tcMar>
            <w:vAlign w:val="center"/>
          </w:tcPr>
          <w:p>
            <w:pPr>
              <w:jc w:val="left"/>
            </w:pPr>
            <w:r>
              <w:rPr>
                <w:b/>
                <w:bCs/>
                <w:color w:val="FFFFFF"/>
                <w:sz w:val="18"/>
                <w:szCs w:val="18"/>
              </w:rPr>
              <w:t xml:space="preserve">Role</w:t>
            </w:r>
          </w:p>
        </w:tc>
      </w:tr>
      <w:tr>
        <w:trPr>
          <w:tblHeader w:val="false"/>
        </w:trP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Home</w:t>
            </w:r>
          </w:p>
        </w:tc>
        <w:tc>
          <w:tcPr>
            <w:tcW w:type="dxa" w:w="69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One-line proposition; four service-line tiles; two audience routes; proof band (clients, accreditations, BSA statement); single dominant CTA.</w:t>
            </w:r>
          </w:p>
        </w:tc>
      </w:tr>
      <w:tr>
        <w:trPr>
          <w:tblHeader w:val="false"/>
        </w:trPr>
        <w:tc>
          <w:tcPr>
            <w:tcW w:type="dxa" w:w="24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Services (mega-menu)</w:t>
            </w:r>
          </w:p>
        </w:tc>
        <w:tc>
          <w:tcPr>
            <w:tcW w:type="dxa" w:w="691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Four equal children: MEPH (incl. data/IT) · Commercial (fit-out &amp; refurb) · Fabric (envelope incl. roofing) · Groundworks.</w:t>
            </w:r>
          </w:p>
        </w:tc>
      </w:tr>
      <w:tr>
        <w:trPr>
          <w:tblHeader w:val="false"/>
        </w:trP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Sectors</w:t>
            </w:r>
          </w:p>
        </w:tc>
        <w:tc>
          <w:tcPr>
            <w:tcW w:type="dxa" w:w="69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Written as outcome empathy, not lists: commercial offices / landlords &amp; managed estates; residential &amp; BTR / property managers; hospitality &amp; leisure; healthcare or education; data centres / critical environments.</w:t>
            </w:r>
          </w:p>
        </w:tc>
      </w:tr>
      <w:tr>
        <w:trPr>
          <w:tblHeader w:val="false"/>
        </w:trPr>
        <w:tc>
          <w:tcPr>
            <w:tcW w:type="dxa" w:w="24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Projects / Case studies</w:t>
            </w:r>
          </w:p>
        </w:tc>
        <w:tc>
          <w:tcPr>
            <w:tcW w:type="dxa" w:w="691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Filterable portfolio by service line and sector. ISG/andwis format — see Section 6.</w:t>
            </w:r>
          </w:p>
        </w:tc>
      </w:tr>
      <w:tr>
        <w:trPr>
          <w:tblHeader w:val="false"/>
        </w:trP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Compliance &amp; Building Safety</w:t>
            </w:r>
          </w:p>
        </w:tc>
        <w:tc>
          <w:tcPr>
            <w:tcW w:type="dxa" w:w="69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STANDALONE page — the differentiator. BSA positioning, golden-thread method, accreditation wall, link to Gemini's heritage.</w:t>
            </w:r>
          </w:p>
        </w:tc>
      </w:tr>
      <w:tr>
        <w:trPr>
          <w:tblHeader w:val="false"/>
        </w:trPr>
        <w:tc>
          <w:tcPr>
            <w:tcW w:type="dxa" w:w="24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About — Part of AMPM Group</w:t>
            </w:r>
          </w:p>
        </w:tc>
        <w:tc>
          <w:tcPr>
            <w:tcW w:type="dxa" w:w="691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Group lineage, Gemini AMPM since 1997, values, leadership, how we operate.</w:t>
            </w:r>
          </w:p>
        </w:tc>
      </w:tr>
      <w:tr>
        <w:trPr>
          <w:tblHeader w:val="false"/>
        </w:trP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Responsible Business</w:t>
            </w:r>
          </w:p>
        </w:tc>
        <w:tc>
          <w:tcPr>
            <w:tcW w:type="dxa" w:w="69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ESG, Net Zero, social value (quantify as soon as possible).</w:t>
            </w:r>
          </w:p>
        </w:tc>
      </w:tr>
      <w:tr>
        <w:trPr>
          <w:tblHeader w:val="false"/>
        </w:trPr>
        <w:tc>
          <w:tcPr>
            <w:tcW w:type="dxa" w:w="24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Careers / Work With Us</w:t>
            </w:r>
          </w:p>
        </w:tc>
        <w:tc>
          <w:tcPr>
            <w:tcW w:type="dxa" w:w="691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Vacancies + subcontractor / supply-chain onboarding (often the highest-traffic page).</w:t>
            </w:r>
          </w:p>
        </w:tc>
      </w:tr>
      <w:tr>
        <w:trPr>
          <w:tblHeader w:val="false"/>
        </w:trPr>
        <w:tc>
          <w:tcPr>
            <w:tcW w:type="dxa" w:w="24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Insights / News</w:t>
            </w:r>
          </w:p>
        </w:tc>
        <w:tc>
          <w:tcPr>
            <w:tcW w:type="dxa" w:w="691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Thought leadership; BSA and compliance commentary reinforces the positioning.</w:t>
            </w:r>
          </w:p>
        </w:tc>
      </w:tr>
      <w:tr>
        <w:trPr>
          <w:tblHeader w:val="false"/>
        </w:trPr>
        <w:tc>
          <w:tcPr>
            <w:tcW w:type="dxa" w:w="24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Contact</w:t>
            </w:r>
          </w:p>
        </w:tc>
        <w:tc>
          <w:tcPr>
            <w:tcW w:type="dxa" w:w="691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One prominent enquiry CTA; named routes (tenders / general / suppliers / careers); office detail tidy in the footer.</w:t>
            </w:r>
          </w:p>
        </w:tc>
      </w:tr>
    </w:tbl>
    <w:p>
      <w:pPr>
        <w:spacing w:after="80"/>
      </w:pPr>
      <w:r>
        <w:t xml:space="preserve"/>
      </w:r>
    </w:p>
    <w:p>
      <w:pPr>
        <w:spacing w:after="140" w:line="276"/>
      </w:pPr>
      <w:r>
        <w:rPr>
          <w:b/>
          <w:bCs/>
        </w:rPr>
        <w:t xml:space="preserve">Launch-minimum vs later. </w:t>
      </w:r>
      <w:r>
        <w:t xml:space="preserve">For 1 July, prioritise: Home, Services, one Sector view, at least one Case study, the Compliance &amp; Building Safety page, About, and Contact. Responsible Business, full Sectors, Insights and Careers can follow in a phase 2.</w:t>
      </w:r>
    </w:p>
    <w:p>
      <w:pPr>
        <w:pStyle w:val="Heading1"/>
      </w:pPr>
      <w:r>
        <w:t xml:space="preserve">6.  Page-by-Page Content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4760"/>
        <w:gridCol w:w="2750"/>
      </w:tblGrid>
      <w:tr>
        <w:trPr>
          <w:tblHeader/>
        </w:trPr>
        <w:tc>
          <w:tcPr>
            <w:tcW w:type="dxa" w:w="1850"/>
            <w:tcBorders>
              <w:top w:val="single" w:color="C9D2DC" w:sz="1"/>
              <w:left w:val="single" w:color="C9D2DC" w:sz="1"/>
              <w:bottom w:val="single" w:color="C9D2DC" w:sz="1"/>
              <w:right w:val="single" w:color="C9D2DC" w:sz="1"/>
            </w:tcBorders>
            <w:shd w:fill="1F3A5F" w:val="clear"/>
            <w:tcMar>
              <w:top w:type="dxa" w:w="60"/>
              <w:left w:type="dxa" w:w="110"/>
              <w:bottom w:type="dxa" w:w="60"/>
              <w:right w:type="dxa" w:w="110"/>
            </w:tcMar>
            <w:vAlign w:val="center"/>
          </w:tcPr>
          <w:p>
            <w:pPr>
              <w:jc w:val="left"/>
            </w:pPr>
            <w:r>
              <w:rPr>
                <w:b/>
                <w:bCs/>
                <w:color w:val="FFFFFF"/>
                <w:sz w:val="18"/>
                <w:szCs w:val="18"/>
              </w:rPr>
              <w:t xml:space="preserve">Page</w:t>
            </w:r>
          </w:p>
        </w:tc>
        <w:tc>
          <w:tcPr>
            <w:tcW w:type="dxa" w:w="4760"/>
            <w:tcBorders>
              <w:top w:val="single" w:color="C9D2DC" w:sz="1"/>
              <w:left w:val="single" w:color="C9D2DC" w:sz="1"/>
              <w:bottom w:val="single" w:color="C9D2DC" w:sz="1"/>
              <w:right w:val="single" w:color="C9D2DC" w:sz="1"/>
            </w:tcBorders>
            <w:shd w:fill="1F3A5F" w:val="clear"/>
            <w:tcMar>
              <w:top w:type="dxa" w:w="60"/>
              <w:left w:type="dxa" w:w="110"/>
              <w:bottom w:type="dxa" w:w="60"/>
              <w:right w:type="dxa" w:w="110"/>
            </w:tcMar>
            <w:vAlign w:val="center"/>
          </w:tcPr>
          <w:p>
            <w:pPr>
              <w:jc w:val="left"/>
            </w:pPr>
            <w:r>
              <w:rPr>
                <w:b/>
                <w:bCs/>
                <w:color w:val="FFFFFF"/>
                <w:sz w:val="18"/>
                <w:szCs w:val="18"/>
              </w:rPr>
              <w:t xml:space="preserve">Must contain</w:t>
            </w:r>
          </w:p>
        </w:tc>
        <w:tc>
          <w:tcPr>
            <w:tcW w:type="dxa" w:w="2750"/>
            <w:tcBorders>
              <w:top w:val="single" w:color="C9D2DC" w:sz="1"/>
              <w:left w:val="single" w:color="C9D2DC" w:sz="1"/>
              <w:bottom w:val="single" w:color="C9D2DC" w:sz="1"/>
              <w:right w:val="single" w:color="C9D2DC" w:sz="1"/>
            </w:tcBorders>
            <w:shd w:fill="1F3A5F" w:val="clear"/>
            <w:tcMar>
              <w:top w:type="dxa" w:w="60"/>
              <w:left w:type="dxa" w:w="110"/>
              <w:bottom w:type="dxa" w:w="60"/>
              <w:right w:type="dxa" w:w="110"/>
            </w:tcMar>
            <w:vAlign w:val="center"/>
          </w:tcPr>
          <w:p>
            <w:pPr>
              <w:jc w:val="left"/>
            </w:pPr>
            <w:r>
              <w:rPr>
                <w:b/>
                <w:bCs/>
                <w:color w:val="FFFFFF"/>
                <w:sz w:val="18"/>
                <w:szCs w:val="18"/>
              </w:rPr>
              <w:t xml:space="preserve">Primary CTA</w:t>
            </w:r>
          </w:p>
        </w:tc>
      </w:tr>
      <w:tr>
        <w:trPr>
          <w:tblHeader w:val="false"/>
        </w:trPr>
        <w:tc>
          <w:tcPr>
            <w:tcW w:type="dxa" w:w="18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Home</w:t>
            </w:r>
          </w:p>
        </w:tc>
        <w:tc>
          <w:tcPr>
            <w:tcW w:type="dxa" w:w="4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Hero line + sub; four service tiles (colour-coded to the four-square logo); two audience routes; proof band (client logos, accreditation strip, BSA one-liner); one case-study teaser.</w:t>
            </w:r>
          </w:p>
        </w:tc>
        <w:tc>
          <w:tcPr>
            <w:tcW w:type="dxa" w:w="27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“Discuss your project” / “Tender enquiries”</w:t>
            </w:r>
          </w:p>
        </w:tc>
      </w:tr>
      <w:tr>
        <w:trPr>
          <w:tblHeader w:val="false"/>
        </w:trPr>
        <w:tc>
          <w:tcPr>
            <w:tcW w:type="dxa" w:w="18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MEPH</w:t>
            </w:r>
          </w:p>
        </w:tc>
        <w:tc>
          <w:tcPr>
            <w:tcW w:type="dxa" w:w="47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Mechanical, electrical, plumbing &amp; heating; HVAC, heat pumps, ventilation, plant; 1st/2nd fix electrical, distribution, EV, lighting; plumbing/public-health; data, structured cabling and IT-infrastructure. Market drivers.</w:t>
            </w:r>
          </w:p>
        </w:tc>
        <w:tc>
          <w:tcPr>
            <w:tcW w:type="dxa" w:w="27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Enquire about MEPH</w:t>
            </w:r>
          </w:p>
        </w:tc>
      </w:tr>
      <w:tr>
        <w:trPr>
          <w:tblHeader w:val="false"/>
        </w:trPr>
        <w:tc>
          <w:tcPr>
            <w:tcW w:type="dxa" w:w="18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Commercial</w:t>
            </w:r>
          </w:p>
        </w:tc>
        <w:tc>
          <w:tcPr>
            <w:tcW w:type="dxa" w:w="4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Cat-A/Cat-B fit-out, refurbishment, dry-lining, partitioning, joinery, finishes.</w:t>
            </w:r>
          </w:p>
        </w:tc>
        <w:tc>
          <w:tcPr>
            <w:tcW w:type="dxa" w:w="27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Enquire about a fit-out</w:t>
            </w:r>
          </w:p>
        </w:tc>
      </w:tr>
      <w:tr>
        <w:trPr>
          <w:tblHeader w:val="false"/>
        </w:trPr>
        <w:tc>
          <w:tcPr>
            <w:tcW w:type="dxa" w:w="18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Fabric</w:t>
            </w:r>
          </w:p>
        </w:tc>
        <w:tc>
          <w:tcPr>
            <w:tcW w:type="dxa" w:w="47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External envelope: cladding/rainscreen, brick/repointing, render, curtain walling, EWI; flat &amp; pitched roofing; façade repair and BSA remediation.</w:t>
            </w:r>
          </w:p>
        </w:tc>
        <w:tc>
          <w:tcPr>
            <w:tcW w:type="dxa" w:w="27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Enquire about fabric / envelope</w:t>
            </w:r>
          </w:p>
        </w:tc>
      </w:tr>
      <w:tr>
        <w:trPr>
          <w:tblHeader w:val="false"/>
        </w:trPr>
        <w:tc>
          <w:tcPr>
            <w:tcW w:type="dxa" w:w="18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Groundworks</w:t>
            </w:r>
          </w:p>
        </w:tc>
        <w:tc>
          <w:tcPr>
            <w:tcW w:type="dxa" w:w="4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Foundations, drainage, concrete, civils, enabling and external works.</w:t>
            </w:r>
          </w:p>
        </w:tc>
        <w:tc>
          <w:tcPr>
            <w:tcW w:type="dxa" w:w="27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Enquire about groundworks</w:t>
            </w:r>
          </w:p>
        </w:tc>
      </w:tr>
      <w:tr>
        <w:trPr>
          <w:tblHeader w:val="false"/>
        </w:trPr>
        <w:tc>
          <w:tcPr>
            <w:tcW w:type="dxa" w:w="18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Compliance &amp; Building Safety</w:t>
            </w:r>
          </w:p>
        </w:tc>
        <w:tc>
          <w:tcPr>
            <w:tcW w:type="dxa" w:w="47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BSA positioning; golden-thread methodology; accreditation wall (ISO 9001/14001/45001, CHAS/SafeContractor/Constructionline, NICEIC/Gas Safe); link to Gemini's 25+ yr heritage.</w:t>
            </w:r>
          </w:p>
        </w:tc>
        <w:tc>
          <w:tcPr>
            <w:tcW w:type="dxa" w:w="27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Request our compliance pack</w:t>
            </w:r>
          </w:p>
        </w:tc>
      </w:tr>
      <w:tr>
        <w:trPr>
          <w:tblHeader w:val="false"/>
        </w:trPr>
        <w:tc>
          <w:tcPr>
            <w:tcW w:type="dxa" w:w="18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Case study (template)</w:t>
            </w:r>
          </w:p>
        </w:tc>
        <w:tc>
          <w:tcPr>
            <w:tcW w:type="dxa" w:w="4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Client (or sector if NDA); service line(s); package value / sq ft; programme length; the challenge; what AMPM did; the outcome incl. a compliance/handover-data note.</w:t>
            </w:r>
          </w:p>
        </w:tc>
        <w:tc>
          <w:tcPr>
            <w:tcW w:type="dxa" w:w="27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See more projects / Enquire</w:t>
            </w:r>
          </w:p>
        </w:tc>
      </w:tr>
      <w:tr>
        <w:trPr>
          <w:tblHeader w:val="false"/>
        </w:trPr>
        <w:tc>
          <w:tcPr>
            <w:tcW w:type="dxa" w:w="18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About</w:t>
            </w:r>
          </w:p>
        </w:tc>
        <w:tc>
          <w:tcPr>
            <w:tcW w:type="dxa" w:w="476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“Part of AMPM Group”; Gemini lineage; values; how we operate (4 principles); leadership.</w:t>
            </w:r>
          </w:p>
        </w:tc>
        <w:tc>
          <w:tcPr>
            <w:tcW w:type="dxa" w:w="2750"/>
            <w:tcBorders>
              <w:top w:val="single" w:color="C9D2DC" w:sz="1"/>
              <w:left w:val="single" w:color="C9D2DC" w:sz="1"/>
              <w:bottom w:val="single" w:color="C9D2DC" w:sz="1"/>
              <w:right w:val="single" w:color="C9D2DC" w:sz="1"/>
            </w:tcBorders>
            <w:shd w:fill="EDF1F6" w:val="clear"/>
            <w:tcMar>
              <w:top w:type="dxa" w:w="60"/>
              <w:left w:type="dxa" w:w="110"/>
              <w:bottom w:type="dxa" w:w="60"/>
              <w:right w:type="dxa" w:w="110"/>
            </w:tcMar>
            <w:vAlign w:val="center"/>
          </w:tcPr>
          <w:p>
            <w:pPr>
              <w:jc w:val="left"/>
            </w:pPr>
            <w:r>
              <w:rPr>
                <w:b w:val="false"/>
                <w:bCs w:val="false"/>
                <w:color w:val="000000"/>
                <w:sz w:val="18"/>
                <w:szCs w:val="18"/>
              </w:rPr>
              <w:t xml:space="preserve">Work with us / Contact</w:t>
            </w:r>
          </w:p>
        </w:tc>
      </w:tr>
      <w:tr>
        <w:trPr>
          <w:tblHeader w:val="false"/>
        </w:trPr>
        <w:tc>
          <w:tcPr>
            <w:tcW w:type="dxa" w:w="18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Contact</w:t>
            </w:r>
          </w:p>
        </w:tc>
        <w:tc>
          <w:tcPr>
            <w:tcW w:type="dxa" w:w="4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Named routes (tenders@, hello@, suppliers@, careers@); one phone line; enquiry form; office in footer.</w:t>
            </w:r>
          </w:p>
        </w:tc>
        <w:tc>
          <w:tcPr>
            <w:tcW w:type="dxa" w:w="275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jc w:val="left"/>
            </w:pPr>
            <w:r>
              <w:rPr>
                <w:b w:val="false"/>
                <w:bCs w:val="false"/>
                <w:color w:val="000000"/>
                <w:sz w:val="18"/>
                <w:szCs w:val="18"/>
              </w:rPr>
              <w:t xml:space="preserve">Send enquiry</w:t>
            </w:r>
          </w:p>
        </w:tc>
      </w:tr>
    </w:tbl>
    <w:p>
      <w:pPr>
        <w:pStyle w:val="Heading1"/>
      </w:pPr>
      <w:r>
        <w:t xml:space="preserve">7.  Messaging and Tone</w:t>
      </w:r>
    </w:p>
    <w:p>
      <w:pPr>
        <w:spacing w:after="140" w:line="276"/>
      </w:pPr>
      <w:r>
        <w:t xml:space="preserve">Board-grade and editorial, like the parent group: confident, precise, client-outcome-led. Premium without grandiosity. Written for a QS or a facilities director, not a homeowner.</w:t>
      </w:r>
    </w:p>
    <w:p>
      <w:pPr>
        <w:pStyle w:val="Heading2"/>
      </w:pPr>
      <w:r>
        <w:t xml:space="preserve">7.1  Do</w:t>
      </w:r>
    </w:p>
    <w:p>
      <w:pPr>
        <w:pStyle w:val="ListParagraph"/>
        <w:numPr>
          <w:ilvl w:val="0"/>
          <w:numId w:val="2"/>
        </w:numPr>
        <w:spacing w:after="80" w:line="272"/>
      </w:pPr>
      <w:r>
        <w:t xml:space="preserve">Repeat the one-line proposition consistently.</w:t>
      </w:r>
    </w:p>
    <w:p>
      <w:pPr>
        <w:pStyle w:val="ListParagraph"/>
        <w:numPr>
          <w:ilvl w:val="0"/>
          <w:numId w:val="2"/>
        </w:numPr>
        <w:spacing w:after="80" w:line="272"/>
      </w:pPr>
      <w:r>
        <w:t xml:space="preserve">Lead with client outcomes and compliance, then capability.</w:t>
      </w:r>
    </w:p>
    <w:p>
      <w:pPr>
        <w:pStyle w:val="ListParagraph"/>
        <w:numPr>
          <w:ilvl w:val="0"/>
          <w:numId w:val="2"/>
        </w:numPr>
        <w:spacing w:after="80" w:line="272"/>
      </w:pPr>
      <w:r>
        <w:t xml:space="preserve">Use specific proof — named clients, accreditations, package values, programme lengths.</w:t>
      </w:r>
    </w:p>
    <w:p>
      <w:pPr>
        <w:pStyle w:val="ListParagraph"/>
        <w:numPr>
          <w:ilvl w:val="0"/>
          <w:numId w:val="2"/>
        </w:numPr>
        <w:spacing w:after="80" w:line="272"/>
      </w:pPr>
      <w:r>
        <w:t xml:space="preserve">Name humans (“every email read by a named person; we answer within 24 hours” — already a strength on the current contact page).</w:t>
      </w:r>
    </w:p>
    <w:p>
      <w:pPr>
        <w:pStyle w:val="Heading2"/>
      </w:pPr>
      <w:r>
        <w:t xml:space="preserve">7.2  Don't</w:t>
      </w:r>
    </w:p>
    <w:p>
      <w:pPr>
        <w:pStyle w:val="ListParagraph"/>
        <w:numPr>
          <w:ilvl w:val="0"/>
          <w:numId w:val="2"/>
        </w:numPr>
        <w:spacing w:after="80" w:line="272"/>
      </w:pPr>
      <w:r>
        <w:t xml:space="preserve">Vague “leading provider” claims with no proof.</w:t>
      </w:r>
    </w:p>
    <w:p>
      <w:pPr>
        <w:pStyle w:val="ListParagraph"/>
        <w:numPr>
          <w:ilvl w:val="0"/>
          <w:numId w:val="2"/>
        </w:numPr>
        <w:spacing w:after="80" w:line="272"/>
      </w:pPr>
      <w:r>
        <w:t xml:space="preserve">Domestic-trades language or imagery.</w:t>
      </w:r>
    </w:p>
    <w:p>
      <w:pPr>
        <w:pStyle w:val="ListParagraph"/>
        <w:numPr>
          <w:ilvl w:val="0"/>
          <w:numId w:val="2"/>
        </w:numPr>
        <w:spacing w:after="80" w:line="272"/>
      </w:pPr>
      <w:r>
        <w:t xml:space="preserve">Over-claim scale — lean into focus and the group, not pretend size.</w:t>
      </w:r>
    </w:p>
    <w:p>
      <w:pPr>
        <w:pStyle w:val="ListParagraph"/>
        <w:numPr>
          <w:ilvl w:val="0"/>
          <w:numId w:val="2"/>
        </w:numPr>
        <w:spacing w:after="80" w:line="272"/>
      </w:pPr>
      <w:r>
        <w:t xml:space="preserve">Crowd the buyer with investor/governance content — keep that on the AMPM Group parent site.</w:t>
      </w:r>
    </w:p>
    <w:p>
      <w:pPr>
        <w:pStyle w:val="Heading1"/>
      </w:pPr>
      <w:r>
        <w:t xml:space="preserve">8.  Design Direction</w:t>
      </w:r>
    </w:p>
    <w:p>
      <w:pPr>
        <w:pStyle w:val="ListParagraph"/>
        <w:numPr>
          <w:ilvl w:val="0"/>
          <w:numId w:val="2"/>
        </w:numPr>
        <w:spacing w:after="80" w:line="272"/>
      </w:pPr>
      <w:r>
        <w:rPr>
          <w:b/>
          <w:bCs/>
        </w:rPr>
        <w:t xml:space="preserve">Premium, restrained. </w:t>
      </w:r>
      <w:r>
        <w:t xml:space="preserve">Mace/andwis-level whitespace and photography. Real project imagery over stock.</w:t>
      </w:r>
    </w:p>
    <w:p>
      <w:pPr>
        <w:pStyle w:val="ListParagraph"/>
        <w:numPr>
          <w:ilvl w:val="0"/>
          <w:numId w:val="2"/>
        </w:numPr>
        <w:spacing w:after="80" w:line="272"/>
      </w:pPr>
      <w:r>
        <w:rPr>
          <w:b/>
          <w:bCs/>
        </w:rPr>
        <w:t xml:space="preserve">Use the four-square logo as a system. </w:t>
      </w:r>
      <w:r>
        <w:t xml:space="preserve">The four “meridian quarter” colours (green/purple/orange/blue) map one-to-one to the four service lines — MEPH, Commercial, Fabric, Groundworks. Carry that colour-coding through service tiles, icons and section markers so brand and capability line up.</w:t>
      </w:r>
    </w:p>
    <w:p>
      <w:pPr>
        <w:pStyle w:val="ListParagraph"/>
        <w:numPr>
          <w:ilvl w:val="0"/>
          <w:numId w:val="2"/>
        </w:numPr>
        <w:spacing w:after="80" w:line="272"/>
      </w:pPr>
      <w:r>
        <w:rPr>
          <w:b/>
          <w:bCs/>
        </w:rPr>
        <w:t xml:space="preserve">Consistent with the Group palette. </w:t>
      </w:r>
      <w:r>
        <w:t xml:space="preserve">Sister to Gemini AMPM and AMPM Group — “six companies, one mothership, one palette.” Keep the family resemblance.</w:t>
      </w:r>
    </w:p>
    <w:p>
      <w:pPr>
        <w:pStyle w:val="ListParagraph"/>
        <w:numPr>
          <w:ilvl w:val="0"/>
          <w:numId w:val="2"/>
        </w:numPr>
        <w:spacing w:after="80" w:line="272"/>
      </w:pPr>
      <w:r>
        <w:rPr>
          <w:b/>
          <w:bCs/>
        </w:rPr>
        <w:t xml:space="preserve">Mobile and accessible. </w:t>
      </w:r>
      <w:r>
        <w:t xml:space="preserve">Facilities directors and QSs browse on phones; meet WCAG AA, fast load, clean type.</w:t>
      </w:r>
    </w:p>
    <w:p>
      <w:pPr>
        <w:pStyle w:val="Heading1"/>
      </w:pPr>
      <w:r>
        <w:t xml:space="preserve">9.  Credibility Checklist</w:t>
      </w:r>
    </w:p>
    <w:p>
      <w:pPr>
        <w:spacing w:after="140" w:line="276"/>
      </w:pPr>
      <w:r>
        <w:t xml:space="preserve">The things that make a brand-new contractor believable to Tier-1 buyers and sophisticated end-users. Treat as the acceptance criteria for launch.</w:t>
      </w:r>
    </w:p>
    <w:p>
      <w:pPr>
        <w:pStyle w:val="ListParagraph"/>
        <w:numPr>
          <w:ilvl w:val="0"/>
          <w:numId w:val="3"/>
        </w:numPr>
        <w:spacing w:after="80" w:line="272"/>
      </w:pPr>
      <w:r>
        <w:t xml:space="preserve">A standalone Compliance &amp; Building Safety Act page built around the golden thread.</w:t>
      </w:r>
    </w:p>
    <w:p>
      <w:pPr>
        <w:pStyle w:val="ListParagraph"/>
        <w:numPr>
          <w:ilvl w:val="0"/>
          <w:numId w:val="3"/>
        </w:numPr>
        <w:spacing w:after="80" w:line="272"/>
      </w:pPr>
      <w:r>
        <w:t xml:space="preserve">A visible accreditation / certification wall (PQQ teams scan for these first).</w:t>
      </w:r>
    </w:p>
    <w:p>
      <w:pPr>
        <w:pStyle w:val="ListParagraph"/>
        <w:numPr>
          <w:ilvl w:val="0"/>
          <w:numId w:val="3"/>
        </w:numPr>
        <w:spacing w:after="80" w:line="272"/>
      </w:pPr>
      <w:r>
        <w:t xml:space="preserve">At least one case study in full portfolio format, live at launch.</w:t>
      </w:r>
    </w:p>
    <w:p>
      <w:pPr>
        <w:pStyle w:val="ListParagraph"/>
        <w:numPr>
          <w:ilvl w:val="0"/>
          <w:numId w:val="3"/>
        </w:numPr>
        <w:spacing w:after="80" w:line="272"/>
      </w:pPr>
      <w:r>
        <w:t xml:space="preserve">Prominent group lineage — “sister to Gemini AMPM since 1997 / part of AMPM Group.”</w:t>
      </w:r>
    </w:p>
    <w:p>
      <w:pPr>
        <w:pStyle w:val="ListParagraph"/>
        <w:numPr>
          <w:ilvl w:val="0"/>
          <w:numId w:val="3"/>
        </w:numPr>
        <w:spacing w:after="80" w:line="272"/>
      </w:pPr>
      <w:r>
        <w:t xml:space="preserve">Two clear audience journeys — main contractors and direct end-users.</w:t>
      </w:r>
    </w:p>
    <w:p>
      <w:pPr>
        <w:pStyle w:val="ListParagraph"/>
        <w:numPr>
          <w:ilvl w:val="0"/>
          <w:numId w:val="3"/>
        </w:numPr>
        <w:spacing w:after="80" w:line="272"/>
      </w:pPr>
      <w:r>
        <w:t xml:space="preserve">One repeated, confident value proposition.</w:t>
      </w:r>
    </w:p>
    <w:p>
      <w:pPr>
        <w:pStyle w:val="ListParagraph"/>
        <w:numPr>
          <w:ilvl w:val="0"/>
          <w:numId w:val="3"/>
        </w:numPr>
        <w:spacing w:after="80" w:line="272"/>
      </w:pPr>
      <w:r>
        <w:t xml:space="preserve">Premium register — explicitly not a domestic-trades aesthetic.</w:t>
      </w:r>
    </w:p>
    <w:p>
      <w:pPr>
        <w:pStyle w:val="ListParagraph"/>
        <w:numPr>
          <w:ilvl w:val="0"/>
          <w:numId w:val="3"/>
        </w:numPr>
        <w:spacing w:after="80" w:line="272"/>
      </w:pPr>
      <w:r>
        <w:t xml:space="preserve">“Self-delivered, coordinated, one golden thread” as a headline benefit.</w:t>
      </w:r>
    </w:p>
    <w:p>
      <w:pPr>
        <w:pStyle w:val="Heading1"/>
      </w:pPr>
      <w:r>
        <w:t xml:space="preserve">10.  Build, SEO and Technical Notes</w:t>
      </w:r>
    </w:p>
    <w:p>
      <w:pPr>
        <w:pStyle w:val="ListParagraph"/>
        <w:numPr>
          <w:ilvl w:val="0"/>
          <w:numId w:val="2"/>
        </w:numPr>
        <w:spacing w:after="80" w:line="272"/>
      </w:pPr>
      <w:r>
        <w:rPr>
          <w:b/>
          <w:bCs/>
        </w:rPr>
        <w:t xml:space="preserve">Platform. </w:t>
      </w:r>
      <w:r>
        <w:t xml:space="preserve">Built in Ghost, consistent with the Group (theme ampm-building-services). The page/route structure already exists (/, /services/, /about/, /contact/, /work/ collection for case studies) — extend it with the Sectors and Compliance pages.</w:t>
      </w:r>
    </w:p>
    <w:p>
      <w:pPr>
        <w:pStyle w:val="ListParagraph"/>
        <w:numPr>
          <w:ilvl w:val="0"/>
          <w:numId w:val="2"/>
        </w:numPr>
        <w:spacing w:after="80" w:line="272"/>
      </w:pPr>
      <w:r>
        <w:rPr>
          <w:b/>
          <w:bCs/>
        </w:rPr>
        <w:t xml:space="preserve">Domain &amp; SSL. </w:t>
      </w:r>
      <w:r>
        <w:t xml:space="preserve">Resolve the ampmbuilding.services certificate/privacy error before launch — a security warning on a compliance brand is fatal to first impressions. Confirm the canonical domain.</w:t>
      </w:r>
    </w:p>
    <w:p>
      <w:pPr>
        <w:pStyle w:val="ListParagraph"/>
        <w:numPr>
          <w:ilvl w:val="0"/>
          <w:numId w:val="2"/>
        </w:numPr>
        <w:spacing w:after="80" w:line="272"/>
      </w:pPr>
      <w:r>
        <w:rPr>
          <w:b/>
          <w:bCs/>
        </w:rPr>
        <w:t xml:space="preserve">Four-line migration. </w:t>
      </w:r>
      <w:r>
        <w:t xml:space="preserve">Update all current “five trades / M&amp;E” copy (home, services, about, contact) to the four service lines.</w:t>
      </w:r>
    </w:p>
    <w:p>
      <w:pPr>
        <w:pStyle w:val="ListParagraph"/>
        <w:numPr>
          <w:ilvl w:val="0"/>
          <w:numId w:val="2"/>
        </w:numPr>
        <w:spacing w:after="80" w:line="272"/>
      </w:pPr>
      <w:r>
        <w:rPr>
          <w:b/>
          <w:bCs/>
        </w:rPr>
        <w:t xml:space="preserve">SEO. </w:t>
      </w:r>
      <w:r>
        <w:t xml:space="preserve">Target B2B intent: “MEP contractor London,” “Cat-A fit-out contractor,” “façade / BSA remediation,” “building services sub-contractor South East.” Strong meta titles/descriptions carrying the proposition; schema for Organisation and Service.</w:t>
      </w:r>
    </w:p>
    <w:p>
      <w:pPr>
        <w:pStyle w:val="ListParagraph"/>
        <w:numPr>
          <w:ilvl w:val="0"/>
          <w:numId w:val="2"/>
        </w:numPr>
        <w:spacing w:after="80" w:line="272"/>
      </w:pPr>
      <w:r>
        <w:rPr>
          <w:b/>
          <w:bCs/>
        </w:rPr>
        <w:t xml:space="preserve">Contact routing. </w:t>
      </w:r>
      <w:r>
        <w:t xml:space="preserve">Keep the named-inbox routes (tenders / hello / suppliers / careers); add a structured enquiry form capturing scope, programme and stage.</w:t>
      </w:r>
    </w:p>
    <w:p>
      <w:pPr>
        <w:pStyle w:val="ListParagraph"/>
        <w:numPr>
          <w:ilvl w:val="0"/>
          <w:numId w:val="2"/>
        </w:numPr>
        <w:spacing w:after="80" w:line="272"/>
      </w:pPr>
      <w:r>
        <w:rPr>
          <w:b/>
          <w:bCs/>
        </w:rPr>
        <w:t xml:space="preserve">Analytics &amp; lead capture. </w:t>
      </w:r>
      <w:r>
        <w:t xml:space="preserve">Track enquiries by route; a simple “request our capability / compliance pack” download is a strong lead magnet for Tier-1 PQQ teams.</w:t>
      </w:r>
    </w:p>
    <w:p>
      <w:pPr>
        <w:pStyle w:val="Heading1"/>
      </w:pPr>
      <w:r>
        <w:t xml:space="preserve">11.  Next Steps</w:t>
      </w:r>
    </w:p>
    <w:p>
      <w:pPr>
        <w:pStyle w:val="ListParagraph"/>
        <w:numPr>
          <w:ilvl w:val="0"/>
          <w:numId w:val="3"/>
        </w:numPr>
        <w:spacing w:after="80" w:line="272"/>
      </w:pPr>
      <w:r>
        <w:t xml:space="preserve">Confirm the four-line migration and the launch-minimum page set (Section 5).</w:t>
      </w:r>
    </w:p>
    <w:p>
      <w:pPr>
        <w:pStyle w:val="ListParagraph"/>
        <w:numPr>
          <w:ilvl w:val="0"/>
          <w:numId w:val="3"/>
        </w:numPr>
        <w:spacing w:after="80" w:line="272"/>
      </w:pPr>
      <w:r>
        <w:t xml:space="preserve">Resolve the domain/SSL issue and confirm the canonical URL.</w:t>
      </w:r>
    </w:p>
    <w:p>
      <w:pPr>
        <w:pStyle w:val="ListParagraph"/>
        <w:numPr>
          <w:ilvl w:val="0"/>
          <w:numId w:val="3"/>
        </w:numPr>
        <w:spacing w:after="80" w:line="272"/>
      </w:pPr>
      <w:r>
        <w:t xml:space="preserve">Produce one launch case study in the portfolio template (Section 6).</w:t>
      </w:r>
    </w:p>
    <w:p>
      <w:pPr>
        <w:pStyle w:val="ListParagraph"/>
        <w:numPr>
          <w:ilvl w:val="0"/>
          <w:numId w:val="3"/>
        </w:numPr>
        <w:spacing w:after="80" w:line="272"/>
      </w:pPr>
      <w:r>
        <w:t xml:space="preserve">Assemble the accreditation wall assets and 4–6 client logos cleared for use.</w:t>
      </w:r>
    </w:p>
    <w:p>
      <w:pPr>
        <w:pStyle w:val="ListParagraph"/>
        <w:numPr>
          <w:ilvl w:val="0"/>
          <w:numId w:val="3"/>
        </w:numPr>
        <w:spacing w:after="80" w:line="272"/>
      </w:pPr>
      <w:r>
        <w:t xml:space="preserve">Sign off the home hero proposition and the two audience routes, then build.</w:t>
      </w:r>
    </w:p>
    <w:p>
      <w:pPr>
        <w:spacing w:after="160"/>
      </w:pPr>
      <w:r>
        <w:t xml:space="preserve"/>
      </w:r>
    </w:p>
    <w:p>
      <w:pPr>
        <w:pBdr>
          <w:top w:val="single" w:color="C8A24B" w:sz="8" w:space="6"/>
        </w:pBdr>
        <w:spacing w:before="200"/>
        <w:jc w:val="center"/>
      </w:pPr>
      <w:r>
        <w:rPr>
          <w:color w:val="555555"/>
          <w:sz w:val="16"/>
          <w:szCs w:val="16"/>
        </w:rPr>
        <w:t xml:space="preserve">AMPM Building Services  ·  Website Briefing &amp; Scope  ·  v1.0 June 2026  ·  Strictly Confidential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AMPM Building Services  ·  Website Brief  ·  Strictly Confidential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A24B" w:sz="6" w:space="4"/>
      </w:pBdr>
      <w:spacing w:after="160" w:before="320"/>
      <w:outlineLvl w:val="0"/>
    </w:pPr>
    <w:rPr>
      <w:rFonts w:ascii="Arial" w:cs="Arial" w:eastAsia="Arial" w:hAnsi="Arial"/>
      <w:b/>
      <w:bCs/>
      <w:color w:val="1F3A5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C4A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AMPM Building Services — Website Briefing &amp; Scope</dc:title>
  <dc:creator>AMPM Group</dc:creator>
  <cp:lastModifiedBy>Un-named</cp:lastModifiedBy>
  <cp:revision>1</cp:revision>
  <dcterms:created xsi:type="dcterms:W3CDTF">2026-06-16T15:21:22.174Z</dcterms:created>
  <dcterms:modified xsi:type="dcterms:W3CDTF">2026-06-16T15:21:22.174Z</dcterms:modified>
</cp:coreProperties>
</file>

<file path=docProps/custom.xml><?xml version="1.0" encoding="utf-8"?>
<Properties xmlns="http://schemas.openxmlformats.org/officeDocument/2006/custom-properties" xmlns:vt="http://schemas.openxmlformats.org/officeDocument/2006/docPropsVTypes"/>
</file>