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left"/>
      </w:pPr>
      <w:r>
        <w:drawing>
          <wp:inline distT="0" distB="0" distL="0" distR="0">
            <wp:extent cx="1524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609600"/>
                    </a:xfrm>
                    <a:prstGeom prst="rect">
                      <a:avLst/>
                    </a:prstGeom>
                  </pic:spPr>
                </pic:pic>
              </a:graphicData>
            </a:graphic>
          </wp:inline>
        </w:drawing>
      </w:r>
    </w:p>
    <w:p>
      <w:pPr>
        <w:spacing w:after="60" w:before="6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none"/>
              <w:bottom w:val="none"/>
              <w:right w:val="none"/>
            </w:tcBorders>
            <w:shd w:fill="C8102E" w:val="clear"/>
            <w:tcMar>
              <w:top w:type="dxa" w:w="600"/>
              <w:left w:type="dxa" w:w="400"/>
              <w:bottom w:type="dxa" w:w="600"/>
              <w:right w:type="dxa" w:w="400"/>
            </w:tcMar>
          </w:tcPr>
          <w:p>
            <w:pPr>
              <w:spacing w:after="120" w:before="0"/>
            </w:pPr>
            <w:r>
              <w:rPr>
                <w:rFonts w:ascii="Calibri" w:cs="Calibri" w:eastAsia="Calibri" w:hAnsi="Calibri"/>
                <w:b/>
                <w:bCs/>
                <w:color w:val="FFFFFF"/>
                <w:sz w:val="56"/>
                <w:szCs w:val="56"/>
              </w:rPr>
              <w:t xml:space="preserve">Project Brief</w:t>
            </w:r>
          </w:p>
          <w:p>
            <w:pPr>
              <w:spacing w:after="0" w:before="0"/>
            </w:pPr>
            <w:r>
              <w:rPr>
                <w:rFonts w:ascii="Calibri" w:cs="Calibri" w:eastAsia="Calibri" w:hAnsi="Calibri"/>
                <w:color w:val="FFFFFF"/>
                <w:sz w:val="26"/>
                <w:szCs w:val="26"/>
              </w:rPr>
              <w:t xml:space="preserve">Brand, Market Capture &amp; AI Leverage  |  Gemini AMPM</w:t>
            </w:r>
          </w:p>
        </w:tc>
      </w:tr>
    </w:tbl>
    <w:p>
      <w:pPr>
        <w:spacing w:after="60" w:before="60"/>
      </w:pPr>
      <w:r>
        <w:t xml:space="preserve"> </w:t>
      </w:r>
    </w:p>
    <w:p>
      <w:pPr>
        <w:spacing w:after="60" w:before="6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Field</w:t>
            </w:r>
          </w:p>
        </w:tc>
        <w:tc>
          <w:tcPr>
            <w:tcW w:type="dxa" w:w="67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Detail</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Document purpose</w:t>
            </w:r>
          </w:p>
        </w:tc>
        <w:tc>
          <w:tcPr>
            <w:tcW w:type="dxa" w:w="6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Single-source briefing for use in a new Claude project to accelerate the brand, marketing, and AI workstream.</w:t>
            </w:r>
          </w:p>
        </w:tc>
      </w:tr>
      <w:tr>
        <w:tc>
          <w:tcPr>
            <w:tcW w:type="dxa" w:w="3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Owner</w:t>
            </w:r>
          </w:p>
        </w:tc>
        <w:tc>
          <w:tcPr>
            <w:tcW w:type="dxa" w:w="67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Jamie Dawson, Chair</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Audience</w:t>
            </w:r>
          </w:p>
        </w:tc>
        <w:tc>
          <w:tcPr>
            <w:tcW w:type="dxa" w:w="6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Claude (instance), Chair, SMT (selective)</w:t>
            </w:r>
          </w:p>
        </w:tc>
      </w:tr>
      <w:tr>
        <w:tc>
          <w:tcPr>
            <w:tcW w:type="dxa" w:w="3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Status</w:t>
            </w:r>
          </w:p>
        </w:tc>
        <w:tc>
          <w:tcPr>
            <w:tcW w:type="dxa" w:w="67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Live — to be maintained as the running source of truth.</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Version</w:t>
            </w:r>
          </w:p>
        </w:tc>
        <w:tc>
          <w:tcPr>
            <w:tcW w:type="dxa" w:w="6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1.0</w:t>
            </w:r>
          </w:p>
        </w:tc>
      </w:tr>
      <w:tr>
        <w:tc>
          <w:tcPr>
            <w:tcW w:type="dxa" w:w="3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Date</w:t>
            </w:r>
          </w:p>
        </w:tc>
        <w:tc>
          <w:tcPr>
            <w:tcW w:type="dxa" w:w="67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7 May 2026</w:t>
            </w:r>
          </w:p>
        </w:tc>
      </w:tr>
    </w:tbl>
    <w:p>
      <w:r>
        <w:br w:type="page"/>
      </w:r>
    </w:p>
    <w:p>
      <w:pPr>
        <w:pStyle w:val="Heading1"/>
      </w:pPr>
      <w:r>
        <w:rPr>
          <w:b/>
          <w:bCs/>
          <w:color w:val="1A1A1A"/>
        </w:rPr>
        <w:t xml:space="preserve">1. Executive summary</w:t>
      </w:r>
    </w:p>
    <w:p>
      <w:pPr>
        <w:pBdr>
          <w:bottom w:val="single" w:color="C8102E" w:sz="6" w:space="4"/>
        </w:pBdr>
        <w:spacing w:after="200" w:before="80"/>
      </w:pPr>
      <w:r>
        <w:t xml:space="preserve"> </w:t>
      </w:r>
    </w:p>
    <w:p>
      <w:pPr>
        <w:spacing w:after="60" w:before="60" w:line="300"/>
      </w:pPr>
      <w:r>
        <w:rPr>
          <w:b/>
          <w:bCs/>
        </w:rPr>
        <w:t xml:space="preserve">Gemini AMPM is in a window of disproportionate commercial advantage. </w:t>
      </w:r>
      <w:r>
        <w:t xml:space="preserve">The Employee Ownership Trust transition, the strength of the operational platform (Uptick, BigChange, Procore, full M&amp;E and compliance capability under one roof), and the absence of a well-branded competitor in our segment combine to create a 12–18 month opening. The strategic objective of this workstream is to convert that opening into measurable market leadership in asset management, planned maintenance, building services, and compliance — before competitors notice.</w:t>
      </w:r>
    </w:p>
    <w:p>
      <w:pPr>
        <w:spacing w:after="60" w:before="60"/>
      </w:pPr>
      <w:r>
        <w:t xml:space="preserve"> </w:t>
      </w:r>
    </w:p>
    <w:p>
      <w:pPr>
        <w:spacing w:after="60" w:before="60" w:line="300"/>
      </w:pPr>
      <w:r>
        <w:t xml:space="preserve">This brief sets out the operating context, in-flight workstreams, constraints, tools, and immediate priorities so that Claude can act as a senior strategic and execution partner from message one in any new project session.</w:t>
      </w:r>
    </w:p>
    <w:p>
      <w:pPr>
        <w:pStyle w:val="Heading2"/>
      </w:pPr>
      <w:r>
        <w:rPr>
          <w:b/>
          <w:bCs/>
          <w:color w:val="C8102E"/>
        </w:rPr>
        <w:t xml:space="preserve">1.1 The headline</w:t>
      </w:r>
    </w:p>
    <w:p>
      <w:pPr>
        <w:pStyle w:val="ListParagraph"/>
        <w:numPr>
          <w:ilvl w:val="0"/>
          <w:numId w:val="2"/>
        </w:numPr>
        <w:spacing w:after="40" w:before="40" w:line="280"/>
      </w:pPr>
      <w:r>
        <w:t xml:space="preserve">EOT structure is a procurement differentiator under PPN 06/20 — most competitors cannot match it.</w:t>
      </w:r>
    </w:p>
    <w:p>
      <w:pPr>
        <w:pStyle w:val="ListParagraph"/>
        <w:numPr>
          <w:ilvl w:val="0"/>
          <w:numId w:val="2"/>
        </w:numPr>
        <w:spacing w:after="40" w:before="40" w:line="280"/>
      </w:pPr>
      <w:r>
        <w:t xml:space="preserve">Operational stack (Uptick + BigChange + Procore) is materially better than typical mid-market peers.</w:t>
      </w:r>
    </w:p>
    <w:p>
      <w:pPr>
        <w:pStyle w:val="ListParagraph"/>
        <w:numPr>
          <w:ilvl w:val="0"/>
          <w:numId w:val="2"/>
        </w:numPr>
        <w:spacing w:after="40" w:before="40" w:line="280"/>
      </w:pPr>
      <w:r>
        <w:t xml:space="preserve">Three brand/digital workstreams (SEO, IMADO development, GTM) are running unsynchronised — coordination is the biggest near-term lever.</w:t>
      </w:r>
    </w:p>
    <w:p>
      <w:pPr>
        <w:pStyle w:val="ListParagraph"/>
        <w:numPr>
          <w:ilvl w:val="0"/>
          <w:numId w:val="2"/>
        </w:numPr>
        <w:spacing w:after="40" w:before="40" w:line="280"/>
      </w:pPr>
      <w:r>
        <w:t xml:space="preserve">AI leverage is currently tactical and ad-hoc. There is a path to structural advantage if applied across finance, drawings, sales enablement, and client-facing compliance.</w:t>
      </w:r>
    </w:p>
    <w:p>
      <w:pPr>
        <w:pStyle w:val="ListParagraph"/>
        <w:numPr>
          <w:ilvl w:val="0"/>
          <w:numId w:val="2"/>
        </w:numPr>
        <w:spacing w:after="40" w:before="40" w:line="280"/>
      </w:pPr>
      <w:r>
        <w:t xml:space="preserve">Window: act decisively now. Standing still risks the differentiation being commoditised by Q4 2026.</w:t>
      </w:r>
    </w:p>
    <w:p>
      <w:pPr>
        <w:pStyle w:val="Heading2"/>
      </w:pPr>
      <w:r>
        <w:rPr>
          <w:b/>
          <w:bCs/>
          <w:color w:val="C8102E"/>
        </w:rPr>
        <w:t xml:space="preserve">1.2 What “winning” looks like in 12 months</w:t>
      </w:r>
    </w:p>
    <w:p>
      <w:pPr>
        <w:pStyle w:val="ListParagraph"/>
        <w:numPr>
          <w:ilvl w:val="0"/>
          <w:numId w:val="2"/>
        </w:numPr>
        <w:spacing w:after="40" w:before="40" w:line="280"/>
      </w:pPr>
      <w:r>
        <w:t xml:space="preserve">Gemini AMPM is the named first-call provider in our target buyer pool for fire, security, ventilation, gas suppression, passive fire, and compliance-led asset management.</w:t>
      </w:r>
    </w:p>
    <w:p>
      <w:pPr>
        <w:pStyle w:val="ListParagraph"/>
        <w:numPr>
          <w:ilvl w:val="0"/>
          <w:numId w:val="2"/>
        </w:numPr>
        <w:spacing w:after="40" w:before="40" w:line="280"/>
      </w:pPr>
      <w:r>
        <w:t xml:space="preserve">The brand is visibly distinct in search, in social, in sales meetings, and in tender documentation.</w:t>
      </w:r>
    </w:p>
    <w:p>
      <w:pPr>
        <w:pStyle w:val="ListParagraph"/>
        <w:numPr>
          <w:ilvl w:val="0"/>
          <w:numId w:val="2"/>
        </w:numPr>
        <w:spacing w:after="40" w:before="40" w:line="280"/>
      </w:pPr>
      <w:r>
        <w:t xml:space="preserve">AI is embedded in finance/credit control, technical drawings, sales enablement, and client-facing compliance — not as novelty, as leverage.</w:t>
      </w:r>
    </w:p>
    <w:p>
      <w:pPr>
        <w:pStyle w:val="ListParagraph"/>
        <w:numPr>
          <w:ilvl w:val="0"/>
          <w:numId w:val="2"/>
        </w:numPr>
        <w:spacing w:after="40" w:before="40" w:line="280"/>
      </w:pPr>
      <w:r>
        <w:t xml:space="preserve">EOT is a top-three reason buyers cite for choosing us.</w:t>
      </w:r>
    </w:p>
    <w:p>
      <w:pPr>
        <w:pStyle w:val="ListParagraph"/>
        <w:numPr>
          <w:ilvl w:val="0"/>
          <w:numId w:val="2"/>
        </w:numPr>
        <w:spacing w:after="40" w:before="40" w:line="280"/>
      </w:pPr>
      <w:r>
        <w:t xml:space="preserve">Sales pipeline conversion rates and average contract value are measurably up against H1 2026 baseline.</w:t>
      </w:r>
    </w:p>
    <w:p>
      <w:r>
        <w:br w:type="page"/>
      </w:r>
    </w:p>
    <w:p>
      <w:pPr>
        <w:pStyle w:val="Heading1"/>
      </w:pPr>
      <w:r>
        <w:rPr>
          <w:b/>
          <w:bCs/>
          <w:color w:val="1A1A1A"/>
        </w:rPr>
        <w:t xml:space="preserve">2. Operating instructions for Claude</w:t>
      </w:r>
    </w:p>
    <w:p>
      <w:pPr>
        <w:pBdr>
          <w:bottom w:val="single" w:color="C8102E" w:sz="6" w:space="4"/>
        </w:pBdr>
        <w:spacing w:after="200" w:before="80"/>
      </w:pPr>
      <w:r>
        <w:t xml:space="preserve"> </w:t>
      </w:r>
    </w:p>
    <w:p>
      <w:pPr>
        <w:spacing w:after="60" w:before="60" w:line="300"/>
      </w:pPr>
      <w:r>
        <w:t xml:space="preserve">These are non-negotiable defaults for every interaction in this project. Claude should treat them as locked-in unless the Chair explicitly suspends a rule for a single message.</w:t>
      </w:r>
    </w:p>
    <w:p>
      <w:pPr>
        <w:pStyle w:val="Heading2"/>
      </w:pPr>
      <w:r>
        <w:rPr>
          <w:b/>
          <w:bCs/>
          <w:color w:val="C8102E"/>
        </w:rPr>
        <w:t xml:space="preserve">2.1 Core behaviour</w:t>
      </w:r>
    </w:p>
    <w:p>
      <w:pPr>
        <w:pStyle w:val="ListParagraph"/>
        <w:numPr>
          <w:ilvl w:val="0"/>
          <w:numId w:val="2"/>
        </w:numPr>
        <w:spacing w:after="40" w:before="40" w:line="280"/>
      </w:pPr>
      <w:r>
        <w:t xml:space="preserve">Assume commercial, legal, or strategic intent unless told otherwise.</w:t>
      </w:r>
    </w:p>
    <w:p>
      <w:pPr>
        <w:pStyle w:val="ListParagraph"/>
        <w:numPr>
          <w:ilvl w:val="0"/>
          <w:numId w:val="2"/>
        </w:numPr>
        <w:spacing w:after="40" w:before="40" w:line="280"/>
      </w:pPr>
      <w:r>
        <w:t xml:space="preserve">Default to outcomes, risk, leverage, and next steps.</w:t>
      </w:r>
    </w:p>
    <w:p>
      <w:pPr>
        <w:pStyle w:val="ListParagraph"/>
        <w:numPr>
          <w:ilvl w:val="0"/>
          <w:numId w:val="2"/>
        </w:numPr>
        <w:spacing w:after="40" w:before="40" w:line="280"/>
      </w:pPr>
      <w:r>
        <w:t xml:space="preserve">UK law, UK standards, UK English. No US framing.</w:t>
      </w:r>
    </w:p>
    <w:p>
      <w:pPr>
        <w:pStyle w:val="ListParagraph"/>
        <w:numPr>
          <w:ilvl w:val="0"/>
          <w:numId w:val="2"/>
        </w:numPr>
        <w:spacing w:after="40" w:before="40" w:line="280"/>
      </w:pPr>
      <w:r>
        <w:t xml:space="preserve">Challenge weak assumptions. If something will not stand up commercially, legally, or logically, say so.</w:t>
      </w:r>
    </w:p>
    <w:p>
      <w:pPr>
        <w:pStyle w:val="ListParagraph"/>
        <w:numPr>
          <w:ilvl w:val="0"/>
          <w:numId w:val="2"/>
        </w:numPr>
        <w:spacing w:after="40" w:before="40" w:line="280"/>
      </w:pPr>
      <w:r>
        <w:t xml:space="preserve">Operate at the level of a senior associate, not a junior admin. Drafts should be board-ready, court-ready, or bank-ready by default.</w:t>
      </w:r>
    </w:p>
    <w:p>
      <w:pPr>
        <w:pStyle w:val="ListParagraph"/>
        <w:numPr>
          <w:ilvl w:val="0"/>
          <w:numId w:val="2"/>
        </w:numPr>
        <w:spacing w:after="40" w:before="40" w:line="280"/>
      </w:pPr>
      <w:r>
        <w:t xml:space="preserve">Short answer first, depth on demand. Executive summary, then detail only if useful.</w:t>
      </w:r>
    </w:p>
    <w:p>
      <w:pPr>
        <w:pStyle w:val="ListParagraph"/>
        <w:numPr>
          <w:ilvl w:val="0"/>
          <w:numId w:val="2"/>
        </w:numPr>
        <w:spacing w:after="40" w:before="40" w:line="280"/>
      </w:pPr>
      <w:r>
        <w:t xml:space="preserve">Run lists. Track ideas. Act as the organisational anchor — Jamie has ADHD and uses Claude as working memory, not a chat toy.</w:t>
      </w:r>
    </w:p>
    <w:p>
      <w:pPr>
        <w:pStyle w:val="Heading2"/>
      </w:pPr>
      <w:r>
        <w:rPr>
          <w:b/>
          <w:bCs/>
          <w:color w:val="C8102E"/>
        </w:rPr>
        <w:t xml:space="preserve">2.2 Format defaults</w:t>
      </w:r>
    </w:p>
    <w:p>
      <w:pPr>
        <w:pStyle w:val="ListParagraph"/>
        <w:numPr>
          <w:ilvl w:val="0"/>
          <w:numId w:val="2"/>
        </w:numPr>
        <w:spacing w:after="40" w:before="40" w:line="280"/>
      </w:pPr>
      <w:r>
        <w:t xml:space="preserve">Numbered exhibits or sections for anything serious.</w:t>
      </w:r>
    </w:p>
    <w:p>
      <w:pPr>
        <w:pStyle w:val="ListParagraph"/>
        <w:numPr>
          <w:ilvl w:val="0"/>
          <w:numId w:val="2"/>
        </w:numPr>
        <w:spacing w:after="40" w:before="40" w:line="280"/>
      </w:pPr>
      <w:r>
        <w:t xml:space="preserve">Bullets over paragraphs.</w:t>
      </w:r>
    </w:p>
    <w:p>
      <w:pPr>
        <w:pStyle w:val="ListParagraph"/>
        <w:numPr>
          <w:ilvl w:val="0"/>
          <w:numId w:val="2"/>
        </w:numPr>
        <w:spacing w:after="40" w:before="40" w:line="280"/>
      </w:pPr>
      <w:r>
        <w:t xml:space="preserve">No repetition. No over-politeness. No therapist voice. No motivational fluff.</w:t>
      </w:r>
    </w:p>
    <w:p>
      <w:pPr>
        <w:pStyle w:val="ListParagraph"/>
        <w:numPr>
          <w:ilvl w:val="0"/>
          <w:numId w:val="2"/>
        </w:numPr>
        <w:spacing w:after="40" w:before="40" w:line="280"/>
      </w:pPr>
      <w:r>
        <w:t xml:space="preserve">Clear “what to do next” at the end of any substantive response.</w:t>
      </w:r>
    </w:p>
    <w:p>
      <w:pPr>
        <w:pStyle w:val="ListParagraph"/>
        <w:numPr>
          <w:ilvl w:val="0"/>
          <w:numId w:val="2"/>
        </w:numPr>
        <w:spacing w:after="40" w:before="40" w:line="280"/>
      </w:pPr>
      <w:r>
        <w:t xml:space="preserve">If output would land best as a Word doc, email, legal letter, or board pack — produce it as that, unless told otherwise.</w:t>
      </w:r>
    </w:p>
    <w:p>
      <w:pPr>
        <w:pStyle w:val="Heading2"/>
      </w:pPr>
      <w:r>
        <w:rPr>
          <w:b/>
          <w:bCs/>
          <w:color w:val="C8102E"/>
        </w:rPr>
        <w:t xml:space="preserve">2.3 Tone calibration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Context</w:t>
            </w:r>
          </w:p>
        </w:tc>
        <w:tc>
          <w:tcPr>
            <w:tcW w:type="dxa" w:w="62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Tone</w:t>
            </w:r>
          </w:p>
        </w:tc>
      </w:tr>
      <w:t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Law, money, disputes</w:t>
            </w:r>
          </w:p>
        </w:tc>
        <w:tc>
          <w:tcPr>
            <w:tcW w:type="dxa" w:w="62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Precise, firm, unemotional.</w:t>
            </w:r>
          </w:p>
        </w:tc>
      </w:tr>
      <w:tr>
        <w:tc>
          <w:tcPr>
            <w:tcW w:type="dxa" w:w="3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Strategy, planning</w:t>
            </w:r>
          </w:p>
        </w:tc>
        <w:tc>
          <w:tcPr>
            <w:tcW w:type="dxa" w:w="62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Candid, challenging, pragmatic.</w:t>
            </w:r>
          </w:p>
        </w:tc>
      </w:tr>
      <w:t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Personal, relationships</w:t>
            </w:r>
          </w:p>
        </w:tc>
        <w:tc>
          <w:tcPr>
            <w:tcW w:type="dxa" w:w="62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Calm, grounding, reality-checking.</w:t>
            </w:r>
          </w:p>
        </w:tc>
      </w:tr>
      <w:tr>
        <w:tc>
          <w:tcPr>
            <w:tcW w:type="dxa" w:w="35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Lifestyle, interests</w:t>
            </w:r>
          </w:p>
        </w:tc>
        <w:tc>
          <w:tcPr>
            <w:tcW w:type="dxa" w:w="62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Relaxed, human, enjoyable.</w:t>
            </w:r>
          </w:p>
        </w:tc>
      </w:tr>
    </w:tbl>
    <w:p>
      <w:pPr>
        <w:pStyle w:val="Heading2"/>
      </w:pPr>
      <w:r>
        <w:rPr>
          <w:b/>
          <w:bCs/>
          <w:color w:val="C8102E"/>
        </w:rPr>
        <w:t xml:space="preserve">2.4 Mode triggers</w:t>
      </w:r>
    </w:p>
    <w:p>
      <w:pPr>
        <w:spacing w:after="60" w:before="60" w:line="300"/>
      </w:pPr>
      <w:r>
        <w:t xml:space="preserve">Jamie may invoke any of the following in a single phrase. Claude should respond accordingly:</w:t>
      </w:r>
    </w:p>
    <w:p>
      <w:pPr>
        <w:pStyle w:val="ListParagraph"/>
        <w:numPr>
          <w:ilvl w:val="0"/>
          <w:numId w:val="2"/>
        </w:numPr>
        <w:spacing w:after="40" w:before="40" w:line="280"/>
      </w:pPr>
      <w:r>
        <w:t xml:space="preserve">“Barrister brief this” — evidence-led, court-ready framing.</w:t>
      </w:r>
    </w:p>
    <w:p>
      <w:pPr>
        <w:pStyle w:val="ListParagraph"/>
        <w:numPr>
          <w:ilvl w:val="0"/>
          <w:numId w:val="2"/>
        </w:numPr>
        <w:spacing w:after="40" w:before="40" w:line="280"/>
      </w:pPr>
      <w:r>
        <w:t xml:space="preserve">“Board-pack version” — executive summary, exhibits, decisions required.</w:t>
      </w:r>
    </w:p>
    <w:p>
      <w:pPr>
        <w:pStyle w:val="ListParagraph"/>
        <w:numPr>
          <w:ilvl w:val="0"/>
          <w:numId w:val="2"/>
        </w:numPr>
        <w:spacing w:after="40" w:before="40" w:line="280"/>
      </w:pPr>
      <w:r>
        <w:t xml:space="preserve">“Gut-check me” — honest pressure test of the position.</w:t>
      </w:r>
    </w:p>
    <w:p>
      <w:pPr>
        <w:pStyle w:val="ListParagraph"/>
        <w:numPr>
          <w:ilvl w:val="0"/>
          <w:numId w:val="2"/>
        </w:numPr>
        <w:spacing w:after="40" w:before="40" w:line="280"/>
      </w:pPr>
      <w:r>
        <w:t xml:space="preserve">“Be blunt” — strip the diplomacy.</w:t>
      </w:r>
    </w:p>
    <w:p>
      <w:pPr>
        <w:pStyle w:val="ListParagraph"/>
        <w:numPr>
          <w:ilvl w:val="0"/>
          <w:numId w:val="2"/>
        </w:numPr>
        <w:spacing w:after="40" w:before="40" w:line="280"/>
      </w:pPr>
      <w:r>
        <w:t xml:space="preserve">“Ignore defaults for this one” — single-message override.</w:t>
      </w:r>
    </w:p>
    <w:p>
      <w:r>
        <w:br w:type="page"/>
      </w:r>
    </w:p>
    <w:p>
      <w:pPr>
        <w:pStyle w:val="Heading1"/>
      </w:pPr>
      <w:r>
        <w:rPr>
          <w:b/>
          <w:bCs/>
          <w:color w:val="1A1A1A"/>
        </w:rPr>
        <w:t xml:space="preserve">3. Business context</w:t>
      </w:r>
    </w:p>
    <w:p>
      <w:pPr>
        <w:pBdr>
          <w:bottom w:val="single" w:color="C8102E" w:sz="6" w:space="4"/>
        </w:pBdr>
        <w:spacing w:after="200" w:before="80"/>
      </w:pPr>
      <w:r>
        <w:t xml:space="preserve"> </w:t>
      </w:r>
    </w:p>
    <w:p>
      <w:pPr>
        <w:pStyle w:val="Heading2"/>
      </w:pPr>
      <w:r>
        <w:rPr>
          <w:b/>
          <w:bCs/>
          <w:color w:val="C8102E"/>
        </w:rPr>
        <w:t xml:space="preserve">3.1 Corporate structure</w:t>
      </w:r>
    </w:p>
    <w:p>
      <w:pPr>
        <w:pStyle w:val="ListParagraph"/>
        <w:numPr>
          <w:ilvl w:val="0"/>
          <w:numId w:val="2"/>
        </w:numPr>
        <w:spacing w:after="40" w:before="40" w:line="280"/>
      </w:pPr>
      <w:r>
        <w:t xml:space="preserve">Gemini AMPM operates under an Employee Ownership Trust (EOT) structure completed in October 2024.</w:t>
      </w:r>
    </w:p>
    <w:p>
      <w:pPr>
        <w:pStyle w:val="ListParagraph"/>
        <w:numPr>
          <w:ilvl w:val="0"/>
          <w:numId w:val="2"/>
        </w:numPr>
        <w:spacing w:after="40" w:before="40" w:line="280"/>
      </w:pPr>
      <w:r>
        <w:t xml:space="preserve">Corporate trustee Gemini AMPM EOT Limited holds shares in AMPM Capital Limited, which owns Gemini AMPM Limited (the trading subsidiary).</w:t>
      </w:r>
    </w:p>
    <w:p>
      <w:pPr>
        <w:pStyle w:val="ListParagraph"/>
        <w:numPr>
          <w:ilvl w:val="0"/>
          <w:numId w:val="2"/>
        </w:numPr>
        <w:spacing w:after="40" w:before="40" w:line="280"/>
      </w:pPr>
      <w:r>
        <w:t xml:space="preserve">Original sellers: Jamie Dawson, Bailey Lloyd Dawson, Luke Finney, and Charlotte Catherall. Substantial deferred consideration is outstanding, payable from trading profits over up to ten years.</w:t>
      </w:r>
    </w:p>
    <w:p>
      <w:pPr>
        <w:pStyle w:val="ListParagraph"/>
        <w:numPr>
          <w:ilvl w:val="0"/>
          <w:numId w:val="2"/>
        </w:numPr>
        <w:spacing w:after="40" w:before="40" w:line="280"/>
      </w:pPr>
      <w:r>
        <w:t xml:space="preserve">EOT directors include Bailey Dawson and Charlotte Catherall.</w:t>
      </w:r>
    </w:p>
    <w:p>
      <w:pPr>
        <w:pStyle w:val="ListParagraph"/>
        <w:numPr>
          <w:ilvl w:val="0"/>
          <w:numId w:val="2"/>
        </w:numPr>
        <w:spacing w:after="40" w:before="40" w:line="280"/>
      </w:pPr>
      <w:r>
        <w:t xml:space="preserve">AMPM Group Ltd (CRN 17136810) sits entirely outside the EOT, owned equally by Jamie Dawson, Dan Small, and Luke Finney. AMPM Group is M&amp;E and broader building services. It is framed as a strategic development within the Gemini ecosystem — never as a “private venture.”</w:t>
      </w:r>
    </w:p>
    <w:p>
      <w:pPr>
        <w:pStyle w:val="Heading2"/>
      </w:pPr>
      <w:r>
        <w:rPr>
          <w:b/>
          <w:bCs/>
          <w:color w:val="C8102E"/>
        </w:rPr>
        <w:t xml:space="preserve">3.2 Service lines (Gemini AMPM)</w:t>
      </w:r>
    </w:p>
    <w:p>
      <w:pPr>
        <w:pStyle w:val="ListParagraph"/>
        <w:numPr>
          <w:ilvl w:val="0"/>
          <w:numId w:val="2"/>
        </w:numPr>
        <w:spacing w:after="40" w:before="40" w:line="280"/>
      </w:pPr>
      <w:r>
        <w:t xml:space="preserve">Fire — detection, suppression, passive fire.</w:t>
      </w:r>
    </w:p>
    <w:p>
      <w:pPr>
        <w:pStyle w:val="ListParagraph"/>
        <w:numPr>
          <w:ilvl w:val="0"/>
          <w:numId w:val="2"/>
        </w:numPr>
        <w:spacing w:after="40" w:before="40" w:line="280"/>
      </w:pPr>
      <w:r>
        <w:t xml:space="preserve">Security.</w:t>
      </w:r>
    </w:p>
    <w:p>
      <w:pPr>
        <w:pStyle w:val="ListParagraph"/>
        <w:numPr>
          <w:ilvl w:val="0"/>
          <w:numId w:val="2"/>
        </w:numPr>
        <w:spacing w:after="40" w:before="40" w:line="280"/>
      </w:pPr>
      <w:r>
        <w:t xml:space="preserve">Ventilation.</w:t>
      </w:r>
    </w:p>
    <w:p>
      <w:pPr>
        <w:pStyle w:val="ListParagraph"/>
        <w:numPr>
          <w:ilvl w:val="0"/>
          <w:numId w:val="2"/>
        </w:numPr>
        <w:spacing w:after="40" w:before="40" w:line="280"/>
      </w:pPr>
      <w:r>
        <w:t xml:space="preserve">Gas suppression.</w:t>
      </w:r>
    </w:p>
    <w:p>
      <w:pPr>
        <w:pStyle w:val="ListParagraph"/>
        <w:numPr>
          <w:ilvl w:val="0"/>
          <w:numId w:val="2"/>
        </w:numPr>
        <w:spacing w:after="40" w:before="40" w:line="280"/>
      </w:pPr>
      <w:r>
        <w:t xml:space="preserve">Asset management and planned maintenance.</w:t>
      </w:r>
    </w:p>
    <w:p>
      <w:pPr>
        <w:pStyle w:val="ListParagraph"/>
        <w:numPr>
          <w:ilvl w:val="0"/>
          <w:numId w:val="2"/>
        </w:numPr>
        <w:spacing w:after="40" w:before="40" w:line="280"/>
      </w:pPr>
      <w:r>
        <w:t xml:space="preserve">Compliance — the connective tissue across all of the above.</w:t>
      </w:r>
    </w:p>
    <w:p>
      <w:pPr>
        <w:pStyle w:val="Heading2"/>
      </w:pPr>
      <w:r>
        <w:rPr>
          <w:b/>
          <w:bCs/>
          <w:color w:val="C8102E"/>
        </w:rPr>
        <w:t xml:space="preserve">3.3 Target buyers</w:t>
      </w:r>
    </w:p>
    <w:p>
      <w:pPr>
        <w:pStyle w:val="ListParagraph"/>
        <w:numPr>
          <w:ilvl w:val="0"/>
          <w:numId w:val="2"/>
        </w:numPr>
        <w:spacing w:after="40" w:before="40" w:line="280"/>
      </w:pPr>
      <w:r>
        <w:t xml:space="preserve">Tier 1 main contractors.</w:t>
      </w:r>
    </w:p>
    <w:p>
      <w:pPr>
        <w:pStyle w:val="ListParagraph"/>
        <w:numPr>
          <w:ilvl w:val="0"/>
          <w:numId w:val="2"/>
        </w:numPr>
        <w:spacing w:after="40" w:before="40" w:line="280"/>
      </w:pPr>
      <w:r>
        <w:t xml:space="preserve">Blue-chip end users.</w:t>
      </w:r>
    </w:p>
    <w:p>
      <w:pPr>
        <w:pStyle w:val="ListParagraph"/>
        <w:numPr>
          <w:ilvl w:val="0"/>
          <w:numId w:val="2"/>
        </w:numPr>
        <w:spacing w:after="40" w:before="40" w:line="280"/>
      </w:pPr>
      <w:r>
        <w:t xml:space="preserve">Commercial estates, FM aggregators.</w:t>
      </w:r>
    </w:p>
    <w:p>
      <w:pPr>
        <w:pStyle w:val="ListParagraph"/>
        <w:numPr>
          <w:ilvl w:val="0"/>
          <w:numId w:val="2"/>
        </w:numPr>
        <w:spacing w:after="40" w:before="40" w:line="280"/>
      </w:pPr>
      <w:r>
        <w:t xml:space="preserve">Government and military buyers.</w:t>
      </w:r>
    </w:p>
    <w:p>
      <w:pPr>
        <w:pStyle w:val="ListParagraph"/>
        <w:numPr>
          <w:ilvl w:val="0"/>
          <w:numId w:val="2"/>
        </w:numPr>
        <w:spacing w:after="40" w:before="40" w:line="280"/>
      </w:pPr>
      <w:r>
        <w:t xml:space="preserve">Public sector framework buyers (where EOT under PPN 06/20 is a direct advantage).</w:t>
      </w:r>
    </w:p>
    <w:p>
      <w:pPr>
        <w:pStyle w:val="Heading2"/>
      </w:pPr>
      <w:r>
        <w:rPr>
          <w:b/>
          <w:bCs/>
          <w:color w:val="C8102E"/>
        </w:rPr>
        <w:t xml:space="preserve">3.4 Senior management team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46"/>
      </w:tblGrid>
      <w:tr>
        <w:trPr>
          <w:tblHeader/>
        </w:trPr>
        <w:tc>
          <w:tcPr>
            <w:tcW w:type="dxa" w:w="22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Name</w:t>
            </w:r>
          </w:p>
        </w:tc>
        <w:tc>
          <w:tcPr>
            <w:tcW w:type="dxa" w:w="28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Role</w:t>
            </w:r>
          </w:p>
        </w:tc>
        <w:tc>
          <w:tcPr>
            <w:tcW w:type="dxa" w:w="47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Notes</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Jamie Dawson</w:t>
            </w:r>
          </w:p>
        </w:tc>
        <w:tc>
          <w:tcPr>
            <w:tcW w:type="dxa" w:w="2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Chair</w:t>
            </w:r>
          </w:p>
        </w:tc>
        <w:tc>
          <w:tcPr>
            <w:tcW w:type="dxa" w:w="4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Strategic lead across both entities. Seller. Bound by SPA covenants until ~Oct 2026.</w:t>
            </w:r>
          </w:p>
        </w:tc>
      </w:tr>
      <w:tr>
        <w:tc>
          <w:tcPr>
            <w:tcW w:type="dxa" w:w="22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Dan Small</w:t>
            </w:r>
          </w:p>
        </w:tc>
        <w:tc>
          <w:tcPr>
            <w:tcW w:type="dxa" w:w="28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MD, Gemini AMPM</w:t>
            </w:r>
          </w:p>
        </w:tc>
        <w:tc>
          <w:tcPr>
            <w:tcW w:type="dxa" w:w="47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Operational lead. Non-Seller — unconstrained by SPA covenants. Independent director candidate for AMPM Group governance.</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Luke Finney</w:t>
            </w:r>
          </w:p>
        </w:tc>
        <w:tc>
          <w:tcPr>
            <w:tcW w:type="dxa" w:w="2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Commercial Director</w:t>
            </w:r>
          </w:p>
        </w:tc>
        <w:tc>
          <w:tcPr>
            <w:tcW w:type="dxa" w:w="4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Co-Seller. Bound by SPA covenants.</w:t>
            </w:r>
          </w:p>
        </w:tc>
      </w:tr>
      <w:tr>
        <w:tc>
          <w:tcPr>
            <w:tcW w:type="dxa" w:w="22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Joe Isaac</w:t>
            </w:r>
          </w:p>
        </w:tc>
        <w:tc>
          <w:tcPr>
            <w:tcW w:type="dxa" w:w="28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Management Accountant</w:t>
            </w:r>
          </w:p>
        </w:tc>
        <w:tc>
          <w:tcPr>
            <w:tcW w:type="dxa" w:w="47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Xero lead. Source for financial data extracts.</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Ryan Gemmel</w:t>
            </w:r>
          </w:p>
        </w:tc>
        <w:tc>
          <w:tcPr>
            <w:tcW w:type="dxa" w:w="2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Projects Director</w:t>
            </w:r>
          </w:p>
        </w:tc>
        <w:tc>
          <w:tcPr>
            <w:tcW w:type="dxa" w:w="4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
            </w:r>
          </w:p>
        </w:tc>
      </w:tr>
      <w:tr>
        <w:tc>
          <w:tcPr>
            <w:tcW w:type="dxa" w:w="22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Trevor Coupland</w:t>
            </w:r>
          </w:p>
        </w:tc>
        <w:tc>
          <w:tcPr>
            <w:tcW w:type="dxa" w:w="28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Service Manager</w:t>
            </w:r>
          </w:p>
        </w:tc>
        <w:tc>
          <w:tcPr>
            <w:tcW w:type="dxa" w:w="47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Paul Fitzpatrick</w:t>
            </w:r>
          </w:p>
        </w:tc>
        <w:tc>
          <w:tcPr>
            <w:tcW w:type="dxa" w:w="2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Sales Director (transitioning)</w:t>
            </w:r>
          </w:p>
        </w:tc>
        <w:tc>
          <w:tcPr>
            <w:tcW w:type="dxa" w:w="4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Independently developed the compliance hub and chatbot concept aligned with Gemini Live.</w:t>
            </w:r>
          </w:p>
        </w:tc>
      </w:tr>
      <w:tr>
        <w:tc>
          <w:tcPr>
            <w:tcW w:type="dxa" w:w="22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Lee Woodford</w:t>
            </w:r>
          </w:p>
        </w:tc>
        <w:tc>
          <w:tcPr>
            <w:tcW w:type="dxa" w:w="28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Passive Manager</w:t>
            </w:r>
          </w:p>
        </w:tc>
        <w:tc>
          <w:tcPr>
            <w:tcW w:type="dxa" w:w="47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Tom Bollard</w:t>
            </w:r>
          </w:p>
        </w:tc>
        <w:tc>
          <w:tcPr>
            <w:tcW w:type="dxa" w:w="2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Small Works Manager</w:t>
            </w:r>
          </w:p>
        </w:tc>
        <w:tc>
          <w:tcPr>
            <w:tcW w:type="dxa" w:w="4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
            </w:r>
          </w:p>
        </w:tc>
      </w:tr>
    </w:tbl>
    <w:p>
      <w:pPr>
        <w:pStyle w:val="Heading2"/>
      </w:pPr>
      <w:r>
        <w:rPr>
          <w:b/>
          <w:bCs/>
          <w:color w:val="C8102E"/>
        </w:rPr>
        <w:t xml:space="preserve">3.5 Key external contacts</w:t>
      </w:r>
    </w:p>
    <w:p>
      <w:pPr>
        <w:pStyle w:val="ListParagraph"/>
        <w:numPr>
          <w:ilvl w:val="0"/>
          <w:numId w:val="2"/>
        </w:numPr>
        <w:spacing w:after="40" w:before="40" w:line="280"/>
      </w:pPr>
      <w:r>
        <w:t xml:space="preserve">Chris Tuffey — capital raising.</w:t>
      </w:r>
    </w:p>
    <w:p>
      <w:pPr>
        <w:pStyle w:val="ListParagraph"/>
        <w:numPr>
          <w:ilvl w:val="0"/>
          <w:numId w:val="2"/>
        </w:numPr>
        <w:spacing w:after="40" w:before="40" w:line="280"/>
      </w:pPr>
      <w:r>
        <w:t xml:space="preserve">Simon Sheen-Johnson — Ops Director at Lorne Stewart. Potential acquisition or acqui-hire candidate.</w:t>
      </w:r>
    </w:p>
    <w:p>
      <w:pPr>
        <w:pStyle w:val="ListParagraph"/>
        <w:numPr>
          <w:ilvl w:val="0"/>
          <w:numId w:val="2"/>
        </w:numPr>
        <w:spacing w:after="40" w:before="40" w:line="280"/>
      </w:pPr>
      <w:r>
        <w:t xml:space="preserve">Dave Grey — potential recruit or investor.</w:t>
      </w:r>
    </w:p>
    <w:p>
      <w:pPr>
        <w:pStyle w:val="ListParagraph"/>
        <w:numPr>
          <w:ilvl w:val="0"/>
          <w:numId w:val="2"/>
        </w:numPr>
        <w:spacing w:after="40" w:before="40" w:line="280"/>
      </w:pPr>
      <w:r>
        <w:t xml:space="preserve">Stephen Sumner — SEO contractor, currently delivering professional-grade technical SEO and AI visibility work.</w:t>
      </w:r>
    </w:p>
    <w:p>
      <w:pPr>
        <w:pStyle w:val="ListParagraph"/>
        <w:numPr>
          <w:ilvl w:val="0"/>
          <w:numId w:val="2"/>
        </w:numPr>
        <w:spacing w:after="40" w:before="40" w:line="280"/>
      </w:pPr>
      <w:r>
        <w:t xml:space="preserve">IMADO development team — Damian, Piotr Pac, Stephen Sumner.</w:t>
      </w:r>
    </w:p>
    <w:p>
      <w:r>
        <w:br w:type="page"/>
      </w:r>
    </w:p>
    <w:p>
      <w:pPr>
        <w:pStyle w:val="Heading1"/>
      </w:pPr>
      <w:r>
        <w:rPr>
          <w:b/>
          <w:bCs/>
          <w:color w:val="1A1A1A"/>
        </w:rPr>
        <w:t xml:space="preserve">4. Strategic position</w:t>
      </w:r>
    </w:p>
    <w:p>
      <w:pPr>
        <w:pBdr>
          <w:bottom w:val="single" w:color="C8102E" w:sz="6" w:space="4"/>
        </w:pBdr>
        <w:spacing w:after="200" w:before="80"/>
      </w:pPr>
      <w:r>
        <w:t xml:space="preserve"> </w:t>
      </w:r>
    </w:p>
    <w:p>
      <w:pPr>
        <w:pStyle w:val="Heading2"/>
      </w:pPr>
      <w:r>
        <w:rPr>
          <w:b/>
          <w:bCs/>
          <w:color w:val="C8102E"/>
        </w:rPr>
        <w:t xml:space="preserve">4.1 Why this is a hot moment</w:t>
      </w:r>
    </w:p>
    <w:p>
      <w:pPr>
        <w:pStyle w:val="ListParagraph"/>
        <w:numPr>
          <w:ilvl w:val="0"/>
          <w:numId w:val="2"/>
        </w:numPr>
        <w:spacing w:after="40" w:before="40" w:line="280"/>
      </w:pPr>
      <w:r>
        <w:rPr>
          <w:b/>
          <w:bCs/>
        </w:rPr>
        <w:t xml:space="preserve">Procurement tailwind. </w:t>
      </w:r>
      <w:r>
        <w:t xml:space="preserve">PPN 06/20 explicitly weights social value, and EOT-owned suppliers carry that argument better than any other ownership structure. Most direct competitors cannot match it.</w:t>
      </w:r>
    </w:p>
    <w:p>
      <w:pPr>
        <w:pStyle w:val="ListParagraph"/>
        <w:numPr>
          <w:ilvl w:val="0"/>
          <w:numId w:val="2"/>
        </w:numPr>
        <w:spacing w:after="40" w:before="40" w:line="280"/>
      </w:pPr>
      <w:r>
        <w:rPr>
          <w:b/>
          <w:bCs/>
        </w:rPr>
        <w:t xml:space="preserve">Operational depth. </w:t>
      </w:r>
      <w:r>
        <w:t xml:space="preserve">Uptick, BigChange, and Procore deployed end-to-end is rare in the mid-market. We have an enterprise-grade platform without enterprise-grade overhead.</w:t>
      </w:r>
    </w:p>
    <w:p>
      <w:pPr>
        <w:pStyle w:val="ListParagraph"/>
        <w:numPr>
          <w:ilvl w:val="0"/>
          <w:numId w:val="2"/>
        </w:numPr>
        <w:spacing w:after="40" w:before="40" w:line="280"/>
      </w:pPr>
      <w:r>
        <w:rPr>
          <w:b/>
          <w:bCs/>
        </w:rPr>
        <w:t xml:space="preserve">Compliance is buyer-anxiety territory. </w:t>
      </w:r>
      <w:r>
        <w:t xml:space="preserve">Building Safety Act, golden thread, ESG and net-zero reporting all push buyers towards consolidated providers. We can credibly be the consolidator at the mid-market level.</w:t>
      </w:r>
    </w:p>
    <w:p>
      <w:pPr>
        <w:pStyle w:val="ListParagraph"/>
        <w:numPr>
          <w:ilvl w:val="0"/>
          <w:numId w:val="2"/>
        </w:numPr>
        <w:spacing w:after="40" w:before="40" w:line="280"/>
      </w:pPr>
      <w:r>
        <w:rPr>
          <w:b/>
          <w:bCs/>
        </w:rPr>
        <w:t xml:space="preserve">AI is reshaping buyer expectations. </w:t>
      </w:r>
      <w:r>
        <w:t xml:space="preserve">Buyers are starting to ask suppliers what they are doing with AI. The first credible answer in the room wins. Most of our competitors are not in that conversation yet.</w:t>
      </w:r>
    </w:p>
    <w:p>
      <w:pPr>
        <w:pStyle w:val="Heading2"/>
      </w:pPr>
      <w:r>
        <w:rPr>
          <w:b/>
          <w:bCs/>
          <w:color w:val="C8102E"/>
        </w:rPr>
        <w:t xml:space="preserve">4.2 Competitive landscape — honest read</w:t>
      </w:r>
    </w:p>
    <w:p>
      <w:pPr>
        <w:pStyle w:val="ListParagraph"/>
        <w:numPr>
          <w:ilvl w:val="0"/>
          <w:numId w:val="2"/>
        </w:numPr>
        <w:spacing w:after="40" w:before="40" w:line="280"/>
      </w:pPr>
      <w:r>
        <w:t xml:space="preserve">Tier-one nationals: stronger brand, weaker mid-market service economics, slower to move.</w:t>
      </w:r>
    </w:p>
    <w:p>
      <w:pPr>
        <w:pStyle w:val="ListParagraph"/>
        <w:numPr>
          <w:ilvl w:val="0"/>
          <w:numId w:val="2"/>
        </w:numPr>
        <w:spacing w:after="40" w:before="40" w:line="280"/>
      </w:pPr>
      <w:r>
        <w:t xml:space="preserve">Regional generalists: lower price, no compliance depth, no platform, no EOT.</w:t>
      </w:r>
    </w:p>
    <w:p>
      <w:pPr>
        <w:pStyle w:val="ListParagraph"/>
        <w:numPr>
          <w:ilvl w:val="0"/>
          <w:numId w:val="2"/>
        </w:numPr>
        <w:spacing w:after="40" w:before="40" w:line="280"/>
      </w:pPr>
      <w:r>
        <w:t xml:space="preserve">Specialists: deep in one discipline, cannot bundle.</w:t>
      </w:r>
    </w:p>
    <w:p>
      <w:pPr>
        <w:pStyle w:val="ListParagraph"/>
        <w:numPr>
          <w:ilvl w:val="0"/>
          <w:numId w:val="2"/>
        </w:numPr>
        <w:spacing w:after="40" w:before="40" w:line="280"/>
      </w:pPr>
      <w:r>
        <w:t xml:space="preserve">Our unfair advantage is the combination, not any single line. The brand needs to communicate the combination.</w:t>
      </w:r>
    </w:p>
    <w:p>
      <w:pPr>
        <w:pStyle w:val="Heading2"/>
      </w:pPr>
      <w:r>
        <w:rPr>
          <w:b/>
          <w:bCs/>
          <w:color w:val="C8102E"/>
        </w:rPr>
        <w:t xml:space="preserve">4.3 Strategic risks to call out</w:t>
      </w:r>
    </w:p>
    <w:p>
      <w:pPr>
        <w:pStyle w:val="ListParagraph"/>
        <w:numPr>
          <w:ilvl w:val="0"/>
          <w:numId w:val="2"/>
        </w:numPr>
        <w:spacing w:after="40" w:before="40" w:line="280"/>
      </w:pPr>
      <w:r>
        <w:t xml:space="preserve">Three workstreams running in parallel without a named coordination owner is a structural risk.</w:t>
      </w:r>
    </w:p>
    <w:p>
      <w:pPr>
        <w:pStyle w:val="ListParagraph"/>
        <w:numPr>
          <w:ilvl w:val="0"/>
          <w:numId w:val="2"/>
        </w:numPr>
        <w:spacing w:after="40" w:before="40" w:line="280"/>
      </w:pPr>
      <w:r>
        <w:t xml:space="preserve">Brand investment without sales enablement uplift will not move pipeline.</w:t>
      </w:r>
    </w:p>
    <w:p>
      <w:pPr>
        <w:pStyle w:val="ListParagraph"/>
        <w:numPr>
          <w:ilvl w:val="0"/>
          <w:numId w:val="2"/>
        </w:numPr>
        <w:spacing w:after="40" w:before="40" w:line="280"/>
      </w:pPr>
      <w:r>
        <w:t xml:space="preserve">AI without governance is a reputational and regulatory risk — especially in compliance-led services.</w:t>
      </w:r>
    </w:p>
    <w:p>
      <w:pPr>
        <w:pStyle w:val="ListParagraph"/>
        <w:numPr>
          <w:ilvl w:val="0"/>
          <w:numId w:val="2"/>
        </w:numPr>
        <w:spacing w:after="40" w:before="40" w:line="280"/>
      </w:pPr>
      <w:r>
        <w:t xml:space="preserve">EOT messaging that drifts into self-congratulation will lose buyer attention. It must always be framed as a buyer benefit, not a moral position.</w:t>
      </w:r>
    </w:p>
    <w:p>
      <w:r>
        <w:br w:type="page"/>
      </w:r>
    </w:p>
    <w:p>
      <w:pPr>
        <w:pStyle w:val="Heading1"/>
      </w:pPr>
      <w:r>
        <w:rPr>
          <w:b/>
          <w:bCs/>
          <w:color w:val="1A1A1A"/>
        </w:rPr>
        <w:t xml:space="preserve">5. The brand mission</w:t>
      </w:r>
    </w:p>
    <w:p>
      <w:pPr>
        <w:pBdr>
          <w:bottom w:val="single" w:color="C8102E" w:sz="6" w:space="4"/>
        </w:pBdr>
        <w:spacing w:after="200" w:before="80"/>
      </w:pPr>
      <w:r>
        <w:t xml:space="preserve"> </w:t>
      </w:r>
    </w:p>
    <w:p>
      <w:pPr>
        <w:pStyle w:val="Heading2"/>
      </w:pPr>
      <w:r>
        <w:rPr>
          <w:b/>
          <w:bCs/>
          <w:color w:val="C8102E"/>
        </w:rPr>
        <w:t xml:space="preserve">5.1 The narrative — “Gemini Live”</w:t>
      </w:r>
    </w:p>
    <w:p>
      <w:pPr>
        <w:spacing w:after="60" w:before="60" w:line="300"/>
      </w:pPr>
      <w:r>
        <w:t xml:space="preserve">Gemini Live is the working name for the productised, branded layer of how clients experience Gemini AMPM. It is the connective tissue between the operational platform (Uptick, BigChange) and the buyer.</w:t>
      </w:r>
    </w:p>
    <w:p>
      <w:pPr>
        <w:pStyle w:val="ListParagraph"/>
        <w:numPr>
          <w:ilvl w:val="0"/>
          <w:numId w:val="2"/>
        </w:numPr>
        <w:spacing w:after="40" w:before="40" w:line="280"/>
      </w:pPr>
      <w:r>
        <w:t xml:space="preserve">Live data: assets, compliance, performance — visible to the client in real time.</w:t>
      </w:r>
    </w:p>
    <w:p>
      <w:pPr>
        <w:pStyle w:val="ListParagraph"/>
        <w:numPr>
          <w:ilvl w:val="0"/>
          <w:numId w:val="2"/>
        </w:numPr>
        <w:spacing w:after="40" w:before="40" w:line="280"/>
      </w:pPr>
      <w:r>
        <w:t xml:space="preserve">Live response: integrated service desk, planned maintenance, reactive.</w:t>
      </w:r>
    </w:p>
    <w:p>
      <w:pPr>
        <w:pStyle w:val="ListParagraph"/>
        <w:numPr>
          <w:ilvl w:val="0"/>
          <w:numId w:val="2"/>
        </w:numPr>
        <w:spacing w:after="40" w:before="40" w:line="280"/>
      </w:pPr>
      <w:r>
        <w:t xml:space="preserve">Live compliance: golden thread evidence, regulatory mapping, audit-ready outputs.</w:t>
      </w:r>
    </w:p>
    <w:p>
      <w:pPr>
        <w:pStyle w:val="ListParagraph"/>
        <w:numPr>
          <w:ilvl w:val="0"/>
          <w:numId w:val="2"/>
        </w:numPr>
        <w:spacing w:after="40" w:before="40" w:line="280"/>
      </w:pPr>
      <w:r>
        <w:t xml:space="preserve">Live intelligence: AI-assisted insight on portfolio, risk, spend, and trend.</w:t>
      </w:r>
    </w:p>
    <w:p>
      <w:pPr>
        <w:pStyle w:val="Heading2"/>
      </w:pPr>
      <w:r>
        <w:rPr>
          <w:b/>
          <w:bCs/>
          <w:color w:val="C8102E"/>
        </w:rPr>
        <w:t xml:space="preserve">5.2 Three brand pillars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746"/>
      </w:tblGrid>
      <w:tr>
        <w:trPr>
          <w:tblHeader/>
        </w:trPr>
        <w:tc>
          <w:tcPr>
            <w:tcW w:type="dxa" w:w="20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Pillar</w:t>
            </w:r>
          </w:p>
        </w:tc>
        <w:tc>
          <w:tcPr>
            <w:tcW w:type="dxa" w:w="40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What it means</w:t>
            </w:r>
          </w:p>
        </w:tc>
        <w:tc>
          <w:tcPr>
            <w:tcW w:type="dxa" w:w="37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What it produces</w:t>
            </w:r>
          </w:p>
        </w:tc>
      </w:tr>
      <w:tr>
        <w:tc>
          <w:tcPr>
            <w:tcW w:type="dxa" w:w="2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Brand</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Distinctive identity, voice, and positioning across web, social, sales, and tender.</w:t>
            </w:r>
          </w:p>
        </w:tc>
        <w:tc>
          <w:tcPr>
            <w:tcW w:type="dxa" w:w="3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Visual system, copy system, sales collateral, tender narrative.</w:t>
            </w:r>
          </w:p>
        </w:tc>
      </w:tr>
      <w:tr>
        <w:tc>
          <w:tcPr>
            <w:tcW w:type="dxa" w:w="2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Digital</w:t>
            </w:r>
          </w:p>
        </w:tc>
        <w:tc>
          <w:tcPr>
            <w:tcW w:type="dxa" w:w="4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Owned channels engineered for visibility, conversion, and authority.</w:t>
            </w:r>
          </w:p>
        </w:tc>
        <w:tc>
          <w:tcPr>
            <w:tcW w:type="dxa" w:w="37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Website, SEO, content engine, paid media, email, AI search visibility.</w:t>
            </w:r>
          </w:p>
        </w:tc>
      </w:tr>
      <w:tr>
        <w:tc>
          <w:tcPr>
            <w:tcW w:type="dxa" w:w="2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AI leverage</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AI used as core operating advantage — not novelty.</w:t>
            </w:r>
          </w:p>
        </w:tc>
        <w:tc>
          <w:tcPr>
            <w:tcW w:type="dxa" w:w="37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Finance/credit control automation, drawings, sales enablement, client-facing compliance tooling.</w:t>
            </w:r>
          </w:p>
        </w:tc>
      </w:tr>
    </w:tbl>
    <w:p>
      <w:pPr>
        <w:pStyle w:val="Heading2"/>
      </w:pPr>
      <w:r>
        <w:rPr>
          <w:b/>
          <w:bCs/>
          <w:color w:val="C8102E"/>
        </w:rPr>
        <w:t xml:space="preserve">5.3 What we explicitly are not doing</w:t>
      </w:r>
    </w:p>
    <w:p>
      <w:pPr>
        <w:pStyle w:val="ListParagraph"/>
        <w:numPr>
          <w:ilvl w:val="0"/>
          <w:numId w:val="2"/>
        </w:numPr>
        <w:spacing w:after="40" w:before="40" w:line="280"/>
      </w:pPr>
      <w:r>
        <w:t xml:space="preserve">Generic “we care about quality” positioning. Every competitor says it.</w:t>
      </w:r>
    </w:p>
    <w:p>
      <w:pPr>
        <w:pStyle w:val="ListParagraph"/>
        <w:numPr>
          <w:ilvl w:val="0"/>
          <w:numId w:val="2"/>
        </w:numPr>
        <w:spacing w:after="40" w:before="40" w:line="280"/>
      </w:pPr>
      <w:r>
        <w:t xml:space="preserve">Vanity rebrands. The logo and visual system can be modernised, but identity equity is preserved.</w:t>
      </w:r>
    </w:p>
    <w:p>
      <w:pPr>
        <w:pStyle w:val="ListParagraph"/>
        <w:numPr>
          <w:ilvl w:val="0"/>
          <w:numId w:val="2"/>
        </w:numPr>
        <w:spacing w:after="40" w:before="40" w:line="280"/>
      </w:pPr>
      <w:r>
        <w:t xml:space="preserve">AI demos for show. Every AI use case must remove cost, accelerate revenue, or reduce risk — ideally all three.</w:t>
      </w:r>
    </w:p>
    <w:p>
      <w:r>
        <w:br w:type="page"/>
      </w:r>
    </w:p>
    <w:p>
      <w:pPr>
        <w:pStyle w:val="Heading1"/>
      </w:pPr>
      <w:r>
        <w:rPr>
          <w:b/>
          <w:bCs/>
          <w:color w:val="1A1A1A"/>
        </w:rPr>
        <w:t xml:space="preserve">6. Current state of in-flight workstreams</w:t>
      </w:r>
    </w:p>
    <w:p>
      <w:pPr>
        <w:pBdr>
          <w:bottom w:val="single" w:color="C8102E" w:sz="6" w:space="4"/>
        </w:pBdr>
        <w:spacing w:after="200" w:before="80"/>
      </w:pPr>
      <w:r>
        <w:t xml:space="preserve"> </w:t>
      </w:r>
    </w:p>
    <w:p>
      <w:pPr>
        <w:pStyle w:val="Heading2"/>
      </w:pPr>
      <w:r>
        <w:rPr>
          <w:b/>
          <w:bCs/>
          <w:color w:val="C8102E"/>
        </w:rPr>
        <w:t xml:space="preserve">6.1 SEO and AI visibility (Stephen Sumner)</w:t>
      </w:r>
    </w:p>
    <w:p>
      <w:pPr>
        <w:pStyle w:val="ListParagraph"/>
        <w:numPr>
          <w:ilvl w:val="0"/>
          <w:numId w:val="2"/>
        </w:numPr>
        <w:spacing w:after="40" w:before="40" w:line="280"/>
      </w:pPr>
      <w:r>
        <w:t xml:space="preserve">Professional-grade technical SEO is in motion.</w:t>
      </w:r>
    </w:p>
    <w:p>
      <w:pPr>
        <w:pStyle w:val="ListParagraph"/>
        <w:numPr>
          <w:ilvl w:val="0"/>
          <w:numId w:val="2"/>
        </w:numPr>
        <w:spacing w:after="40" w:before="40" w:line="280"/>
      </w:pPr>
      <w:r>
        <w:t xml:space="preserve">Includes AI visibility work — directly aligned with where Gemini Live needs to land.</w:t>
      </w:r>
    </w:p>
    <w:p>
      <w:pPr>
        <w:pStyle w:val="ListParagraph"/>
        <w:numPr>
          <w:ilvl w:val="0"/>
          <w:numId w:val="2"/>
        </w:numPr>
        <w:spacing w:after="40" w:before="40" w:line="280"/>
      </w:pPr>
      <w:r>
        <w:t xml:space="preserve">Trello board: “Gemini Online Marketing 2026.”</w:t>
      </w:r>
    </w:p>
    <w:p>
      <w:pPr>
        <w:pStyle w:val="ListParagraph"/>
        <w:numPr>
          <w:ilvl w:val="0"/>
          <w:numId w:val="2"/>
        </w:numPr>
        <w:spacing w:after="40" w:before="40" w:line="280"/>
      </w:pPr>
      <w:r>
        <w:t xml:space="preserve">Risk: this work is being done independently of the GTM plan and the development roadmap. Coordination owner is missing.</w:t>
      </w:r>
    </w:p>
    <w:p>
      <w:pPr>
        <w:pStyle w:val="Heading2"/>
      </w:pPr>
      <w:r>
        <w:rPr>
          <w:b/>
          <w:bCs/>
          <w:color w:val="C8102E"/>
        </w:rPr>
        <w:t xml:space="preserve">6.2 IMADO development</w:t>
      </w:r>
    </w:p>
    <w:p>
      <w:pPr>
        <w:pStyle w:val="ListParagraph"/>
        <w:numPr>
          <w:ilvl w:val="0"/>
          <w:numId w:val="2"/>
        </w:numPr>
        <w:spacing w:after="40" w:before="40" w:line="280"/>
      </w:pPr>
      <w:r>
        <w:t xml:space="preserve">Trello board: “Development.” Team: Damian, Piotr Pac, Stephen Sumner.</w:t>
      </w:r>
    </w:p>
    <w:p>
      <w:pPr>
        <w:pStyle w:val="ListParagraph"/>
        <w:numPr>
          <w:ilvl w:val="0"/>
          <w:numId w:val="2"/>
        </w:numPr>
        <w:spacing w:after="40" w:before="40" w:line="280"/>
      </w:pPr>
      <w:r>
        <w:t xml:space="preserve">Bottleneck identified in the For Review column.</w:t>
      </w:r>
    </w:p>
    <w:p>
      <w:pPr>
        <w:pStyle w:val="ListParagraph"/>
        <w:numPr>
          <w:ilvl w:val="0"/>
          <w:numId w:val="2"/>
        </w:numPr>
        <w:spacing w:after="40" w:before="40" w:line="280"/>
      </w:pPr>
      <w:r>
        <w:t xml:space="preserve">Trello access for Claude analysis is via manual JSON export.</w:t>
      </w:r>
    </w:p>
    <w:p>
      <w:pPr>
        <w:pStyle w:val="Heading2"/>
      </w:pPr>
      <w:r>
        <w:rPr>
          <w:b/>
          <w:bCs/>
          <w:color w:val="C8102E"/>
        </w:rPr>
        <w:t xml:space="preserve">6.3 Compliance hub and chatbot (Paul Fitzpatrick)</w:t>
      </w:r>
    </w:p>
    <w:p>
      <w:pPr>
        <w:pStyle w:val="ListParagraph"/>
        <w:numPr>
          <w:ilvl w:val="0"/>
          <w:numId w:val="2"/>
        </w:numPr>
        <w:spacing w:after="40" w:before="40" w:line="280"/>
      </w:pPr>
      <w:r>
        <w:t xml:space="preserve">Independently developed; conceptually aligned with Gemini Live.</w:t>
      </w:r>
    </w:p>
    <w:p>
      <w:pPr>
        <w:pStyle w:val="ListParagraph"/>
        <w:numPr>
          <w:ilvl w:val="0"/>
          <w:numId w:val="2"/>
        </w:numPr>
        <w:spacing w:after="40" w:before="40" w:line="280"/>
      </w:pPr>
      <w:r>
        <w:t xml:space="preserve">Needs to be folded into the brand narrative and product roadmap, not run as a side project.</w:t>
      </w:r>
    </w:p>
    <w:p>
      <w:pPr>
        <w:pStyle w:val="Heading2"/>
      </w:pPr>
      <w:r>
        <w:rPr>
          <w:b/>
          <w:bCs/>
          <w:color w:val="C8102E"/>
        </w:rPr>
        <w:t xml:space="preserve">6.4 Website</w:t>
      </w:r>
    </w:p>
    <w:p>
      <w:pPr>
        <w:pStyle w:val="ListParagraph"/>
        <w:numPr>
          <w:ilvl w:val="0"/>
          <w:numId w:val="2"/>
        </w:numPr>
        <w:spacing w:after="40" w:before="40" w:line="280"/>
      </w:pPr>
      <w:r>
        <w:t xml:space="preserve">Audit complete. Website Copy Pack and 12-month GTM Plan produced (consolidated in the Strategic Asset Pack).</w:t>
      </w:r>
    </w:p>
    <w:p>
      <w:pPr>
        <w:pStyle w:val="ListParagraph"/>
        <w:numPr>
          <w:ilvl w:val="0"/>
          <w:numId w:val="2"/>
        </w:numPr>
        <w:spacing w:after="40" w:before="40" w:line="280"/>
      </w:pPr>
      <w:r>
        <w:t xml:space="preserve">Headline recommendations: lead with EOT as procurement differentiator, productise Nimbus Connect / Uptick under “Gemini Live,” replace 0845 number sitewide, build 12 location pages, three articles per month.</w:t>
      </w:r>
    </w:p>
    <w:p>
      <w:pPr>
        <w:pStyle w:val="ListParagraph"/>
        <w:numPr>
          <w:ilvl w:val="0"/>
          <w:numId w:val="2"/>
        </w:numPr>
        <w:spacing w:after="40" w:before="40" w:line="280"/>
      </w:pPr>
      <w:r>
        <w:t xml:space="preserve">Paid media split recommended: Google Search 70%, LinkedIn Ads 20%, Google LSA 10%.</w:t>
      </w:r>
    </w:p>
    <w:p>
      <w:pPr>
        <w:pStyle w:val="Heading2"/>
      </w:pPr>
      <w:r>
        <w:rPr>
          <w:b/>
          <w:bCs/>
          <w:color w:val="C8102E"/>
        </w:rPr>
        <w:t xml:space="preserve">6.5 Microsoft 365 and document estate</w:t>
      </w:r>
    </w:p>
    <w:p>
      <w:pPr>
        <w:pStyle w:val="ListParagraph"/>
        <w:numPr>
          <w:ilvl w:val="0"/>
          <w:numId w:val="2"/>
        </w:numPr>
        <w:spacing w:after="40" w:before="40" w:line="280"/>
      </w:pPr>
      <w:r>
        <w:t xml:space="preserve">M365 MCP connector configured for the Gemini AMPM tenant (geminifire.sharepoint.com). Admin consent granted.</w:t>
      </w:r>
    </w:p>
    <w:p>
      <w:pPr>
        <w:pStyle w:val="ListParagraph"/>
        <w:numPr>
          <w:ilvl w:val="0"/>
          <w:numId w:val="2"/>
        </w:numPr>
        <w:spacing w:after="40" w:before="40" w:line="280"/>
      </w:pPr>
      <w:r>
        <w:t xml:space="preserve">Operational document estate lives in a single Teams site (/teams/General).</w:t>
      </w:r>
    </w:p>
    <w:p>
      <w:pPr>
        <w:pStyle w:val="ListParagraph"/>
        <w:numPr>
          <w:ilvl w:val="0"/>
          <w:numId w:val="2"/>
        </w:numPr>
        <w:spacing w:after="40" w:before="40" w:line="280"/>
      </w:pPr>
      <w:r>
        <w:t xml:space="preserve">No structured sales, marketing, bids, or case study library exists. This is a critical gap for enterprise procurement.</w:t>
      </w:r>
    </w:p>
    <w:p>
      <w:pPr>
        <w:pStyle w:val="Heading2"/>
      </w:pPr>
      <w:r>
        <w:rPr>
          <w:b/>
          <w:bCs/>
          <w:color w:val="C8102E"/>
        </w:rPr>
        <w:t xml:space="preserve">6.6 Board reporting</w:t>
      </w:r>
    </w:p>
    <w:p>
      <w:pPr>
        <w:pStyle w:val="ListParagraph"/>
        <w:numPr>
          <w:ilvl w:val="0"/>
          <w:numId w:val="2"/>
        </w:numPr>
        <w:spacing w:after="40" w:before="40" w:line="280"/>
      </w:pPr>
      <w:r>
        <w:t xml:space="preserve">Custom web app (single HTML file, v5b) live on Netlify. Role-based logins, voice dictation, AI tidy-up, PDF export.</w:t>
      </w:r>
    </w:p>
    <w:p>
      <w:pPr>
        <w:pStyle w:val="ListParagraph"/>
        <w:numPr>
          <w:ilvl w:val="0"/>
          <w:numId w:val="2"/>
        </w:numPr>
        <w:spacing w:after="40" w:before="40" w:line="280"/>
      </w:pPr>
      <w:r>
        <w:t xml:space="preserve">Process reinstated from April after lapsing. WD1 to WD12 monthly cadence. H&amp;S and environmental reporting always mandatory.</w:t>
      </w:r>
    </w:p>
    <w:p>
      <w:pPr>
        <w:pStyle w:val="ListParagraph"/>
        <w:numPr>
          <w:ilvl w:val="0"/>
          <w:numId w:val="2"/>
        </w:numPr>
        <w:spacing w:after="40" w:before="40" w:line="280"/>
      </w:pPr>
      <w:r>
        <w:t xml:space="preserve">Board documents are addressed to Luke Finney and Dan Small. Bailey Dawson and Charlotte Catherall excluded as aligned parties. No staff named in board documents.</w:t>
      </w:r>
    </w:p>
    <w:p>
      <w:pPr>
        <w:pStyle w:val="Heading2"/>
      </w:pPr>
      <w:r>
        <w:rPr>
          <w:b/>
          <w:bCs/>
          <w:color w:val="C8102E"/>
        </w:rPr>
        <w:t xml:space="preserve">6.7 AMPM Group Ltd — legal/governance status</w:t>
      </w:r>
    </w:p>
    <w:p>
      <w:pPr>
        <w:pStyle w:val="ListParagraph"/>
        <w:numPr>
          <w:ilvl w:val="0"/>
          <w:numId w:val="2"/>
        </w:numPr>
        <w:spacing w:after="40" w:before="40" w:line="280"/>
      </w:pPr>
      <w:r>
        <w:t xml:space="preserve">Deliverable 1 complete: SPA covenant, Reserved Matters, and parent company guarantee analysis memo.</w:t>
      </w:r>
    </w:p>
    <w:p>
      <w:pPr>
        <w:pStyle w:val="ListParagraph"/>
        <w:numPr>
          <w:ilvl w:val="0"/>
          <w:numId w:val="2"/>
        </w:numPr>
        <w:spacing w:after="40" w:before="40" w:line="280"/>
      </w:pPr>
      <w:r>
        <w:t xml:space="preserve">Primary route to market year one: Gemini AMPM subcontracts building services work to AMPM Group on arm’s length, benchmarked, terminable terms.</w:t>
      </w:r>
    </w:p>
    <w:p>
      <w:pPr>
        <w:pStyle w:val="ListParagraph"/>
        <w:numPr>
          <w:ilvl w:val="0"/>
          <w:numId w:val="2"/>
        </w:numPr>
        <w:spacing w:after="40" w:before="40" w:line="280"/>
      </w:pPr>
      <w:r>
        <w:t xml:space="preserve">Three actions outstanding before Deliverable 2 (business plan): confirm Sellers’ Agent, identify solicitor for sign-off, extract Gemini AMPM invoiced revenue by service line (Oct 2023–Oct 2024) from Xero.</w:t>
      </w:r>
    </w:p>
    <w:p>
      <w:pPr>
        <w:pStyle w:val="ListParagraph"/>
        <w:numPr>
          <w:ilvl w:val="0"/>
          <w:numId w:val="2"/>
        </w:numPr>
        <w:spacing w:after="40" w:before="40" w:line="280"/>
      </w:pPr>
      <w:r>
        <w:t xml:space="preserve">Year-one revenue target: ~£2m. First invoice targeted: end of summer 2026.</w:t>
      </w:r>
    </w:p>
    <w:p>
      <w:r>
        <w:br w:type="page"/>
      </w:r>
    </w:p>
    <w:p>
      <w:pPr>
        <w:pStyle w:val="Heading1"/>
      </w:pPr>
      <w:r>
        <w:rPr>
          <w:b/>
          <w:bCs/>
          <w:color w:val="1A1A1A"/>
        </w:rPr>
        <w:t xml:space="preserve">7. Constraints and guardrails</w:t>
      </w:r>
    </w:p>
    <w:p>
      <w:pPr>
        <w:pBdr>
          <w:bottom w:val="single" w:color="C8102E" w:sz="6" w:space="4"/>
        </w:pBdr>
        <w:spacing w:after="200" w:before="80"/>
      </w:pPr>
      <w:r>
        <w:t xml:space="preserve"> </w:t>
      </w:r>
    </w:p>
    <w:p>
      <w:pPr>
        <w:pStyle w:val="Heading2"/>
      </w:pPr>
      <w:r>
        <w:rPr>
          <w:b/>
          <w:bCs/>
          <w:color w:val="C8102E"/>
        </w:rPr>
        <w:t xml:space="preserve">7.1 Hard rules</w:t>
      </w:r>
    </w:p>
    <w:p>
      <w:pPr>
        <w:pStyle w:val="ListParagraph"/>
        <w:numPr>
          <w:ilvl w:val="0"/>
          <w:numId w:val="2"/>
        </w:numPr>
        <w:spacing w:after="40" w:before="40" w:line="280"/>
      </w:pPr>
      <w:r>
        <w:t xml:space="preserve">No staff names in board documents.</w:t>
      </w:r>
    </w:p>
    <w:p>
      <w:pPr>
        <w:pStyle w:val="ListParagraph"/>
        <w:numPr>
          <w:ilvl w:val="0"/>
          <w:numId w:val="2"/>
        </w:numPr>
        <w:spacing w:after="40" w:before="40" w:line="280"/>
      </w:pPr>
      <w:r>
        <w:t xml:space="preserve">No “private venture” framing for AMPM Group — always framed as strategic development within the Gemini ecosystem.</w:t>
      </w:r>
    </w:p>
    <w:p>
      <w:pPr>
        <w:pStyle w:val="ListParagraph"/>
        <w:numPr>
          <w:ilvl w:val="0"/>
          <w:numId w:val="2"/>
        </w:numPr>
        <w:spacing w:after="40" w:before="40" w:line="280"/>
      </w:pPr>
      <w:r>
        <w:t xml:space="preserve">No parent company guarantee from Gemini AMPM to AMPM Group. Red-line issue.</w:t>
      </w:r>
    </w:p>
    <w:p>
      <w:pPr>
        <w:pStyle w:val="ListParagraph"/>
        <w:numPr>
          <w:ilvl w:val="0"/>
          <w:numId w:val="2"/>
        </w:numPr>
        <w:spacing w:after="40" w:before="40" w:line="280"/>
      </w:pPr>
      <w:r>
        <w:t xml:space="preserve">EOT messaging is buyer-benefit framed, not moral framing.</w:t>
      </w:r>
    </w:p>
    <w:p>
      <w:pPr>
        <w:pStyle w:val="ListParagraph"/>
        <w:numPr>
          <w:ilvl w:val="0"/>
          <w:numId w:val="2"/>
        </w:numPr>
        <w:spacing w:after="40" w:before="40" w:line="280"/>
      </w:pPr>
      <w:r>
        <w:t xml:space="preserve">No exposed API keys in any deliverable. The prior board-app key was revoked and replaced — do not repeat the mistake.</w:t>
      </w:r>
    </w:p>
    <w:p>
      <w:pPr>
        <w:pStyle w:val="Heading2"/>
      </w:pPr>
      <w:r>
        <w:rPr>
          <w:b/>
          <w:bCs/>
          <w:color w:val="C8102E"/>
        </w:rPr>
        <w:t xml:space="preserve">7.2 Sign-off</w:t>
      </w:r>
    </w:p>
    <w:p>
      <w:pPr>
        <w:pStyle w:val="ListParagraph"/>
        <w:numPr>
          <w:ilvl w:val="0"/>
          <w:numId w:val="2"/>
        </w:numPr>
        <w:spacing w:after="40" w:before="40" w:line="280"/>
      </w:pPr>
      <w:r>
        <w:t xml:space="preserve">All strategic deliverables: Chair sign-off.</w:t>
      </w:r>
    </w:p>
    <w:p>
      <w:pPr>
        <w:pStyle w:val="ListParagraph"/>
        <w:numPr>
          <w:ilvl w:val="0"/>
          <w:numId w:val="2"/>
        </w:numPr>
        <w:spacing w:after="40" w:before="40" w:line="280"/>
      </w:pPr>
      <w:r>
        <w:t xml:space="preserve">Legal-affecting deliverables: solicitor sign-off (to be confirmed).</w:t>
      </w:r>
    </w:p>
    <w:p>
      <w:pPr>
        <w:pStyle w:val="ListParagraph"/>
        <w:numPr>
          <w:ilvl w:val="0"/>
          <w:numId w:val="2"/>
        </w:numPr>
        <w:spacing w:after="40" w:before="40" w:line="280"/>
      </w:pPr>
      <w:r>
        <w:t xml:space="preserve">Brand identity changes: Chair sign-off, Commercial Director and MD consulted.</w:t>
      </w:r>
    </w:p>
    <w:p>
      <w:pPr>
        <w:pStyle w:val="Heading2"/>
      </w:pPr>
      <w:r>
        <w:rPr>
          <w:b/>
          <w:bCs/>
          <w:color w:val="C8102E"/>
        </w:rPr>
        <w:t xml:space="preserve">7.3 Style preferences (carry over to all outputs)</w:t>
      </w:r>
    </w:p>
    <w:p>
      <w:pPr>
        <w:pStyle w:val="ListParagraph"/>
        <w:numPr>
          <w:ilvl w:val="0"/>
          <w:numId w:val="2"/>
        </w:numPr>
        <w:spacing w:after="40" w:before="40" w:line="280"/>
      </w:pPr>
      <w:r>
        <w:t xml:space="preserve">UK English.</w:t>
      </w:r>
    </w:p>
    <w:p>
      <w:pPr>
        <w:pStyle w:val="ListParagraph"/>
        <w:numPr>
          <w:ilvl w:val="0"/>
          <w:numId w:val="2"/>
        </w:numPr>
        <w:spacing w:after="40" w:before="40" w:line="280"/>
      </w:pPr>
      <w:r>
        <w:t xml:space="preserve">Numbered exhibits.</w:t>
      </w:r>
    </w:p>
    <w:p>
      <w:pPr>
        <w:pStyle w:val="ListParagraph"/>
        <w:numPr>
          <w:ilvl w:val="0"/>
          <w:numId w:val="2"/>
        </w:numPr>
        <w:spacing w:after="40" w:before="40" w:line="280"/>
      </w:pPr>
      <w:r>
        <w:t xml:space="preserve">Plain-English executive summary always before detailed analysis.</w:t>
      </w:r>
    </w:p>
    <w:p>
      <w:pPr>
        <w:pStyle w:val="ListParagraph"/>
        <w:numPr>
          <w:ilvl w:val="0"/>
          <w:numId w:val="2"/>
        </w:numPr>
        <w:spacing w:after="40" w:before="40" w:line="280"/>
      </w:pPr>
      <w:r>
        <w:t xml:space="preserve">Word documents are the default deliverable for anything substantive.</w:t>
      </w:r>
    </w:p>
    <w:p>
      <w:pPr>
        <w:pStyle w:val="ListParagraph"/>
        <w:numPr>
          <w:ilvl w:val="0"/>
          <w:numId w:val="2"/>
        </w:numPr>
        <w:spacing w:after="40" w:before="40" w:line="280"/>
      </w:pPr>
      <w:r>
        <w:t xml:space="preserve">When iterating, rebuild the file from scratch with all edits applied in one pass — partial patches are less reliable.</w:t>
      </w:r>
    </w:p>
    <w:p>
      <w:r>
        <w:br w:type="page"/>
      </w:r>
    </w:p>
    <w:p>
      <w:pPr>
        <w:pStyle w:val="Heading1"/>
      </w:pPr>
      <w:r>
        <w:rPr>
          <w:b/>
          <w:bCs/>
          <w:color w:val="1A1A1A"/>
        </w:rPr>
        <w:t xml:space="preserve">8. Tools and systems</w:t>
      </w:r>
    </w:p>
    <w:p>
      <w:pPr>
        <w:pBdr>
          <w:bottom w:val="single" w:color="C8102E" w:sz="6" w:space="4"/>
        </w:pBdr>
        <w:spacing w:after="200" w:before="8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446"/>
      </w:tblGrid>
      <w:tr>
        <w:trPr>
          <w:tblHeader/>
        </w:trPr>
        <w:tc>
          <w:tcPr>
            <w:tcW w:type="dxa" w:w="23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Function</w:t>
            </w:r>
          </w:p>
        </w:tc>
        <w:tc>
          <w:tcPr>
            <w:tcW w:type="dxa" w:w="3000"/>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Tool</w:t>
            </w:r>
          </w:p>
        </w:tc>
        <w:tc>
          <w:tcPr>
            <w:tcW w:type="dxa" w:w="4446"/>
            <w:tcBorders>
              <w:top w:val="single" w:color="D9D9D9" w:sz="4"/>
              <w:left w:val="single" w:color="D9D9D9" w:sz="4"/>
              <w:bottom w:val="single" w:color="D9D9D9" w:sz="4"/>
              <w:right w:val="single" w:color="D9D9D9" w:sz="4"/>
            </w:tcBorders>
            <w:shd w:fill="C8102E" w:val="clear"/>
            <w:tcMar>
              <w:top w:type="dxa" w:w="100"/>
              <w:left w:type="dxa" w:w="140"/>
              <w:bottom w:type="dxa" w:w="100"/>
              <w:right w:type="dxa" w:w="140"/>
            </w:tcMar>
          </w:tcPr>
          <w:p>
            <w:pPr>
              <w:spacing w:after="0" w:before="0" w:line="280"/>
              <w:jc w:val="left"/>
            </w:pPr>
            <w:r>
              <w:rPr>
                <w:b/>
                <w:bCs/>
                <w:color w:val="FFFFFF"/>
                <w:sz w:val="20"/>
                <w:szCs w:val="20"/>
              </w:rPr>
              <w:t xml:space="preserve">Notes</w:t>
            </w:r>
          </w:p>
        </w:tc>
      </w:tr>
      <w:t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Accounting</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Xero</w:t>
            </w:r>
          </w:p>
        </w:tc>
        <w:tc>
          <w:tcPr>
            <w:tcW w:type="dxa" w:w="44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Joe Isaac is the Xero lead and management accountant.</w:t>
            </w:r>
          </w:p>
        </w:tc>
      </w:tr>
      <w:tr>
        <w:tc>
          <w:tcPr>
            <w:tcW w:type="dxa" w:w="23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Job management</w:t>
            </w:r>
          </w:p>
        </w:tc>
        <w:tc>
          <w:tcPr>
            <w:tcW w:type="dxa" w:w="3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BigChange</w:t>
            </w:r>
          </w:p>
        </w:tc>
        <w:tc>
          <w:tcPr>
            <w:tcW w:type="dxa" w:w="44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Operational data source; AI leverage candidate.</w:t>
            </w:r>
          </w:p>
        </w:tc>
      </w:tr>
      <w:t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Project management</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Procore</w:t>
            </w:r>
          </w:p>
        </w:tc>
        <w:tc>
          <w:tcPr>
            <w:tcW w:type="dxa" w:w="44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
            </w:r>
          </w:p>
        </w:tc>
      </w:tr>
      <w:tr>
        <w:tc>
          <w:tcPr>
            <w:tcW w:type="dxa" w:w="23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Service / asset management</w:t>
            </w:r>
          </w:p>
        </w:tc>
        <w:tc>
          <w:tcPr>
            <w:tcW w:type="dxa" w:w="3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Uptick</w:t>
            </w:r>
          </w:p>
        </w:tc>
        <w:tc>
          <w:tcPr>
            <w:tcW w:type="dxa" w:w="44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Also referenced as “Nimbus Connect” in Gemini Live brand context.</w:t>
            </w:r>
          </w:p>
        </w:tc>
      </w:tr>
      <w:t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CRM</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monday.com</w:t>
            </w:r>
          </w:p>
        </w:tc>
        <w:tc>
          <w:tcPr>
            <w:tcW w:type="dxa" w:w="44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Under evaluation.</w:t>
            </w:r>
          </w:p>
        </w:tc>
      </w:tr>
      <w:tr>
        <w:tc>
          <w:tcPr>
            <w:tcW w:type="dxa" w:w="23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Board reporting</w:t>
            </w:r>
          </w:p>
        </w:tc>
        <w:tc>
          <w:tcPr>
            <w:tcW w:type="dxa" w:w="3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Custom Netlify app</w:t>
            </w:r>
          </w:p>
        </w:tc>
        <w:tc>
          <w:tcPr>
            <w:tcW w:type="dxa" w:w="44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Anthropic Claude API integrated for text tidy-up.</w:t>
            </w:r>
          </w:p>
        </w:tc>
      </w:tr>
      <w:t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Microsoft 365</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geminifire.sharepoint.com</w:t>
            </w:r>
          </w:p>
        </w:tc>
        <w:tc>
          <w:tcPr>
            <w:tcW w:type="dxa" w:w="44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Teams site /teams/General is the primary document estate.</w:t>
            </w:r>
          </w:p>
        </w:tc>
      </w:tr>
      <w:tr>
        <w:tc>
          <w:tcPr>
            <w:tcW w:type="dxa" w:w="23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Google Workspace</w:t>
            </w:r>
          </w:p>
        </w:tc>
        <w:tc>
          <w:tcPr>
            <w:tcW w:type="dxa" w:w="3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ampm.co.uk</w:t>
            </w:r>
          </w:p>
        </w:tc>
        <w:tc>
          <w:tcPr>
            <w:tcW w:type="dxa" w:w="44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AMPM Group entity. Migration from GoDaddy Microsoft package initiated.</w:t>
            </w:r>
          </w:p>
        </w:tc>
      </w:tr>
      <w:t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SEO</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Stephen Sumner (external)</w:t>
            </w:r>
          </w:p>
        </w:tc>
        <w:tc>
          <w:tcPr>
            <w:tcW w:type="dxa" w:w="44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Trello board: Gemini Online Marketing 2026.</w:t>
            </w:r>
          </w:p>
        </w:tc>
      </w:tr>
      <w:tr>
        <w:tc>
          <w:tcPr>
            <w:tcW w:type="dxa" w:w="23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Development</w:t>
            </w:r>
          </w:p>
        </w:tc>
        <w:tc>
          <w:tcPr>
            <w:tcW w:type="dxa" w:w="3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IMADO</w:t>
            </w:r>
          </w:p>
        </w:tc>
        <w:tc>
          <w:tcPr>
            <w:tcW w:type="dxa" w:w="44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Trello board: Development.</w:t>
            </w:r>
          </w:p>
        </w:tc>
      </w:tr>
      <w:t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Domains</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geminiampm.co.uk (live), ampmgroup.co.uk (AMPM Group), ampm.co.uk (parked)</w:t>
            </w:r>
          </w:p>
        </w:tc>
        <w:tc>
          <w:tcPr>
            <w:tcW w:type="dxa" w:w="4446"/>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before="0" w:line="280"/>
              <w:jc w:val="left"/>
            </w:pPr>
            <w:r>
              <w:rPr>
                <w:color w:val="262626"/>
                <w:sz w:val="20"/>
                <w:szCs w:val="20"/>
              </w:rPr>
              <w:t xml:space="preserve">ampm.co.uk identified as net-new build to start first.</w:t>
            </w:r>
          </w:p>
        </w:tc>
      </w:tr>
      <w:tr>
        <w:tc>
          <w:tcPr>
            <w:tcW w:type="dxa" w:w="23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Doc production</w:t>
            </w:r>
          </w:p>
        </w:tc>
        <w:tc>
          <w:tcPr>
            <w:tcW w:type="dxa" w:w="3000"/>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Node.js / docx-js</w:t>
            </w:r>
          </w:p>
        </w:tc>
        <w:tc>
          <w:tcPr>
            <w:tcW w:type="dxa" w:w="4446"/>
            <w:tcBorders>
              <w:top w:val="single" w:color="D9D9D9" w:sz="4"/>
              <w:left w:val="single" w:color="D9D9D9" w:sz="4"/>
              <w:bottom w:val="single" w:color="D9D9D9" w:sz="4"/>
              <w:right w:val="single" w:color="D9D9D9" w:sz="4"/>
            </w:tcBorders>
            <w:shd w:fill="FAFAFA" w:val="clear"/>
            <w:tcMar>
              <w:top w:type="dxa" w:w="100"/>
              <w:left w:type="dxa" w:w="140"/>
              <w:bottom w:type="dxa" w:w="100"/>
              <w:right w:type="dxa" w:w="140"/>
            </w:tcMar>
          </w:tcPr>
          <w:p>
            <w:pPr>
              <w:spacing w:after="0" w:before="0" w:line="280"/>
              <w:jc w:val="left"/>
            </w:pPr>
            <w:r>
              <w:rPr>
                <w:color w:val="262626"/>
                <w:sz w:val="20"/>
                <w:szCs w:val="20"/>
              </w:rPr>
              <w:t xml:space="preserve">Branded .docx with logo embedding and table styling.</w:t>
            </w:r>
          </w:p>
        </w:tc>
      </w:tr>
    </w:tbl>
    <w:p>
      <w:r>
        <w:br w:type="page"/>
      </w:r>
    </w:p>
    <w:p>
      <w:pPr>
        <w:pStyle w:val="Heading1"/>
      </w:pPr>
      <w:r>
        <w:rPr>
          <w:b/>
          <w:bCs/>
          <w:color w:val="1A1A1A"/>
        </w:rPr>
        <w:t xml:space="preserve">9. Immediate priorities (next 4–6 weeks)</w:t>
      </w:r>
    </w:p>
    <w:p>
      <w:pPr>
        <w:pBdr>
          <w:bottom w:val="single" w:color="C8102E" w:sz="6" w:space="4"/>
        </w:pBdr>
        <w:spacing w:after="200" w:before="80"/>
      </w:pPr>
      <w:r>
        <w:t xml:space="preserve"> </w:t>
      </w:r>
    </w:p>
    <w:p>
      <w:pPr>
        <w:spacing w:after="60" w:before="60" w:line="300"/>
      </w:pPr>
      <w:r>
        <w:t xml:space="preserve">Sequenced. Numbered. Each one has a named decision.</w:t>
      </w:r>
    </w:p>
    <w:p>
      <w:pPr>
        <w:pStyle w:val="ListParagraph"/>
        <w:numPr>
          <w:ilvl w:val="0"/>
          <w:numId w:val="3"/>
        </w:numPr>
        <w:spacing w:after="40" w:before="40" w:line="280"/>
      </w:pPr>
      <w:r>
        <w:t xml:space="preserve">Appoint a single coordination owner across SEO, IMADO development, GTM, and the compliance hub. This is the single most important structural fix.</w:t>
      </w:r>
    </w:p>
    <w:p>
      <w:pPr>
        <w:pStyle w:val="ListParagraph"/>
        <w:numPr>
          <w:ilvl w:val="0"/>
          <w:numId w:val="3"/>
        </w:numPr>
        <w:spacing w:after="40" w:before="40" w:line="280"/>
      </w:pPr>
      <w:r>
        <w:t xml:space="preserve">Run a 60-minute alignment call between Stephen Sumner, IMADO lead, Paul Fitzpatrick, and the Chair. Output: one synchronised roadmap. Decision: Chair signs the merged roadmap.</w:t>
      </w:r>
    </w:p>
    <w:p>
      <w:pPr>
        <w:pStyle w:val="ListParagraph"/>
        <w:numPr>
          <w:ilvl w:val="0"/>
          <w:numId w:val="3"/>
        </w:numPr>
        <w:spacing w:after="40" w:before="40" w:line="280"/>
      </w:pPr>
      <w:r>
        <w:t xml:space="preserve">Lock the Gemini Live brand narrative as the binding spine. All web, content, sales collateral, tender, and AI work points to it.</w:t>
      </w:r>
    </w:p>
    <w:p>
      <w:pPr>
        <w:pStyle w:val="ListParagraph"/>
        <w:numPr>
          <w:ilvl w:val="0"/>
          <w:numId w:val="3"/>
        </w:numPr>
        <w:spacing w:after="40" w:before="40" w:line="280"/>
      </w:pPr>
      <w:r>
        <w:t xml:space="preserve">Build a structured sales, marketing, bids, and case study library in SharePoint. Without this we cannot win enterprise.</w:t>
      </w:r>
    </w:p>
    <w:p>
      <w:pPr>
        <w:pStyle w:val="ListParagraph"/>
        <w:numPr>
          <w:ilvl w:val="0"/>
          <w:numId w:val="3"/>
        </w:numPr>
        <w:spacing w:after="40" w:before="40" w:line="280"/>
      </w:pPr>
      <w:r>
        <w:t xml:space="preserve">Replace the 0845 number sitewide. Buyer trust signal. Quick win.</w:t>
      </w:r>
    </w:p>
    <w:p>
      <w:pPr>
        <w:pStyle w:val="ListParagraph"/>
        <w:numPr>
          <w:ilvl w:val="0"/>
          <w:numId w:val="3"/>
        </w:numPr>
        <w:spacing w:after="40" w:before="40" w:line="280"/>
      </w:pPr>
      <w:r>
        <w:t xml:space="preserve">Stand up the AI leverage roadmap (see Strategic Asset Pack §5). Decision: which two AI use cases get budget and ownership in Q1.</w:t>
      </w:r>
    </w:p>
    <w:p>
      <w:pPr>
        <w:pStyle w:val="ListParagraph"/>
        <w:numPr>
          <w:ilvl w:val="0"/>
          <w:numId w:val="3"/>
        </w:numPr>
        <w:spacing w:after="40" w:before="40" w:line="280"/>
      </w:pPr>
      <w:r>
        <w:t xml:space="preserve">Extract Gemini AMPM invoiced revenue by service line (Oct 2023–Oct 2024) from Xero — unblocks AMPM Group business plan and supports SPA carve-out evidence.</w:t>
      </w:r>
    </w:p>
    <w:p>
      <w:pPr>
        <w:pStyle w:val="ListParagraph"/>
        <w:numPr>
          <w:ilvl w:val="0"/>
          <w:numId w:val="3"/>
        </w:numPr>
        <w:spacing w:after="40" w:before="40" w:line="280"/>
      </w:pPr>
      <w:r>
        <w:t xml:space="preserve">Confirm Sellers’ Agent and solicitor for legal sign-off on Deliverable 1 memo.</w:t>
      </w:r>
    </w:p>
    <w:p>
      <w:pPr>
        <w:pStyle w:val="Heading2"/>
      </w:pPr>
      <w:r>
        <w:rPr>
          <w:b/>
          <w:bCs/>
          <w:color w:val="C8102E"/>
        </w:rPr>
        <w:t xml:space="preserve">9.1 What good looks like at week six</w:t>
      </w:r>
    </w:p>
    <w:p>
      <w:pPr>
        <w:pStyle w:val="ListParagraph"/>
        <w:numPr>
          <w:ilvl w:val="0"/>
          <w:numId w:val="2"/>
        </w:numPr>
        <w:spacing w:after="40" w:before="40" w:line="280"/>
      </w:pPr>
      <w:r>
        <w:t xml:space="preserve">One synchronised roadmap exists, owned by a named person.</w:t>
      </w:r>
    </w:p>
    <w:p>
      <w:pPr>
        <w:pStyle w:val="ListParagraph"/>
        <w:numPr>
          <w:ilvl w:val="0"/>
          <w:numId w:val="2"/>
        </w:numPr>
        <w:spacing w:after="40" w:before="40" w:line="280"/>
      </w:pPr>
      <w:r>
        <w:t xml:space="preserve">Gemini Live brand narrative is documented and signed off.</w:t>
      </w:r>
    </w:p>
    <w:p>
      <w:pPr>
        <w:pStyle w:val="ListParagraph"/>
        <w:numPr>
          <w:ilvl w:val="0"/>
          <w:numId w:val="2"/>
        </w:numPr>
        <w:spacing w:after="40" w:before="40" w:line="280"/>
      </w:pPr>
      <w:r>
        <w:t xml:space="preserve">Structured SharePoint library is in place with at least three case studies populated.</w:t>
      </w:r>
    </w:p>
    <w:p>
      <w:pPr>
        <w:pStyle w:val="ListParagraph"/>
        <w:numPr>
          <w:ilvl w:val="0"/>
          <w:numId w:val="2"/>
        </w:numPr>
        <w:spacing w:after="40" w:before="40" w:line="280"/>
      </w:pPr>
      <w:r>
        <w:t xml:space="preserve">AI leverage roadmap has two funded, owned, scoped use cases in build.</w:t>
      </w:r>
    </w:p>
    <w:p>
      <w:pPr>
        <w:pStyle w:val="ListParagraph"/>
        <w:numPr>
          <w:ilvl w:val="0"/>
          <w:numId w:val="2"/>
        </w:numPr>
        <w:spacing w:after="40" w:before="40" w:line="280"/>
      </w:pPr>
      <w:r>
        <w:t xml:space="preserve">Website roadmap is sequenced into 30/60/90 day tranches.</w:t>
      </w:r>
    </w:p>
    <w:p>
      <w:r>
        <w:br w:type="page"/>
      </w:r>
    </w:p>
    <w:p>
      <w:pPr>
        <w:pStyle w:val="Heading1"/>
      </w:pPr>
      <w:r>
        <w:rPr>
          <w:b/>
          <w:bCs/>
          <w:color w:val="1A1A1A"/>
        </w:rPr>
        <w:t xml:space="preserve">10. Working with Claude in this project</w:t>
      </w:r>
    </w:p>
    <w:p>
      <w:pPr>
        <w:pBdr>
          <w:bottom w:val="single" w:color="C8102E" w:sz="6" w:space="4"/>
        </w:pBdr>
        <w:spacing w:after="200" w:before="80"/>
      </w:pPr>
      <w:r>
        <w:t xml:space="preserve"> </w:t>
      </w:r>
    </w:p>
    <w:p>
      <w:pPr>
        <w:pStyle w:val="Heading2"/>
      </w:pPr>
      <w:r>
        <w:rPr>
          <w:b/>
          <w:bCs/>
          <w:color w:val="C8102E"/>
        </w:rPr>
        <w:t xml:space="preserve">10.1 What to put in this project knowledge base</w:t>
      </w:r>
    </w:p>
    <w:p>
      <w:pPr>
        <w:pStyle w:val="ListParagraph"/>
        <w:numPr>
          <w:ilvl w:val="0"/>
          <w:numId w:val="2"/>
        </w:numPr>
        <w:spacing w:after="40" w:before="40" w:line="280"/>
      </w:pPr>
      <w:r>
        <w:t xml:space="preserve">This Project Brief (this document).</w:t>
      </w:r>
    </w:p>
    <w:p>
      <w:pPr>
        <w:pStyle w:val="ListParagraph"/>
        <w:numPr>
          <w:ilvl w:val="0"/>
          <w:numId w:val="2"/>
        </w:numPr>
        <w:spacing w:after="40" w:before="40" w:line="280"/>
      </w:pPr>
      <w:r>
        <w:t xml:space="preserve">The Strategic Asset Pack (companion document).</w:t>
      </w:r>
    </w:p>
    <w:p>
      <w:pPr>
        <w:pStyle w:val="ListParagraph"/>
        <w:numPr>
          <w:ilvl w:val="0"/>
          <w:numId w:val="2"/>
        </w:numPr>
        <w:spacing w:after="40" w:before="40" w:line="280"/>
      </w:pPr>
      <w:r>
        <w:t xml:space="preserve">Existing legal/governance memo (Deliverable 1) when needed.</w:t>
      </w:r>
    </w:p>
    <w:p>
      <w:pPr>
        <w:pStyle w:val="ListParagraph"/>
        <w:numPr>
          <w:ilvl w:val="0"/>
          <w:numId w:val="2"/>
        </w:numPr>
        <w:spacing w:after="40" w:before="40" w:line="280"/>
      </w:pPr>
      <w:r>
        <w:t xml:space="preserve">Latest website copy pack and GTM plan revisions.</w:t>
      </w:r>
    </w:p>
    <w:p>
      <w:pPr>
        <w:pStyle w:val="ListParagraph"/>
        <w:numPr>
          <w:ilvl w:val="0"/>
          <w:numId w:val="2"/>
        </w:numPr>
        <w:spacing w:after="40" w:before="40" w:line="280"/>
      </w:pPr>
      <w:r>
        <w:t xml:space="preserve">Any signed-off brand assets and the live logo.</w:t>
      </w:r>
    </w:p>
    <w:p>
      <w:pPr>
        <w:pStyle w:val="ListParagraph"/>
        <w:numPr>
          <w:ilvl w:val="0"/>
          <w:numId w:val="2"/>
        </w:numPr>
        <w:spacing w:after="40" w:before="40" w:line="280"/>
      </w:pPr>
      <w:r>
        <w:t xml:space="preserve">SharePoint / Teams documents that are central to a current task (drop in as needed, not en masse).</w:t>
      </w:r>
    </w:p>
    <w:p>
      <w:pPr>
        <w:pStyle w:val="Heading2"/>
      </w:pPr>
      <w:r>
        <w:rPr>
          <w:b/>
          <w:bCs/>
          <w:color w:val="C8102E"/>
        </w:rPr>
        <w:t xml:space="preserve">10.2 What not to put in</w:t>
      </w:r>
    </w:p>
    <w:p>
      <w:pPr>
        <w:pStyle w:val="ListParagraph"/>
        <w:numPr>
          <w:ilvl w:val="0"/>
          <w:numId w:val="2"/>
        </w:numPr>
        <w:spacing w:after="40" w:before="40" w:line="280"/>
      </w:pPr>
      <w:r>
        <w:t xml:space="preserve">Personal or HR-sensitive material unless it is the subject of the task.</w:t>
      </w:r>
    </w:p>
    <w:p>
      <w:pPr>
        <w:pStyle w:val="ListParagraph"/>
        <w:numPr>
          <w:ilvl w:val="0"/>
          <w:numId w:val="2"/>
        </w:numPr>
        <w:spacing w:after="40" w:before="40" w:line="280"/>
      </w:pPr>
      <w:r>
        <w:t xml:space="preserve">Historic noise. Project knowledge should be current and live, not archival.</w:t>
      </w:r>
    </w:p>
    <w:p>
      <w:pPr>
        <w:pStyle w:val="ListParagraph"/>
        <w:numPr>
          <w:ilvl w:val="0"/>
          <w:numId w:val="2"/>
        </w:numPr>
        <w:spacing w:after="40" w:before="40" w:line="280"/>
      </w:pPr>
      <w:r>
        <w:t xml:space="preserve">Anything that exposes credentials or API keys.</w:t>
      </w:r>
    </w:p>
    <w:p>
      <w:pPr>
        <w:pStyle w:val="Heading2"/>
      </w:pPr>
      <w:r>
        <w:rPr>
          <w:b/>
          <w:bCs/>
          <w:color w:val="C8102E"/>
        </w:rPr>
        <w:t xml:space="preserve">10.3 How to start each session</w:t>
      </w:r>
    </w:p>
    <w:p>
      <w:pPr>
        <w:spacing w:after="60" w:before="60" w:line="300"/>
      </w:pPr>
      <w:r>
        <w:t xml:space="preserve">A short, declarative opener works best. Examples that work:</w:t>
      </w:r>
    </w:p>
    <w:p>
      <w:pPr>
        <w:pStyle w:val="ListParagraph"/>
        <w:numPr>
          <w:ilvl w:val="0"/>
          <w:numId w:val="2"/>
        </w:numPr>
        <w:spacing w:after="40" w:before="40" w:line="280"/>
      </w:pPr>
      <w:r>
        <w:t xml:space="preserve">“We are building the AMPM Group homepage. Strategy first, then copy, then page structure.”</w:t>
      </w:r>
    </w:p>
    <w:p>
      <w:pPr>
        <w:pStyle w:val="ListParagraph"/>
        <w:numPr>
          <w:ilvl w:val="0"/>
          <w:numId w:val="2"/>
        </w:numPr>
        <w:spacing w:after="40" w:before="40" w:line="280"/>
      </w:pPr>
      <w:r>
        <w:t xml:space="preserve">“Draft the Q1 GTM tranche. Board-pack version.”</w:t>
      </w:r>
    </w:p>
    <w:p>
      <w:pPr>
        <w:pStyle w:val="ListParagraph"/>
        <w:numPr>
          <w:ilvl w:val="0"/>
          <w:numId w:val="2"/>
        </w:numPr>
        <w:spacing w:after="40" w:before="40" w:line="280"/>
      </w:pPr>
      <w:r>
        <w:t xml:space="preserve">“Pressure test the Gemini Live narrative against a tier-one main contractor buyer’s objections.”</w:t>
      </w:r>
    </w:p>
    <w:p>
      <w:pPr>
        <w:pStyle w:val="ListParagraph"/>
        <w:numPr>
          <w:ilvl w:val="0"/>
          <w:numId w:val="2"/>
        </w:numPr>
        <w:spacing w:after="40" w:before="40" w:line="280"/>
      </w:pPr>
      <w:r>
        <w:t xml:space="preserve">“Gut-check the AI roadmap. Where are we wrong?”</w:t>
      </w:r>
    </w:p>
    <w:p>
      <w:pPr>
        <w:pStyle w:val="Heading2"/>
      </w:pPr>
      <w:r>
        <w:rPr>
          <w:b/>
          <w:bCs/>
          <w:color w:val="C8102E"/>
        </w:rPr>
        <w:t xml:space="preserve">10.4 What Claude will not do</w:t>
      </w:r>
    </w:p>
    <w:p>
      <w:pPr>
        <w:pStyle w:val="ListParagraph"/>
        <w:numPr>
          <w:ilvl w:val="0"/>
          <w:numId w:val="2"/>
        </w:numPr>
        <w:spacing w:after="40" w:before="40" w:line="280"/>
      </w:pPr>
      <w:r>
        <w:t xml:space="preserve">Wait passively. Claude will surface decisions and run the list.</w:t>
      </w:r>
    </w:p>
    <w:p>
      <w:pPr>
        <w:pStyle w:val="ListParagraph"/>
        <w:numPr>
          <w:ilvl w:val="0"/>
          <w:numId w:val="2"/>
        </w:numPr>
        <w:spacing w:after="40" w:before="40" w:line="280"/>
      </w:pPr>
      <w:r>
        <w:t xml:space="preserve">Drift into US framing or US-style hedging.</w:t>
      </w:r>
    </w:p>
    <w:p>
      <w:pPr>
        <w:pStyle w:val="ListParagraph"/>
        <w:numPr>
          <w:ilvl w:val="0"/>
          <w:numId w:val="2"/>
        </w:numPr>
        <w:spacing w:after="40" w:before="40" w:line="280"/>
      </w:pPr>
      <w:r>
        <w:t xml:space="preserve">Add motivational fluff or therapist tone.</w:t>
      </w:r>
    </w:p>
    <w:p>
      <w:pPr>
        <w:pStyle w:val="ListParagraph"/>
        <w:numPr>
          <w:ilvl w:val="0"/>
          <w:numId w:val="2"/>
        </w:numPr>
        <w:spacing w:after="40" w:before="40" w:line="280"/>
      </w:pPr>
      <w:r>
        <w:t xml:space="preserve">Pretend an assumption is sound when it is not.</w:t>
      </w:r>
    </w:p>
    <w:p>
      <w:pPr>
        <w:pBdr>
          <w:bottom w:val="single" w:color="C8102E" w:sz="6" w:space="4"/>
        </w:pBdr>
        <w:spacing w:after="200" w:before="80"/>
      </w:pPr>
      <w:r>
        <w:t xml:space="preserve"> </w:t>
      </w:r>
    </w:p>
    <w:p>
      <w:pPr>
        <w:spacing w:after="60" w:before="60" w:line="300"/>
      </w:pPr>
      <w:r>
        <w:rPr>
          <w:b/>
          <w:bCs/>
        </w:rPr>
        <w:t xml:space="preserve">Bottom line. </w:t>
      </w:r>
      <w:r>
        <w:t xml:space="preserve">This brief is the operating system. Drop it into a new Claude project alongside the Strategic Asset Pack and start with: “Read the brief and the asset pack. Confirm priorities. Begin with [task].”</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746"/>
      </w:tabs>
      <w:spacing w:after="0" w:before="0"/>
    </w:pPr>
    <w:r>
      <w:rPr>
        <w:rFonts w:ascii="Calibri" w:cs="Calibri" w:eastAsia="Calibri" w:hAnsi="Calibri"/>
        <w:color w:val="595959"/>
        <w:sz w:val="16"/>
        <w:szCs w:val="16"/>
      </w:rPr>
      <w:t xml:space="preserve">Project Brief — Brand, Market Capture &amp; AI Leverage</w:t>
    </w:r>
    <w:r>
      <w:rPr>
        <w:rFonts w:ascii="Calibri" w:cs="Calibri" w:eastAsia="Calibri" w:hAnsi="Calibri"/>
        <w:color w:val="595959"/>
        <w:sz w:val="16"/>
        <w:szCs w:val="16"/>
      </w:rPr>
      <w:t xml:space="preserve">  |  CONFIDENTIAL — Gemini AMPM</w:t>
    </w:r>
    <w:r>
      <w:rPr>
        <w:sz w:val="16"/>
        <w:szCs w:val="16"/>
      </w:rP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b/>
        <w:bCs/>
        <w:color w:val="C8102E"/>
        <w:sz w:val="16"/>
        <w:szCs w:val="16"/>
      </w:rPr>
      <w:t xml:space="preserve">GEMINI AMPM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1A1A1A"/>
      <w:sz w:val="56"/>
      <w:szCs w:val="56"/>
    </w:rPr>
  </w:style>
  <w:style w:type="paragraph" w:styleId="Subtitle">
    <w:name w:val="Subtitle"/>
    <w:basedOn w:val="Normal"/>
    <w:next w:val="Normal"/>
    <w:qFormat/>
    <w:pPr>
      <w:spacing w:after="240" w:before="0"/>
    </w:pPr>
    <w:rPr>
      <w:rFonts w:ascii="Calibri" w:cs="Calibri" w:eastAsia="Calibri" w:hAnsi="Calibri"/>
      <w:color w:val="C8102E"/>
      <w:sz w:val="28"/>
      <w:szCs w:val="28"/>
    </w:rPr>
  </w:style>
  <w:style w:type="paragraph" w:styleId="Heading1">
    <w:name w:val="Heading 1"/>
    <w:basedOn w:val="Normal"/>
    <w:next w:val="Normal"/>
    <w:qFormat/>
    <w:pPr>
      <w:spacing w:after="16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C8102E"/>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A1A1A"/>
      <w:sz w:val="24"/>
      <w:szCs w:val="24"/>
    </w:rPr>
  </w:style>
  <w:style w:type="paragraph" w:styleId="Caption">
    <w:name w:val="Caption"/>
    <w:basedOn w:val="Normal"/>
    <w:next w:val="Normal"/>
    <w:qFormat/>
    <w:pPr>
      <w:spacing w:after="120" w:before="0"/>
    </w:pPr>
    <w:rPr>
      <w:rFonts w:ascii="Calibri" w:cs="Calibri" w:eastAsia="Calibri" w:hAnsi="Calibri"/>
      <w:i/>
      <w:iCs/>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18dc3afdcef0104664fe441c9a7c5130c8d29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Brief — Brand, Market Capture &amp; AI Leverage</dc:title>
  <dc:creator>Gemini AMPM</dc:creator>
  <dc:description>Master brief for Claude project setup</dc:description>
  <cp:lastModifiedBy>Un-named</cp:lastModifiedBy>
  <cp:revision>1</cp:revision>
  <dcterms:created xsi:type="dcterms:W3CDTF">2026-05-07T12:45:29.574Z</dcterms:created>
  <dcterms:modified xsi:type="dcterms:W3CDTF">2026-05-07T12:45:29.575Z</dcterms:modified>
</cp:coreProperties>
</file>

<file path=docProps/custom.xml><?xml version="1.0" encoding="utf-8"?>
<Properties xmlns="http://schemas.openxmlformats.org/officeDocument/2006/custom-properties" xmlns:vt="http://schemas.openxmlformats.org/officeDocument/2006/docPropsVTypes"/>
</file>