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AMPM Group — Restructure &amp; Filing Instructions</w:t>
      </w:r>
    </w:p>
    <w:p>
      <w:pPr>
        <w:pBdr>
          <w:bottom w:val="single" w:color="1F4E79" w:sz="6" w:space="6"/>
        </w:pBdr>
        <w:spacing w:after="160"/>
      </w:pPr>
      <w:r>
        <w:t xml:space="preserve"/>
      </w:r>
    </w:p>
    <w:p>
      <w:r>
        <w:rPr>
          <w:b/>
          <w:bCs/>
        </w:rPr>
        <w:t xml:space="preserve">For: </w:t>
      </w:r>
      <w:r>
        <w:t xml:space="preserve">Joe Funnell, Watson Associates (accountants)</w:t>
      </w:r>
    </w:p>
    <w:p>
      <w:r>
        <w:rPr>
          <w:b/>
          <w:bCs/>
        </w:rPr>
        <w:t xml:space="preserve">From: </w:t>
      </w:r>
      <w:r>
        <w:t xml:space="preserve">Jamie Dawson</w:t>
      </w:r>
    </w:p>
    <w:p>
      <w:r>
        <w:rPr>
          <w:b/>
          <w:bCs/>
        </w:rPr>
        <w:t xml:space="preserve">Date: </w:t>
      </w:r>
      <w:r>
        <w:t xml:space="preserve">9 June 2026</w:t>
      </w:r>
    </w:p>
    <w:p>
      <w:r>
        <w:rPr>
          <w:b/>
          <w:bCs/>
        </w:rPr>
        <w:t xml:space="preserve">Re: </w:t>
      </w:r>
      <w:r>
        <w:t xml:space="preserve">Group reorganisation, director appointments, and two Family Investment Companies</w:t>
      </w:r>
    </w:p>
    <w:p>
      <w:pPr>
        <w:pStyle w:val="Heading1"/>
      </w:pPr>
      <w:r>
        <w:t xml:space="preserve">1. Objective</w:t>
      </w:r>
    </w:p>
    <w:p>
      <w:r>
        <w:t xml:space="preserve">Two newly-incorporated, non-trading companies need their directorships and shareholdings set into the intended group structure now, while both are dormant and nil-value (the cleanest time to do it). Plus two Family Investment Companies (FICs) to hold a third of the group each.</w:t>
      </w:r>
    </w:p>
    <w:p>
      <w:pPr>
        <w:pStyle w:val="Heading1"/>
      </w:pPr>
      <w:r>
        <w:t xml:space="preserve">2. The companies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AMPM Group Ltd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AMPM Building Services Ltd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 number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17136810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17225766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Incorporated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Apr 2026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May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registered office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2 Regent Business Centre, Jubilee Road, Burgess Hill, RH15 9TL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(same)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sole director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Lloyd Dawson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Lloyd Dawson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shareholder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Dawson — 100 ordinary £1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Dawson — 100% (confirm count)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PSC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Dawson (75%+)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Jamie Dawson (75%+)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Dormant / non-trading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Dormant / non-trading</w:t>
            </w:r>
          </w:p>
        </w:tc>
      </w:tr>
    </w:tbl>
    <w:p>
      <w:pPr>
        <w:spacing w:before="100"/>
      </w:pPr>
      <w:r>
        <w:rPr>
          <w:b/>
          <w:bCs/>
        </w:rPr>
        <w:t xml:space="preserve">Registered office for all four companies</w:t>
      </w:r>
      <w:r>
        <w:t xml:space="preserve"> (the two above + both FICs) to be: Watson Associates, 30–34 North Street, Hailsham, East Sussex, BN27 1DW. </w:t>
      </w:r>
      <w:r>
        <w:rPr>
          <w:i/>
          <w:iCs/>
        </w:rPr>
        <w:t xml:space="preserve">(Watson Associates to confirm they consent to act as the registered-office address.)</w:t>
      </w:r>
    </w:p>
    <w:p>
      <w:pPr>
        <w:pStyle w:val="Heading1"/>
      </w:pPr>
      <w:r>
        <w:t xml:space="preserve">3. Target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AMPM Group Ltd</w:t>
      </w:r>
      <w:r>
        <w:t xml:space="preserve"> — directors: Jamie Dawson (Chair), Daniel Small (MD), Luke Finney (Commercial Director). Shares split into thirds:</w:t>
      </w:r>
    </w:p>
    <w:p>
      <w:pPr>
        <w:pStyle w:val="ListParagraph"/>
        <w:numPr>
          <w:ilvl w:val="1"/>
          <w:numId w:val="2"/>
        </w:numPr>
      </w:pPr>
      <w:r>
        <w:t xml:space="preserve">Daniel Small — personally</w:t>
      </w:r>
    </w:p>
    <w:p>
      <w:pPr>
        <w:pStyle w:val="ListParagraph"/>
        <w:numPr>
          <w:ilvl w:val="1"/>
          <w:numId w:val="2"/>
        </w:numPr>
      </w:pPr>
      <w:r>
        <w:t xml:space="preserve">Bold Wolff Ltd — Jamie's FIC (see §6a)</w:t>
      </w:r>
    </w:p>
    <w:p>
      <w:pPr>
        <w:pStyle w:val="ListParagraph"/>
        <w:numPr>
          <w:ilvl w:val="1"/>
          <w:numId w:val="2"/>
        </w:numPr>
      </w:pPr>
      <w:r>
        <w:t xml:space="preserve">Luke's FIC — see §6b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AMPM Building Services Ltd</w:t>
      </w:r>
      <w:r>
        <w:t xml:space="preserve"> — directors: the same three. Owned 100% by AMPM Group Ltd.</w:t>
      </w:r>
    </w:p>
    <w:p>
      <w:pPr>
        <w:pStyle w:val="ListParagraph"/>
        <w:numPr>
          <w:ilvl w:val="0"/>
          <w:numId w:val="2"/>
        </w:numPr>
      </w:pPr>
      <w:r>
        <w:t xml:space="preserve">Two FICs to be formed — one for Jamie (Bold Wolff Ltd), one for Luke — to hold the Group shares.</w:t>
      </w:r>
    </w:p>
    <w:p>
      <w:pPr>
        <w:spacing w:before="80"/>
      </w:pPr>
      <w:r>
        <w:rPr>
          <w:i/>
          <w:iCs/>
        </w:rPr>
        <w:t xml:space="preserve">Note: job titles (Chair / MD / Commercial Director) are internal roles for the board minutes / shareholders' agreement only — Companies House records all three simply as “director.”</w:t>
      </w:r>
    </w:p>
    <w:p>
      <w:pPr>
        <w:pStyle w:val="Heading1"/>
      </w:pPr>
      <w:r>
        <w:t xml:space="preserve">4. Actions — in this order</w:t>
      </w:r>
    </w:p>
    <w:p>
      <w:pPr>
        <w:pStyle w:val="Heading2"/>
      </w:pPr>
      <w:r>
        <w:t xml:space="preserve">Step 1 — Registered office (AD01 × 2)</w:t>
      </w:r>
    </w:p>
    <w:p>
      <w:pPr>
        <w:pStyle w:val="ListParagraph"/>
        <w:numPr>
          <w:ilvl w:val="0"/>
          <w:numId w:val="2"/>
        </w:numPr>
      </w:pPr>
      <w:r>
        <w:t xml:space="preserve">Change AMPM Group Ltd and AMPM Building Services Ltd registered office to Watson Associates, 30–34 North Street, Hailsham, East Sussex, BN27 1DW. Incorporate both FICs at the same address.</w:t>
      </w:r>
    </w:p>
    <w:p>
      <w:pPr>
        <w:pStyle w:val="Heading2"/>
      </w:pPr>
      <w:r>
        <w:t xml:space="preserve">Step 2 — Appoint directors (AP01 × 4)</w:t>
      </w:r>
    </w:p>
    <w:p>
      <w:pPr>
        <w:pStyle w:val="ListParagraph"/>
        <w:numPr>
          <w:ilvl w:val="0"/>
          <w:numId w:val="2"/>
        </w:numPr>
      </w:pPr>
      <w:r>
        <w:t xml:space="preserve">AMPM Group Ltd: appoint Daniel Small and Luke Finney.</w:t>
      </w:r>
    </w:p>
    <w:p>
      <w:pPr>
        <w:pStyle w:val="ListParagraph"/>
        <w:numPr>
          <w:ilvl w:val="0"/>
          <w:numId w:val="2"/>
        </w:numPr>
      </w:pPr>
      <w:r>
        <w:t xml:space="preserve">AMPM Building Services Ltd: appoint Daniel Small and Luke Finney.</w:t>
      </w:r>
    </w:p>
    <w:p>
      <w:pPr>
        <w:pStyle w:val="ListParagraph"/>
        <w:numPr>
          <w:ilvl w:val="0"/>
          <w:numId w:val="2"/>
        </w:numPr>
      </w:pPr>
      <w:r>
        <w:t xml:space="preserve">Jamie is already a director of both. Director details in §5.</w:t>
      </w:r>
    </w:p>
    <w:p>
      <w:pPr>
        <w:pStyle w:val="Heading2"/>
      </w:pPr>
      <w:r>
        <w:t xml:space="preserve">Step 3 — Form the two FICs</w:t>
      </w:r>
    </w:p>
    <w:p>
      <w:r>
        <w:t xml:space="preserve">See §6. They must exist before they can hold the Group shares.</w:t>
      </w:r>
    </w:p>
    <w:p>
      <w:pPr>
        <w:pStyle w:val="Heading2"/>
      </w:pPr>
      <w:r>
        <w:t xml:space="preserve">Step 4 — Put Building Services under the Group</w:t>
      </w:r>
    </w:p>
    <w:p>
      <w:pPr>
        <w:pStyle w:val="ListParagraph"/>
        <w:numPr>
          <w:ilvl w:val="0"/>
          <w:numId w:val="2"/>
        </w:numPr>
      </w:pPr>
      <w:r>
        <w:t xml:space="preserve">Jamie transfers his entire holding in AMPM Building Services Ltd to AMPM Group Ltd (stock transfer form + board minutes of both companies).</w:t>
      </w:r>
    </w:p>
    <w:p>
      <w:pPr>
        <w:pStyle w:val="ListParagraph"/>
        <w:numPr>
          <w:ilvl w:val="0"/>
          <w:numId w:val="2"/>
        </w:numPr>
      </w:pPr>
      <w:r>
        <w:t xml:space="preserve">Consideration nil (dormant / nil-value) → no stamp duty.</w:t>
      </w:r>
    </w:p>
    <w:p>
      <w:pPr>
        <w:pStyle w:val="ListParagraph"/>
        <w:numPr>
          <w:ilvl w:val="0"/>
          <w:numId w:val="2"/>
        </w:numPr>
      </w:pPr>
      <w:r>
        <w:t xml:space="preserve">PSC update: Jamie comes off as individual PSC of BS; AMPM Group Ltd goes on as the corporate PSC / RLE.</w:t>
      </w:r>
    </w:p>
    <w:p>
      <w:pPr>
        <w:pStyle w:val="Heading2"/>
      </w:pPr>
      <w:r>
        <w:t xml:space="preserve">Step 5 — Split the Group into thirds</w:t>
      </w:r>
    </w:p>
    <w:p>
      <w:pPr>
        <w:pStyle w:val="ListParagraph"/>
        <w:numPr>
          <w:ilvl w:val="0"/>
          <w:numId w:val="2"/>
        </w:numPr>
      </w:pPr>
      <w:r>
        <w:t xml:space="preserve">Re-organise to a share count cleanly divisible by three (e.g. 99 = 33 each, or allot 2 to make 102 = 34 each — your call). Jamie transfers out his entire personal holding so the result is: Daniel Small, Bold Wolff Ltd (Jamie's FIC), Luke's FIC — one third each.</w:t>
      </w:r>
    </w:p>
    <w:p>
      <w:pPr>
        <w:pStyle w:val="ListParagraph"/>
        <w:numPr>
          <w:ilvl w:val="0"/>
          <w:numId w:val="2"/>
        </w:numPr>
      </w:pPr>
      <w:r>
        <w:t xml:space="preserve">Jamie retains control via the board and via the voting shares in his own FIC; he holds no shares in the Group personally afterwards.</w:t>
      </w:r>
    </w:p>
    <w:p>
      <w:pPr>
        <w:pStyle w:val="ListParagraph"/>
        <w:numPr>
          <w:ilvl w:val="0"/>
          <w:numId w:val="2"/>
        </w:numPr>
      </w:pPr>
      <w:r>
        <w:t xml:space="preserve">PSC update: Jamie off as 75%+ PSC; Daniel Small on as individual PSC (~33%); each FIC on as an RLE (~33% each). Each FIC then maintains its own PSC register.</w:t>
      </w:r>
    </w:p>
    <w:p>
      <w:pPr>
        <w:pStyle w:val="Heading2"/>
      </w:pPr>
      <w:r>
        <w:t xml:space="preserve">Step 6 — Tidy up</w:t>
      </w:r>
    </w:p>
    <w:p>
      <w:pPr>
        <w:pStyle w:val="ListParagraph"/>
        <w:numPr>
          <w:ilvl w:val="0"/>
          <w:numId w:val="2"/>
        </w:numPr>
      </w:pPr>
      <w:r>
        <w:t xml:space="preserve">Update statutory registers (members, directors, PSC) for all companies.</w:t>
      </w:r>
    </w:p>
    <w:p>
      <w:pPr>
        <w:pStyle w:val="ListParagraph"/>
        <w:numPr>
          <w:ilvl w:val="0"/>
          <w:numId w:val="2"/>
        </w:numPr>
      </w:pPr>
      <w:r>
        <w:t xml:space="preserve">Share changes confirmed at the next Confirmation Statement (CS01); PSC changes filed promptly on their own forms (PSC01/02/07 as applicable).</w:t>
      </w:r>
    </w:p>
    <w:p>
      <w:pPr>
        <w:pStyle w:val="Heading1"/>
      </w:pPr>
      <w:r>
        <w:t xml:space="preserve">5. Director appointment details (for the AP01s)</w:t>
      </w:r>
    </w:p>
    <w:p>
      <w:pPr>
        <w:pStyle w:val="Heading2"/>
      </w:pPr>
      <w:r>
        <w:t xml:space="preserve">Daniel Small</w:t>
      </w:r>
    </w:p>
    <w:p>
      <w:pPr>
        <w:pStyle w:val="ListParagraph"/>
        <w:numPr>
          <w:ilvl w:val="0"/>
          <w:numId w:val="2"/>
        </w:numPr>
      </w:pPr>
      <w:r>
        <w:t xml:space="preserve">Full name: Mr Daniel Brian Small</w:t>
      </w:r>
    </w:p>
    <w:p>
      <w:pPr>
        <w:pStyle w:val="ListParagraph"/>
        <w:numPr>
          <w:ilvl w:val="0"/>
          <w:numId w:val="2"/>
        </w:numPr>
      </w:pPr>
      <w:r>
        <w:t xml:space="preserve">Date of birth: </w:t>
      </w:r>
      <w:r>
        <w:rPr>
          <w:b/>
          <w:bCs/>
        </w:rPr>
        <w:t xml:space="preserve">14/10/1984</w:t>
      </w:r>
    </w:p>
    <w:p>
      <w:pPr>
        <w:pStyle w:val="ListParagraph"/>
        <w:numPr>
          <w:ilvl w:val="0"/>
          <w:numId w:val="2"/>
        </w:numPr>
      </w:pPr>
      <w:r>
        <w:t xml:space="preserve">Nationality: British · Country usually resident: England</w:t>
      </w:r>
    </w:p>
    <w:p>
      <w:pPr>
        <w:pStyle w:val="ListParagraph"/>
        <w:numPr>
          <w:ilvl w:val="0"/>
          <w:numId w:val="2"/>
        </w:numPr>
      </w:pPr>
      <w:r>
        <w:t xml:space="preserve">Occupation: Managing Director</w:t>
      </w:r>
    </w:p>
    <w:p>
      <w:pPr>
        <w:pStyle w:val="ListParagraph"/>
        <w:numPr>
          <w:ilvl w:val="0"/>
          <w:numId w:val="2"/>
        </w:numPr>
      </w:pPr>
      <w:r>
        <w:t xml:space="preserve">Service address: company registered office (Watson Associates, Hailsham)</w:t>
      </w:r>
    </w:p>
    <w:p>
      <w:pPr>
        <w:pStyle w:val="ListParagraph"/>
        <w:numPr>
          <w:ilvl w:val="0"/>
          <w:numId w:val="2"/>
        </w:numPr>
      </w:pPr>
      <w:r>
        <w:t xml:space="preserve">Usual residential address: </w:t>
      </w:r>
      <w:r>
        <w:t xml:space="preserve">Thompsetts Cottage, Stairbridge Lane, Bolney, RH17 5PA </w:t>
      </w:r>
      <w:r>
        <w:rPr>
          <w:i/>
          <w:iCs/>
        </w:rPr>
        <w:t xml:space="preserve">(private — not published)</w:t>
      </w:r>
    </w:p>
    <w:p>
      <w:pPr>
        <w:pStyle w:val="ListParagraph"/>
        <w:numPr>
          <w:ilvl w:val="0"/>
          <w:numId w:val="2"/>
        </w:numPr>
      </w:pPr>
      <w:r>
        <w:t xml:space="preserve">Consented to act: </w:t>
      </w:r>
      <w:r>
        <w:rPr>
          <w:i/>
          <w:iCs/>
        </w:rPr>
        <w:t xml:space="preserve">confirm with Dan</w:t>
      </w:r>
    </w:p>
    <w:p>
      <w:pPr>
        <w:pStyle w:val="Heading2"/>
      </w:pPr>
      <w:r>
        <w:t xml:space="preserve">Luke Finney</w:t>
      </w:r>
    </w:p>
    <w:p>
      <w:pPr>
        <w:pStyle w:val="ListParagraph"/>
        <w:numPr>
          <w:ilvl w:val="0"/>
          <w:numId w:val="2"/>
        </w:numPr>
      </w:pPr>
      <w:r>
        <w:t xml:space="preserve">Full name: Mr Luke James Finney</w:t>
      </w:r>
    </w:p>
    <w:p>
      <w:pPr>
        <w:pStyle w:val="ListParagraph"/>
        <w:numPr>
          <w:ilvl w:val="0"/>
          <w:numId w:val="2"/>
        </w:numPr>
      </w:pPr>
      <w:r>
        <w:t xml:space="preserve">Date of birth: </w:t>
      </w:r>
      <w:r>
        <w:rPr>
          <w:b/>
          <w:bCs/>
        </w:rPr>
        <w:t xml:space="preserve">08/09/1977</w:t>
      </w:r>
    </w:p>
    <w:p>
      <w:pPr>
        <w:pStyle w:val="ListParagraph"/>
        <w:numPr>
          <w:ilvl w:val="0"/>
          <w:numId w:val="2"/>
        </w:numPr>
      </w:pPr>
      <w:r>
        <w:t xml:space="preserve">Nationality: British · Country usually resident: England</w:t>
      </w:r>
    </w:p>
    <w:p>
      <w:pPr>
        <w:pStyle w:val="ListParagraph"/>
        <w:numPr>
          <w:ilvl w:val="0"/>
          <w:numId w:val="2"/>
        </w:numPr>
      </w:pPr>
      <w:r>
        <w:t xml:space="preserve">Occupation: Commercial Director</w:t>
      </w:r>
    </w:p>
    <w:p>
      <w:pPr>
        <w:pStyle w:val="ListParagraph"/>
        <w:numPr>
          <w:ilvl w:val="0"/>
          <w:numId w:val="2"/>
        </w:numPr>
      </w:pPr>
      <w:r>
        <w:t xml:space="preserve">Service address: company registered office (Watson Associates, Hailsham)</w:t>
      </w:r>
    </w:p>
    <w:p>
      <w:pPr>
        <w:pStyle w:val="ListParagraph"/>
        <w:numPr>
          <w:ilvl w:val="0"/>
          <w:numId w:val="2"/>
        </w:numPr>
      </w:pPr>
      <w:r>
        <w:t xml:space="preserve">Usual residential address: </w:t>
      </w:r>
      <w:r>
        <w:t xml:space="preserve">36 Mornington Road, Woodford Green, Essex, IG8 0TL </w:t>
      </w:r>
      <w:r>
        <w:rPr>
          <w:i/>
          <w:iCs/>
        </w:rPr>
        <w:t xml:space="preserve">(private — not published)</w:t>
      </w:r>
    </w:p>
    <w:p>
      <w:pPr>
        <w:pStyle w:val="ListParagraph"/>
        <w:numPr>
          <w:ilvl w:val="0"/>
          <w:numId w:val="2"/>
        </w:numPr>
      </w:pPr>
      <w:r>
        <w:t xml:space="preserve">Consented to act: </w:t>
      </w:r>
      <w:r>
        <w:rPr>
          <w:i/>
          <w:iCs/>
        </w:rPr>
        <w:t xml:space="preserve">confirm with Luke</w:t>
      </w:r>
    </w:p>
    <w:p>
      <w:pPr>
        <w:spacing w:before="80"/>
      </w:pPr>
      <w:r>
        <w:rPr>
          <w:i/>
          <w:iCs/>
        </w:rPr>
        <w:t xml:space="preserve">Name / DOB month &amp; year / nationality verified from their existing Gemini AMPM Ltd appointments.</w:t>
      </w:r>
    </w:p>
    <w:p>
      <w:pPr>
        <w:pStyle w:val="Heading1"/>
      </w:pPr>
      <w:r>
        <w:t xml:space="preserve">6. The two Family Investment Companies (FICs)</w:t>
      </w:r>
    </w:p>
    <w:p>
      <w:r>
        <w:t xml:space="preserve">Each FIC holds one third of AMPM Group Ltd. The founder takes the voting / control shares; family members take separate classes (growth / dividend, typically non-voting). Allocations below need your tax sign-off — see §7.</w:t>
      </w:r>
    </w:p>
    <w:p>
      <w:pPr>
        <w:pStyle w:val="Heading2"/>
      </w:pPr>
      <w:r>
        <w:t xml:space="preserve">6a. Jamie's FIC — Bold Wolff Ltd (confirmed by Jamie)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 xml:space="preserve">Bold Wolff Ltd </w:t>
      </w:r>
      <w:r>
        <w:rPr>
          <w:i/>
          <w:iCs/>
        </w:rPr>
        <w:t xml:space="preserve">(available on the register as at 9 Jun 2026; “Bold” = Bailey, Oscar, Louie, Dawson)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Registered office: </w:t>
      </w:r>
      <w:r>
        <w:t xml:space="preserve">Watson Associates, Hailsham (as §2)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Director: </w:t>
      </w:r>
      <w:r>
        <w:t xml:space="preserve">Jamie Dawson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Ordinary (voting / control) shares: </w:t>
      </w:r>
      <w:r>
        <w:t xml:space="preserve">Jamie Dawson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 shares: </w:t>
      </w:r>
      <w:r>
        <w:t xml:space="preserve">Bailey Lloyd Dawson (DOB 05/09/2000), Katie Wolff (DOB 29/03/1974), Sophie Wolff (DOB 11/02/2000)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 shares (both under 18):</w:t>
      </w:r>
    </w:p>
    <w:p>
      <w:pPr>
        <w:pStyle w:val="ListParagraph"/>
        <w:numPr>
          <w:ilvl w:val="1"/>
          <w:numId w:val="2"/>
        </w:numPr>
      </w:pPr>
      <w:r>
        <w:t xml:space="preserve">Oscar Louie Dawson — DOB 19/11/2013</w:t>
      </w:r>
    </w:p>
    <w:p>
      <w:pPr>
        <w:pStyle w:val="ListParagraph"/>
        <w:numPr>
          <w:ilvl w:val="1"/>
          <w:numId w:val="2"/>
        </w:numPr>
      </w:pPr>
      <w:r>
        <w:t xml:space="preserve">Louie Rosco Dawson — DOB 30/11/2016</w:t>
      </w:r>
    </w:p>
    <w:p>
      <w:pPr>
        <w:pStyle w:val="ListParagraph"/>
        <w:numPr>
          <w:ilvl w:val="0"/>
          <w:numId w:val="2"/>
        </w:numPr>
      </w:pPr>
      <w:r>
        <w:t xml:space="preserve">No other share classes.</w:t>
      </w:r>
    </w:p>
    <w:p>
      <w:pPr>
        <w:pStyle w:val="Heading2"/>
      </w:pPr>
      <w:r>
        <w:t xml:space="preserve">6b. Luke's FIC (Luke to give final confirmation — name TBC)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Registered office: </w:t>
      </w:r>
      <w:r>
        <w:t xml:space="preserve">Watson Associates, Hailsham (as §2)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Director: </w:t>
      </w:r>
      <w:r>
        <w:t xml:space="preserve">Luke Finney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Ordinary (voting / control) shares: </w:t>
      </w:r>
      <w:r>
        <w:t xml:space="preserve">Luke Finney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 shares (equal — half each):</w:t>
      </w:r>
    </w:p>
    <w:p>
      <w:pPr>
        <w:pStyle w:val="ListParagraph"/>
        <w:numPr>
          <w:ilvl w:val="1"/>
          <w:numId w:val="2"/>
        </w:numPr>
      </w:pPr>
      <w:r>
        <w:t xml:space="preserve">Charlotte Catherall — DOB 10/02/1988</w:t>
      </w:r>
    </w:p>
    <w:p>
      <w:pPr>
        <w:pStyle w:val="ListParagraph"/>
        <w:numPr>
          <w:ilvl w:val="1"/>
          <w:numId w:val="2"/>
        </w:numPr>
      </w:pPr>
      <w:r>
        <w:t xml:space="preserve">Joseph Finney (Luke's son) — DOB 06/02/2004</w:t>
      </w:r>
    </w:p>
    <w:p>
      <w:pPr>
        <w:pStyle w:val="Heading1"/>
      </w:pPr>
      <w:r>
        <w:t xml:space="preserve">7. Tax &amp; compliance notes for your 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s431 elections</w:t>
      </w:r>
      <w:r>
        <w:t xml:space="preserve"> within 14 days of Daniel and Luke receiving Group shares (director-shareholders). Nil value now, so protective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Minor children as shareholders (Bold Wolff Ltd): </w:t>
      </w:r>
      <w:r>
        <w:t xml:space="preserve">Oscar (b. 2013) and Louie (b. 2016) hold the C shares. Please advise on the parental settlements rules (ITTOIA 2005 s629) and whether their shares should be held via a bare trust with an adult trustee. This is the main point Jamie wants your steer 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Stamp duty: </w:t>
      </w:r>
      <w:r>
        <w:t xml:space="preserve">nil on the share moves while the companies are nil-value.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FIC articles / shareholders' agreements: </w:t>
      </w:r>
      <w:r>
        <w:t xml:space="preserve">both FICs want bespoke articles defining the share classes (voting, dividend, capital rights) rather than off-the-shelf model articles.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IHT / growth-share design </w:t>
      </w:r>
      <w:r>
        <w:t xml:space="preserve">for the family classes — your recommendation welcomed.</w:t>
      </w:r>
    </w:p>
    <w:p>
      <w:pPr>
        <w:pStyle w:val="Heading1"/>
      </w:pPr>
      <w:r>
        <w:t xml:space="preserve">8. Information still needed before filing</w:t>
      </w:r>
    </w:p>
    <w:p>
      <w:pPr>
        <w:pStyle w:val="ListParagraph"/>
        <w:numPr>
          <w:ilvl w:val="0"/>
          <w:numId w:val="3"/>
        </w:numPr>
      </w:pPr>
      <w:r>
        <w:t xml:space="preserve">Written confirmation Daniel and Luke consent to act as directors.</w:t>
      </w:r>
    </w:p>
    <w:p>
      <w:pPr>
        <w:pStyle w:val="ListParagraph"/>
        <w:numPr>
          <w:ilvl w:val="0"/>
          <w:numId w:val="3"/>
        </w:numPr>
      </w:pPr>
      <w:r>
        <w:t xml:space="preserve">Luke's FIC name + his final sign-off (§6b).</w:t>
      </w:r>
    </w:p>
    <w:p>
      <w:pPr>
        <w:pStyle w:val="ListParagraph"/>
        <w:numPr>
          <w:ilvl w:val="0"/>
          <w:numId w:val="3"/>
        </w:numPr>
      </w:pPr>
      <w:r>
        <w:t xml:space="preserve">Watson Associates to confirm consent to act as registered office for all four companies.</w:t>
      </w:r>
    </w:p>
    <w:p>
      <w:pPr>
        <w:pStyle w:val="Heading1"/>
      </w:pPr>
      <w:r>
        <w:t xml:space="preserve">9. Coordination note</w:t>
      </w:r>
    </w:p>
    <w:p>
      <w:r>
        <w:t xml:space="preserve">There is a live CMS matter. Jamie is keeping his family solicitor informed of his third going into a FIC. Please flag if any of the above has a bearing on the timing from your side.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2026-06-09T11:57:07.288Z</dcterms:created>
  <dcterms:modified xsi:type="dcterms:W3CDTF">2026-06-09T11:57:07.288Z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