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60" w:before="0"/>
        <w:jc w:val="left"/>
      </w:pPr>
      <w:r>
        <w:rPr>
          <w:rFonts w:ascii="Arial" w:cs="Arial" w:eastAsia="Arial" w:hAnsi="Arial"/>
          <w:b/>
          <w:bCs/>
          <w:color w:val="1A2E4A"/>
          <w:sz w:val="56"/>
          <w:szCs w:val="56"/>
        </w:rPr>
        <w:t xml:space="preserve">AMPM BUILDING SERVICES LIMITED</w:t>
      </w:r>
    </w:p>
    <w:p>
      <w:pPr>
        <w:pBdr>
          <w:bottom w:val="single" w:color="2A6E8C" w:sz="12" w:space="6"/>
        </w:pBdr>
        <w:spacing w:after="200" w:before="0"/>
        <w:jc w:val="left"/>
      </w:pPr>
      <w:r>
        <w:rPr>
          <w:rFonts w:ascii="Arial" w:cs="Arial" w:eastAsia="Arial" w:hAnsi="Arial"/>
          <w:b w:val="false"/>
          <w:bCs w:val="false"/>
          <w:color w:val="2A6E8C"/>
          <w:sz w:val="36"/>
          <w:szCs w:val="36"/>
        </w:rPr>
        <w:t xml:space="preserve">Launch Business Plan</w:t>
      </w:r>
    </w:p>
    <w:p>
      <w:pPr>
        <w:spacing w:after="0" w:before="0"/>
      </w:pPr>
      <w:r>
        <w:t xml:space="preserve"/>
      </w:r>
    </w:p>
    <w:p>
      <w:pPr>
        <w:spacing w:after="0" w:before="120"/>
        <w:jc w:val="left"/>
      </w:pPr>
      <w:r>
        <w:rPr>
          <w:rFonts w:ascii="Arial" w:cs="Arial" w:eastAsia="Arial" w:hAnsi="Arial"/>
          <w:b w:val="false"/>
          <w:bCs w:val="false"/>
          <w:i w:val="false"/>
          <w:iCs w:val="false"/>
          <w:color w:val="8A8F96"/>
          <w:sz w:val="24"/>
          <w:szCs w:val="24"/>
        </w:rPr>
        <w:t xml:space="preserve">Full M&amp;E, fit-out, roofing and groundworks subsidiary of AMPM Group Limited.
Operational target: June 2026.  Year-one revenue target: £4 million.</w:t>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spacing w:after="0" w:before="0"/>
      </w:pPr>
      <w:r>
        <w:t xml:space="preserve"/>
      </w:r>
    </w:p>
    <w:p>
      <w:pPr>
        <w:pBdr>
          <w:top w:val="single" w:color="D0D5DB" w:sz="4" w:space="4"/>
        </w:pBdr>
        <w:spacing w:after="60" w:before="0"/>
        <w:jc w:val="left"/>
      </w:pPr>
      <w:r>
        <w:rPr>
          <w:sz w:val="8"/>
          <w:szCs w:val="8"/>
        </w:rPr>
        <w:t xml:space="preserve"/>
      </w:r>
    </w:p>
    <w:p>
      <w:pPr>
        <w:tabs>
          <w:tab w:val="right" w:pos="9026"/>
        </w:tabs>
        <w:spacing w:after="40" w:before="60"/>
      </w:pPr>
      <w:r>
        <w:rPr>
          <w:rFonts w:ascii="Arial" w:cs="Arial" w:eastAsia="Arial" w:hAnsi="Arial"/>
          <w:color w:val="8A8F96"/>
          <w:sz w:val="18"/>
          <w:szCs w:val="18"/>
        </w:rPr>
        <w:t xml:space="preserve">Version 1.0  |  May 2026  |  Strictly Confidential</w:t>
      </w:r>
    </w:p>
    <w:p>
      <w:r>
        <w:br w:type="page"/>
      </w:r>
    </w:p>
    <w:p>
      <w:pPr>
        <w:sectPr>
          <w:pgSz w:w="11906" w:h="16838" w:orient="portrait"/>
          <w:pgMar w:top="1418" w:right="1418" w:bottom="1418" w:left="1418" w:header="708" w:footer="708" w:gutter="0"/>
          <w:pgNumType/>
          <w:docGrid w:linePitch="360"/>
        </w:sectPr>
      </w:pPr>
    </w:p>
    <w:p>
      <w:pPr>
        <w:pStyle w:val="Heading1"/>
        <w:pBdr>
          <w:bottom w:val="single" w:color="2A6E8C" w:sz="8" w:space="4"/>
        </w:pBdr>
        <w:spacing w:after="140" w:before="320"/>
      </w:pPr>
      <w:r>
        <w:t xml:space="preserve">1.  Executive Summary</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67"/>
        <w:gridCol w:w="2267"/>
        <w:gridCol w:w="2267"/>
        <w:gridCol w:w="2269"/>
      </w:tblGrid>
      <w:tr>
        <w:tc>
          <w:tcPr>
            <w:tcW w:type="dxa" w:w="2267"/>
            <w:tcBorders>
              <w:top w:val="single" w:color="D0D5DB" w:sz="1"/>
              <w:left w:val="single" w:color="D0D5DB" w:sz="1"/>
              <w:bottom w:val="single" w:color="D0D5DB" w:sz="1"/>
              <w:right w:val="single" w:color="D0D5DB" w:sz="1"/>
            </w:tcBorders>
            <w:shd w:fill="1A6B3A" w:val="clear"/>
            <w:tcMar>
              <w:top w:type="dxa" w:w="140"/>
              <w:left w:type="dxa" w:w="140"/>
              <w:bottom w:type="dxa" w:w="140"/>
              <w:right w:type="dxa" w:w="140"/>
            </w:tcMar>
            <w:vAlign w:val="center"/>
          </w:tcPr>
          <w:p>
            <w:pPr>
              <w:spacing w:after="30" w:before="0"/>
              <w:jc w:val="center"/>
            </w:pPr>
            <w:r>
              <w:rPr>
                <w:rFonts w:ascii="Arial" w:cs="Arial" w:eastAsia="Arial" w:hAnsi="Arial"/>
                <w:b/>
                <w:bCs/>
                <w:color w:val="FFFFFF"/>
                <w:sz w:val="40"/>
                <w:szCs w:val="40"/>
              </w:rPr>
              <w:t xml:space="preserve">June 2026</w:t>
            </w:r>
          </w:p>
          <w:p>
            <w:pPr>
              <w:spacing w:after="0" w:before="0"/>
              <w:jc w:val="center"/>
            </w:pPr>
            <w:r>
              <w:rPr>
                <w:rFonts w:ascii="Arial" w:cs="Arial" w:eastAsia="Arial" w:hAnsi="Arial"/>
                <w:b w:val="false"/>
                <w:bCs w:val="false"/>
                <w:color w:val="B8CCD8"/>
                <w:sz w:val="18"/>
                <w:szCs w:val="18"/>
              </w:rPr>
              <w:t xml:space="preserve">OPERATIONAL TARGET</w:t>
            </w:r>
          </w:p>
        </w:tc>
        <w:tc>
          <w:tcPr>
            <w:tcW w:type="dxa" w:w="2267"/>
            <w:tcBorders>
              <w:top w:val="single" w:color="D0D5DB" w:sz="1"/>
              <w:left w:val="single" w:color="D0D5DB" w:sz="1"/>
              <w:bottom w:val="single" w:color="D0D5DB" w:sz="1"/>
              <w:right w:val="single" w:color="D0D5DB" w:sz="1"/>
            </w:tcBorders>
            <w:shd w:fill="1A2E4A" w:val="clear"/>
            <w:tcMar>
              <w:top w:type="dxa" w:w="140"/>
              <w:left w:type="dxa" w:w="140"/>
              <w:bottom w:type="dxa" w:w="140"/>
              <w:right w:type="dxa" w:w="140"/>
            </w:tcMar>
            <w:vAlign w:val="center"/>
          </w:tcPr>
          <w:p>
            <w:pPr>
              <w:spacing w:after="30" w:before="0"/>
              <w:jc w:val="center"/>
            </w:pPr>
            <w:r>
              <w:rPr>
                <w:rFonts w:ascii="Arial" w:cs="Arial" w:eastAsia="Arial" w:hAnsi="Arial"/>
                <w:b/>
                <w:bCs/>
                <w:color w:val="FFFFFF"/>
                <w:sz w:val="40"/>
                <w:szCs w:val="40"/>
              </w:rPr>
              <w:t xml:space="preserve">£4m</w:t>
            </w:r>
          </w:p>
          <w:p>
            <w:pPr>
              <w:spacing w:after="0" w:before="0"/>
              <w:jc w:val="center"/>
            </w:pPr>
            <w:r>
              <w:rPr>
                <w:rFonts w:ascii="Arial" w:cs="Arial" w:eastAsia="Arial" w:hAnsi="Arial"/>
                <w:b w:val="false"/>
                <w:bCs w:val="false"/>
                <w:color w:val="B8CCD8"/>
                <w:sz w:val="18"/>
                <w:szCs w:val="18"/>
              </w:rPr>
              <w:t xml:space="preserve">YEAR-ONE REVENUE</w:t>
            </w:r>
          </w:p>
        </w:tc>
        <w:tc>
          <w:tcPr>
            <w:tcW w:type="dxa" w:w="2267"/>
            <w:tcBorders>
              <w:top w:val="single" w:color="D0D5DB" w:sz="1"/>
              <w:left w:val="single" w:color="D0D5DB" w:sz="1"/>
              <w:bottom w:val="single" w:color="D0D5DB" w:sz="1"/>
              <w:right w:val="single" w:color="D0D5DB" w:sz="1"/>
            </w:tcBorders>
            <w:shd w:fill="2A6E8C" w:val="clear"/>
            <w:tcMar>
              <w:top w:type="dxa" w:w="140"/>
              <w:left w:type="dxa" w:w="140"/>
              <w:bottom w:type="dxa" w:w="140"/>
              <w:right w:type="dxa" w:w="140"/>
            </w:tcMar>
            <w:vAlign w:val="center"/>
          </w:tcPr>
          <w:p>
            <w:pPr>
              <w:spacing w:after="30" w:before="0"/>
              <w:jc w:val="center"/>
            </w:pPr>
            <w:r>
              <w:rPr>
                <w:rFonts w:ascii="Arial" w:cs="Arial" w:eastAsia="Arial" w:hAnsi="Arial"/>
                <w:b/>
                <w:bCs/>
                <w:color w:val="FFFFFF"/>
                <w:sz w:val="40"/>
                <w:szCs w:val="40"/>
              </w:rPr>
              <w:t xml:space="preserve">Sub into Gemini</w:t>
            </w:r>
          </w:p>
          <w:p>
            <w:pPr>
              <w:spacing w:after="0" w:before="0"/>
              <w:jc w:val="center"/>
            </w:pPr>
            <w:r>
              <w:rPr>
                <w:rFonts w:ascii="Arial" w:cs="Arial" w:eastAsia="Arial" w:hAnsi="Arial"/>
                <w:b w:val="false"/>
                <w:bCs w:val="false"/>
                <w:color w:val="B8CCD8"/>
                <w:sz w:val="18"/>
                <w:szCs w:val="18"/>
              </w:rPr>
              <w:t xml:space="preserve">PHASE 1 ROUTE</w:t>
            </w:r>
          </w:p>
        </w:tc>
        <w:tc>
          <w:tcPr>
            <w:tcW w:type="dxa" w:w="2269"/>
            <w:tcBorders>
              <w:top w:val="single" w:color="D0D5DB" w:sz="1"/>
              <w:left w:val="single" w:color="D0D5DB" w:sz="1"/>
              <w:bottom w:val="single" w:color="D0D5DB" w:sz="1"/>
              <w:right w:val="single" w:color="D0D5DB" w:sz="1"/>
            </w:tcBorders>
            <w:shd w:fill="1A2E4A" w:val="clear"/>
            <w:tcMar>
              <w:top w:type="dxa" w:w="140"/>
              <w:left w:type="dxa" w:w="140"/>
              <w:bottom w:type="dxa" w:w="140"/>
              <w:right w:type="dxa" w:w="140"/>
            </w:tcMar>
            <w:vAlign w:val="center"/>
          </w:tcPr>
          <w:p>
            <w:pPr>
              <w:spacing w:after="30" w:before="0"/>
              <w:jc w:val="center"/>
            </w:pPr>
            <w:r>
              <w:rPr>
                <w:rFonts w:ascii="Arial" w:cs="Arial" w:eastAsia="Arial" w:hAnsi="Arial"/>
                <w:b/>
                <w:bCs/>
                <w:color w:val="FFFFFF"/>
                <w:sz w:val="40"/>
                <w:szCs w:val="40"/>
              </w:rPr>
              <w:t xml:space="preserve">Incorporated</w:t>
            </w:r>
          </w:p>
          <w:p>
            <w:pPr>
              <w:spacing w:after="0" w:before="0"/>
              <w:jc w:val="center"/>
            </w:pPr>
            <w:r>
              <w:rPr>
                <w:rFonts w:ascii="Arial" w:cs="Arial" w:eastAsia="Arial" w:hAnsi="Arial"/>
                <w:b w:val="false"/>
                <w:bCs w:val="false"/>
                <w:color w:val="B8CCD8"/>
                <w:sz w:val="18"/>
                <w:szCs w:val="18"/>
              </w:rPr>
              <w:t xml:space="preserve">ENTITY STATUS</w:t>
            </w:r>
          </w:p>
        </w:tc>
      </w:tr>
    </w:tbl>
    <w:p>
      <w:pPr>
        <w:spacing w:after="0" w:before="0"/>
      </w:pPr>
      <w:r>
        <w:t xml:space="preserve"/>
      </w:r>
    </w:p>
    <w:p>
      <w:pPr>
        <w:spacing w:after="80" w:before="120"/>
        <w:jc w:val="left"/>
      </w:pPr>
      <w:r>
        <w:rPr>
          <w:rFonts w:ascii="Arial" w:cs="Arial" w:eastAsia="Arial" w:hAnsi="Arial"/>
          <w:b w:val="false"/>
          <w:bCs w:val="false"/>
          <w:i w:val="false"/>
          <w:iCs w:val="false"/>
          <w:color w:val="1A1A1A"/>
          <w:sz w:val="22"/>
          <w:szCs w:val="22"/>
        </w:rPr>
        <w:t xml:space="preserve">AMPM Building Services Limited is an incorporated subsidiary of AMPM Group Limited. It is being launched as a full building services contractor covering mechanical and electrical (M&amp;E), fit-out, roofing, and groundworks. The entity is designed to capture a large volume of building services work currently being sub-contracted out of Gemini AMPM to third parties — bringing it in-house, on a separate P&amp;L, with a clean risk profile.</w:t>
      </w:r>
    </w:p>
    <w:p>
      <w:pPr>
        <w:spacing w:after="80" w:before="80"/>
        <w:jc w:val="left"/>
      </w:pPr>
      <w:r>
        <w:rPr>
          <w:rFonts w:ascii="Arial" w:cs="Arial" w:eastAsia="Arial" w:hAnsi="Arial"/>
          <w:b w:val="false"/>
          <w:bCs w:val="false"/>
          <w:i w:val="false"/>
          <w:iCs w:val="false"/>
          <w:color w:val="1A1A1A"/>
          <w:sz w:val="22"/>
          <w:szCs w:val="22"/>
        </w:rPr>
        <w:t xml:space="preserve">The strategy is phased. In Phase 1, AMPM Building Services sub-contracts into Gemini AMPM on existing projects, generating immediate revenue with low new-business risk. In Phase 2, the entity approaches friendly clients directly, establishing its own client relationships and order book. The year-one revenue target is £4 million.</w:t>
      </w:r>
    </w:p>
    <w:p>
      <w:pPr>
        <w:spacing w:after="80" w:before="80"/>
        <w:jc w:val="left"/>
      </w:pPr>
      <w:r>
        <w:rPr>
          <w:rFonts w:ascii="Arial" w:cs="Arial" w:eastAsia="Arial" w:hAnsi="Arial"/>
          <w:b w:val="false"/>
          <w:bCs w:val="false"/>
          <w:i w:val="false"/>
          <w:iCs w:val="false"/>
          <w:color w:val="1A1A1A"/>
          <w:sz w:val="22"/>
          <w:szCs w:val="22"/>
        </w:rPr>
        <w:t xml:space="preserve">This structure deliberately de-risks Gemini AMPM: new supply chain relationships, new client contracts, and the operational risks inherent in a growing business entity are held within the new company rather than consolidated onto Gemini's P&amp;L and accreditation register.</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2A6E8C" w:sz="6"/>
              <w:left w:val="single" w:color="2A6E8C" w:sz="6"/>
              <w:bottom w:val="single" w:color="2A6E8C" w:sz="6"/>
              <w:right w:val="single" w:color="2A6E8C" w:sz="6"/>
            </w:tcBorders>
            <w:shd w:fill="F2F4F6" w:val="clear"/>
            <w:tcMar>
              <w:top w:type="dxa" w:w="120"/>
              <w:left w:type="dxa" w:w="200"/>
              <w:bottom w:type="dxa" w:w="120"/>
              <w:right w:type="dxa" w:w="200"/>
            </w:tcMar>
          </w:tcPr>
          <w:p>
            <w:pPr>
              <w:spacing w:after="0" w:before="0"/>
              <w:jc w:val="left"/>
            </w:pPr>
            <w:r>
              <w:rPr>
                <w:rFonts w:ascii="Arial" w:cs="Arial" w:eastAsia="Arial" w:hAnsi="Arial"/>
                <w:b w:val="false"/>
                <w:bCs w:val="false"/>
                <w:i w:val="false"/>
                <w:iCs w:val="false"/>
                <w:color w:val="1A2E4A"/>
                <w:sz w:val="20"/>
                <w:szCs w:val="20"/>
              </w:rPr>
              <w:t xml:space="preserve">AMPM Building Services is the Group's fastest path to additional revenue in the near term. It is not a speculative future entity — it is operationally ready and has an identified pipeline from day one via the Gemini relationship.</w:t>
            </w:r>
          </w:p>
        </w:tc>
      </w:tr>
    </w:tbl>
    <w:p>
      <w:pPr>
        <w:spacing w:after="0" w:before="0"/>
      </w:pPr>
      <w:r>
        <w:t xml:space="preserve"/>
      </w:r>
    </w:p>
    <w:p>
      <w:r>
        <w:br w:type="page"/>
      </w:r>
    </w:p>
    <w:p>
      <w:pPr>
        <w:pStyle w:val="Heading1"/>
        <w:pBdr>
          <w:bottom w:val="single" w:color="2A6E8C" w:sz="8" w:space="4"/>
        </w:pBdr>
        <w:spacing w:after="140" w:before="320"/>
      </w:pPr>
      <w:r>
        <w:t xml:space="preserve">2.  Strategic Rationale</w:t>
      </w:r>
    </w:p>
    <w:p>
      <w:pPr>
        <w:pStyle w:val="Heading2"/>
        <w:spacing w:after="100" w:before="200"/>
      </w:pPr>
      <w:r>
        <w:t xml:space="preserve">2.1  Why a Separate Entity</w:t>
      </w:r>
    </w:p>
    <w:p>
      <w:pPr>
        <w:spacing w:after="80" w:before="80"/>
        <w:jc w:val="left"/>
      </w:pPr>
      <w:r>
        <w:rPr>
          <w:rFonts w:ascii="Arial" w:cs="Arial" w:eastAsia="Arial" w:hAnsi="Arial"/>
          <w:b w:val="false"/>
          <w:bCs w:val="false"/>
          <w:i w:val="false"/>
          <w:iCs w:val="false"/>
          <w:color w:val="1A1A1A"/>
          <w:sz w:val="22"/>
          <w:szCs w:val="22"/>
        </w:rPr>
        <w:t xml:space="preserve">Running building services work within Gemini AMPM creates several structural problems:</w:t>
      </w:r>
    </w:p>
    <w:p>
      <w:pPr>
        <w:pStyle w:val="ListParagraph"/>
        <w:numPr>
          <w:ilvl w:val="0"/>
          <w:numId w:val="2"/>
        </w:numPr>
        <w:spacing w:after="40" w:before="40"/>
      </w:pPr>
      <w:r>
        <w:rPr>
          <w:rFonts w:ascii="Arial" w:cs="Arial" w:eastAsia="Arial" w:hAnsi="Arial"/>
          <w:b w:val="false"/>
          <w:bCs w:val="false"/>
          <w:color w:val="1A1A1A"/>
          <w:sz w:val="22"/>
          <w:szCs w:val="22"/>
        </w:rPr>
        <w:t xml:space="preserve">Risk contamination: new supply chain relationships, new accreditation requirements, and new client credit exposures are consolidated onto Gemini's balance sheet and accreditation register — placing the 27-year-old flagship entity at unnecessary risk</w:t>
      </w:r>
    </w:p>
    <w:p>
      <w:pPr>
        <w:pStyle w:val="ListParagraph"/>
        <w:numPr>
          <w:ilvl w:val="0"/>
          <w:numId w:val="2"/>
        </w:numPr>
        <w:spacing w:after="40" w:before="40"/>
      </w:pPr>
      <w:r>
        <w:rPr>
          <w:rFonts w:ascii="Arial" w:cs="Arial" w:eastAsia="Arial" w:hAnsi="Arial"/>
          <w:b w:val="false"/>
          <w:bCs w:val="false"/>
          <w:color w:val="1A1A1A"/>
          <w:sz w:val="22"/>
          <w:szCs w:val="22"/>
        </w:rPr>
        <w:t xml:space="preserve">P&amp;L clarity: building services work mixed into Gemini's accounts obscures the true performance of both businesses, complicating investor reporting and division-level decision-making</w:t>
      </w:r>
    </w:p>
    <w:p>
      <w:pPr>
        <w:pStyle w:val="ListParagraph"/>
        <w:numPr>
          <w:ilvl w:val="0"/>
          <w:numId w:val="2"/>
        </w:numPr>
        <w:spacing w:after="40" w:before="40"/>
      </w:pPr>
      <w:r>
        <w:rPr>
          <w:rFonts w:ascii="Arial" w:cs="Arial" w:eastAsia="Arial" w:hAnsi="Arial"/>
          <w:b w:val="false"/>
          <w:bCs w:val="false"/>
          <w:color w:val="1A1A1A"/>
          <w:sz w:val="22"/>
          <w:szCs w:val="22"/>
        </w:rPr>
        <w:t xml:space="preserve">Accreditation separation: Building Services will require different accreditations (NICEIC or NAPIT for electrical, Gas Safe for gas, FMB for general building) that are distinct from Gemini's fire and life-safety accreditation stack</w:t>
      </w:r>
    </w:p>
    <w:p>
      <w:pPr>
        <w:pStyle w:val="ListParagraph"/>
        <w:numPr>
          <w:ilvl w:val="0"/>
          <w:numId w:val="2"/>
        </w:numPr>
        <w:spacing w:after="40" w:before="40"/>
      </w:pPr>
      <w:r>
        <w:rPr>
          <w:rFonts w:ascii="Arial" w:cs="Arial" w:eastAsia="Arial" w:hAnsi="Arial"/>
          <w:b w:val="false"/>
          <w:bCs w:val="false"/>
          <w:color w:val="1A1A1A"/>
          <w:sz w:val="22"/>
          <w:szCs w:val="22"/>
        </w:rPr>
        <w:t xml:space="preserve">Incentive alignment: a standalone entity allows for a separate management incentive structure — critical for recruiting and retaining the operational leadership needed to grow the business</w:t>
      </w:r>
    </w:p>
    <w:p>
      <w:pPr>
        <w:spacing w:after="0" w:before="0"/>
      </w:pPr>
      <w:r>
        <w:t xml:space="preserve"/>
      </w:r>
    </w:p>
    <w:p>
      <w:pPr>
        <w:pStyle w:val="Heading2"/>
        <w:spacing w:after="100" w:before="200"/>
      </w:pPr>
      <w:r>
        <w:t xml:space="preserve">2.2  Why Now</w:t>
      </w:r>
    </w:p>
    <w:p>
      <w:pPr>
        <w:pStyle w:val="ListParagraph"/>
        <w:numPr>
          <w:ilvl w:val="0"/>
          <w:numId w:val="2"/>
        </w:numPr>
        <w:spacing w:after="40" w:before="40"/>
      </w:pPr>
      <w:r>
        <w:rPr>
          <w:rFonts w:ascii="Arial" w:cs="Arial" w:eastAsia="Arial" w:hAnsi="Arial"/>
          <w:b w:val="false"/>
          <w:bCs w:val="false"/>
          <w:color w:val="1A1A1A"/>
          <w:sz w:val="22"/>
          <w:szCs w:val="22"/>
        </w:rPr>
        <w:t xml:space="preserve">Gemini's existing project pipeline contains M&amp;E, fit-out, roofing, and groundworks scope currently being sub-contracted — this represents immediate, captive revenue</w:t>
      </w:r>
    </w:p>
    <w:p>
      <w:pPr>
        <w:pStyle w:val="ListParagraph"/>
        <w:numPr>
          <w:ilvl w:val="0"/>
          <w:numId w:val="2"/>
        </w:numPr>
        <w:spacing w:after="40" w:before="40"/>
      </w:pPr>
      <w:r>
        <w:rPr>
          <w:rFonts w:ascii="Arial" w:cs="Arial" w:eastAsia="Arial" w:hAnsi="Arial"/>
          <w:b w:val="false"/>
          <w:bCs w:val="false"/>
          <w:color w:val="1A1A1A"/>
          <w:sz w:val="22"/>
          <w:szCs w:val="22"/>
        </w:rPr>
        <w:t xml:space="preserve">Several Tier 1 and institutional clients already known to the management team are actively looking for a reliable direct building services contractor, reducing new-business development time and cost</w:t>
      </w:r>
    </w:p>
    <w:p>
      <w:pPr>
        <w:pStyle w:val="ListParagraph"/>
        <w:numPr>
          <w:ilvl w:val="0"/>
          <w:numId w:val="2"/>
        </w:numPr>
        <w:spacing w:after="40" w:before="40"/>
      </w:pPr>
      <w:r>
        <w:rPr>
          <w:rFonts w:ascii="Arial" w:cs="Arial" w:eastAsia="Arial" w:hAnsi="Arial"/>
          <w:b w:val="false"/>
          <w:bCs w:val="false"/>
          <w:color w:val="1A1A1A"/>
          <w:sz w:val="22"/>
          <w:szCs w:val="22"/>
        </w:rPr>
        <w:t xml:space="preserve">The building services market is strong: post-pandemic construction activity, energy efficiency upgrades (heat pump, EV charging, HVAC retrofits), and Building Safety Act remediation all drive demand</w:t>
      </w:r>
    </w:p>
    <w:p>
      <w:pPr>
        <w:pStyle w:val="ListParagraph"/>
        <w:numPr>
          <w:ilvl w:val="0"/>
          <w:numId w:val="2"/>
        </w:numPr>
        <w:spacing w:after="40" w:before="40"/>
      </w:pPr>
      <w:r>
        <w:rPr>
          <w:rFonts w:ascii="Arial" w:cs="Arial" w:eastAsia="Arial" w:hAnsi="Arial"/>
          <w:b w:val="false"/>
          <w:bCs w:val="false"/>
          <w:color w:val="1A1A1A"/>
          <w:sz w:val="22"/>
          <w:szCs w:val="22"/>
        </w:rPr>
        <w:t xml:space="preserve">The Group's overheads are already in place — shared back-office, finance, HR and IT functions mean Building Services can launch with minimal additional fixed cost</w:t>
      </w:r>
    </w:p>
    <w:p>
      <w:pPr>
        <w:spacing w:after="0" w:before="0"/>
      </w:pPr>
      <w:r>
        <w:t xml:space="preserve"/>
      </w:r>
    </w:p>
    <w:p>
      <w:pPr>
        <w:pStyle w:val="Heading2"/>
        <w:spacing w:after="100" w:before="200"/>
      </w:pPr>
      <w:r>
        <w:t xml:space="preserve">2.3  De-risking Gemini</w:t>
      </w:r>
    </w:p>
    <w:p>
      <w:pPr>
        <w:spacing w:after="80" w:before="80"/>
        <w:jc w:val="left"/>
      </w:pPr>
      <w:r>
        <w:rPr>
          <w:rFonts w:ascii="Arial" w:cs="Arial" w:eastAsia="Arial" w:hAnsi="Arial"/>
          <w:b w:val="false"/>
          <w:bCs w:val="false"/>
          <w:i w:val="false"/>
          <w:iCs w:val="false"/>
          <w:color w:val="1A1A1A"/>
          <w:sz w:val="22"/>
          <w:szCs w:val="22"/>
        </w:rPr>
        <w:t xml:space="preserve">This is an explicit design principle. Every new supply chain relationship, new client contract, and new accreditation added to AMPM Building Services is one that does not appear on Gemini's risk register. Gemini retains its clean 27-year track record and its mature accreditation stack. Building Services starts fresh — which is appropriate for an entity that will spend its first 12–18 months establishing itself.</w:t>
      </w:r>
    </w:p>
    <w:p>
      <w:pPr>
        <w:spacing w:after="0" w:before="0"/>
      </w:pPr>
      <w:r>
        <w:t xml:space="preserve"/>
      </w:r>
    </w:p>
    <w:p>
      <w:r>
        <w:br w:type="page"/>
      </w:r>
    </w:p>
    <w:p>
      <w:pPr>
        <w:pStyle w:val="Heading1"/>
        <w:pBdr>
          <w:bottom w:val="single" w:color="2A6E8C" w:sz="8" w:space="4"/>
        </w:pBdr>
        <w:spacing w:after="140" w:before="320"/>
      </w:pPr>
      <w:r>
        <w:t xml:space="preserve">3.  Services and Scope</w:t>
      </w:r>
    </w:p>
    <w:p>
      <w:pPr>
        <w:spacing w:after="80" w:before="80"/>
        <w:jc w:val="left"/>
      </w:pPr>
      <w:r>
        <w:rPr>
          <w:rFonts w:ascii="Arial" w:cs="Arial" w:eastAsia="Arial" w:hAnsi="Arial"/>
          <w:b w:val="false"/>
          <w:bCs w:val="false"/>
          <w:i w:val="false"/>
          <w:iCs w:val="false"/>
          <w:color w:val="1A1A1A"/>
          <w:sz w:val="22"/>
          <w:szCs w:val="22"/>
        </w:rPr>
        <w:t xml:space="preserve">AMPM Building Services will operate across five service lines:</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670"/>
      </w:tblGrid>
      <w:tr>
        <w:trPr>
          <w:tblHeader/>
        </w:trPr>
        <w:tc>
          <w:tcPr>
            <w:tcW w:type="dxa" w:w="16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Service Line</w:t>
            </w:r>
          </w:p>
        </w:tc>
        <w:tc>
          <w:tcPr>
            <w:tcW w:type="dxa" w:w="38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Scope</w:t>
            </w:r>
          </w:p>
        </w:tc>
        <w:tc>
          <w:tcPr>
            <w:tcW w:type="dxa" w:w="367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Market Demand Driver</w:t>
            </w:r>
          </w:p>
        </w:tc>
      </w:tr>
      <w:tr>
        <w:trPr>
          <w:tblHeader w:val="false"/>
        </w:trPr>
        <w:tc>
          <w:tcPr>
            <w:tcW w:type="dxa" w:w="16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Mechanical (M&amp;E)</w:t>
            </w:r>
          </w:p>
        </w:tc>
        <w:tc>
          <w:tcPr>
            <w:tcW w:type="dxa" w:w="3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Heating and cooling systems, HVAC, pipework, plant installation, ventilation, plumbing</w:t>
            </w:r>
          </w:p>
        </w:tc>
        <w:tc>
          <w:tcPr>
            <w:tcW w:type="dxa" w:w="36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HVAC retrofits, heat pump installations, energy efficiency programmes, new-build M&amp;E packages</w:t>
            </w:r>
          </w:p>
        </w:tc>
      </w:tr>
      <w:tr>
        <w:trPr>
          <w:tblHeader w:val="false"/>
        </w:trPr>
        <w:tc>
          <w:tcPr>
            <w:tcW w:type="dxa" w:w="16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Electrical (M&amp;E)</w:t>
            </w:r>
          </w:p>
        </w:tc>
        <w:tc>
          <w:tcPr>
            <w:tcW w:type="dxa" w:w="3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First and second fix electrical, distribution boards, EV charging, lighting, power</w:t>
            </w:r>
          </w:p>
        </w:tc>
        <w:tc>
          <w:tcPr>
            <w:tcW w:type="dxa" w:w="36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EV charging infrastructure rollout, lighting upgrades, new-build and fit-out electrical packages</w:t>
            </w:r>
          </w:p>
        </w:tc>
      </w:tr>
      <w:tr>
        <w:trPr>
          <w:tblHeader w:val="false"/>
        </w:trPr>
        <w:tc>
          <w:tcPr>
            <w:tcW w:type="dxa" w:w="16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Fit-out</w:t>
            </w:r>
          </w:p>
        </w:tc>
        <w:tc>
          <w:tcPr>
            <w:tcW w:type="dxa" w:w="3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Internal fit-out, dry-lining, partitioning, joinery, associated finishes</w:t>
            </w:r>
          </w:p>
        </w:tc>
        <w:tc>
          <w:tcPr>
            <w:tcW w:type="dxa" w:w="36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Office refurbishment, residential conversions, Tier 1 main contractor supply chain</w:t>
            </w:r>
          </w:p>
        </w:tc>
      </w:tr>
      <w:tr>
        <w:trPr>
          <w:tblHeader w:val="false"/>
        </w:trPr>
        <w:tc>
          <w:tcPr>
            <w:tcW w:type="dxa" w:w="16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Roofing</w:t>
            </w:r>
          </w:p>
        </w:tc>
        <w:tc>
          <w:tcPr>
            <w:tcW w:type="dxa" w:w="3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Flat and pitched roofing, roof replacement, maintenance, waterproofing systems</w:t>
            </w:r>
          </w:p>
        </w:tc>
        <w:tc>
          <w:tcPr>
            <w:tcW w:type="dxa" w:w="36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Building envelope programmes, landlord compliance, insurance reinstatement works</w:t>
            </w:r>
          </w:p>
        </w:tc>
      </w:tr>
      <w:tr>
        <w:trPr>
          <w:tblHeader w:val="false"/>
        </w:trPr>
        <w:tc>
          <w:tcPr>
            <w:tcW w:type="dxa" w:w="16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Groundworks</w:t>
            </w:r>
          </w:p>
        </w:tc>
        <w:tc>
          <w:tcPr>
            <w:tcW w:type="dxa" w:w="3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Foundations, drainage, concrete, civils associated with building works</w:t>
            </w:r>
          </w:p>
        </w:tc>
        <w:tc>
          <w:tcPr>
            <w:tcW w:type="dxa" w:w="36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New-build enabling works, drainage compliance, car park and external works packages</w:t>
            </w:r>
          </w:p>
        </w:tc>
      </w:tr>
    </w:tbl>
    <w:p>
      <w:pPr>
        <w:spacing w:after="0" w:before="0"/>
      </w:pPr>
      <w:r>
        <w:t xml:space="preserve"/>
      </w:r>
    </w:p>
    <w:p>
      <w:pPr>
        <w:spacing w:after="80" w:before="80"/>
        <w:jc w:val="left"/>
      </w:pPr>
      <w:r>
        <w:rPr>
          <w:rFonts w:ascii="Arial" w:cs="Arial" w:eastAsia="Arial" w:hAnsi="Arial"/>
          <w:b w:val="false"/>
          <w:bCs w:val="false"/>
          <w:i/>
          <w:iCs/>
          <w:color w:val="8A8F96"/>
          <w:sz w:val="20"/>
          <w:szCs w:val="20"/>
        </w:rPr>
        <w:t xml:space="preserve">Initial focus will be on Mechanical and Electrical — these are the services most heavily sub-contracted by Gemini today and therefore represent the quickest route to captive revenue. Fit-out, roofing, and groundworks will scale as the supply chain and accreditation position develops.</w:t>
      </w:r>
    </w:p>
    <w:p>
      <w:pPr>
        <w:spacing w:after="0" w:before="0"/>
      </w:pPr>
      <w:r>
        <w:t xml:space="preserve"/>
      </w:r>
    </w:p>
    <w:p>
      <w:r>
        <w:br w:type="page"/>
      </w:r>
    </w:p>
    <w:p>
      <w:pPr>
        <w:pStyle w:val="Heading1"/>
        <w:pBdr>
          <w:bottom w:val="single" w:color="2A6E8C" w:sz="8" w:space="4"/>
        </w:pBdr>
        <w:spacing w:after="140" w:before="320"/>
      </w:pPr>
      <w:r>
        <w:t xml:space="preserve">4.  Go-to-Market Strategy</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2A6E8C" w:sz="6"/>
              <w:left w:val="single" w:color="2A6E8C" w:sz="6"/>
              <w:bottom w:val="single" w:color="2A6E8C" w:sz="6"/>
              <w:right w:val="single" w:color="2A6E8C" w:sz="6"/>
            </w:tcBorders>
            <w:shd w:fill="F2F4F6" w:val="clear"/>
            <w:tcMar>
              <w:top w:type="dxa" w:w="120"/>
              <w:left w:type="dxa" w:w="200"/>
              <w:bottom w:type="dxa" w:w="120"/>
              <w:right w:type="dxa" w:w="200"/>
            </w:tcMar>
          </w:tcPr>
          <w:p>
            <w:pPr>
              <w:spacing w:after="0" w:before="0"/>
              <w:jc w:val="left"/>
            </w:pPr>
            <w:r>
              <w:rPr>
                <w:rFonts w:ascii="Arial" w:cs="Arial" w:eastAsia="Arial" w:hAnsi="Arial"/>
                <w:b w:val="false"/>
                <w:bCs w:val="false"/>
                <w:i w:val="false"/>
                <w:iCs w:val="false"/>
                <w:color w:val="1A2E4A"/>
                <w:sz w:val="20"/>
                <w:szCs w:val="20"/>
              </w:rPr>
              <w:t xml:space="preserve">Two-phase model: Phase 1 is internal (sub into Gemini). Phase 2 is external (direct client relationships). Both phases are underway simultaneously — Phase 2 begins as soon as insurance and accreditations allow.</w:t>
            </w:r>
          </w:p>
        </w:tc>
      </w:tr>
    </w:tbl>
    <w:p>
      <w:pPr>
        <w:spacing w:after="0" w:before="0"/>
      </w:pPr>
      <w:r>
        <w:t xml:space="preserve"/>
      </w:r>
    </w:p>
    <w:p>
      <w:pPr>
        <w:pStyle w:val="Heading2"/>
        <w:spacing w:after="100" w:before="200"/>
      </w:pPr>
      <w:r>
        <w:t xml:space="preserve">Phase 1 — Internal Sub-contracting (Month 1–3)</w:t>
      </w:r>
    </w:p>
    <w:p>
      <w:pPr>
        <w:spacing w:after="80" w:before="80"/>
        <w:jc w:val="left"/>
      </w:pPr>
      <w:r>
        <w:rPr>
          <w:rFonts w:ascii="Arial" w:cs="Arial" w:eastAsia="Arial" w:hAnsi="Arial"/>
          <w:b w:val="false"/>
          <w:bCs w:val="false"/>
          <w:i w:val="false"/>
          <w:iCs w:val="false"/>
          <w:color w:val="1A1A1A"/>
          <w:sz w:val="22"/>
          <w:szCs w:val="22"/>
        </w:rPr>
        <w:t xml:space="preserve">AMPM Building Services is appointed as a sub-contractor on Gemini AMPM projects where M&amp;E, fit-out, roofing, or groundworks scope exists. This delivers:</w:t>
      </w:r>
    </w:p>
    <w:p>
      <w:pPr>
        <w:pStyle w:val="ListParagraph"/>
        <w:numPr>
          <w:ilvl w:val="0"/>
          <w:numId w:val="2"/>
        </w:numPr>
        <w:spacing w:after="40" w:before="40"/>
      </w:pPr>
      <w:r>
        <w:rPr>
          <w:rFonts w:ascii="Arial" w:cs="Arial" w:eastAsia="Arial" w:hAnsi="Arial"/>
          <w:b w:val="false"/>
          <w:bCs w:val="false"/>
          <w:color w:val="1A1A1A"/>
          <w:sz w:val="22"/>
          <w:szCs w:val="22"/>
        </w:rPr>
        <w:t xml:space="preserve">Immediate revenue: day one pipeline without new client development time</w:t>
      </w:r>
    </w:p>
    <w:p>
      <w:pPr>
        <w:pStyle w:val="ListParagraph"/>
        <w:numPr>
          <w:ilvl w:val="0"/>
          <w:numId w:val="2"/>
        </w:numPr>
        <w:spacing w:after="40" w:before="40"/>
      </w:pPr>
      <w:r>
        <w:rPr>
          <w:rFonts w:ascii="Arial" w:cs="Arial" w:eastAsia="Arial" w:hAnsi="Arial"/>
          <w:b w:val="false"/>
          <w:bCs w:val="false"/>
          <w:color w:val="1A1A1A"/>
          <w:sz w:val="22"/>
          <w:szCs w:val="22"/>
        </w:rPr>
        <w:t xml:space="preserve">Operational track record: real project delivery experience before external-facing activity begins</w:t>
      </w:r>
    </w:p>
    <w:p>
      <w:pPr>
        <w:pStyle w:val="ListParagraph"/>
        <w:numPr>
          <w:ilvl w:val="0"/>
          <w:numId w:val="2"/>
        </w:numPr>
        <w:spacing w:after="40" w:before="40"/>
      </w:pPr>
      <w:r>
        <w:rPr>
          <w:rFonts w:ascii="Arial" w:cs="Arial" w:eastAsia="Arial" w:hAnsi="Arial"/>
          <w:b w:val="false"/>
          <w:bCs w:val="false"/>
          <w:color w:val="1A1A1A"/>
          <w:sz w:val="22"/>
          <w:szCs w:val="22"/>
        </w:rPr>
        <w:t xml:space="preserve">Supply chain development: opportunity to qualify, assess, and embed preferred sub-contractors under controlled conditions</w:t>
      </w:r>
    </w:p>
    <w:p>
      <w:pPr>
        <w:pStyle w:val="ListParagraph"/>
        <w:numPr>
          <w:ilvl w:val="0"/>
          <w:numId w:val="2"/>
        </w:numPr>
        <w:spacing w:after="40" w:before="40"/>
      </w:pPr>
      <w:r>
        <w:rPr>
          <w:rFonts w:ascii="Arial" w:cs="Arial" w:eastAsia="Arial" w:hAnsi="Arial"/>
          <w:b w:val="false"/>
          <w:bCs w:val="false"/>
          <w:color w:val="1A1A1A"/>
          <w:sz w:val="22"/>
          <w:szCs w:val="22"/>
        </w:rPr>
        <w:t xml:space="preserve">Cash flow foundation: Gemini pays AMPM Building Services on normal commercial sub-contractor terms</w:t>
      </w:r>
    </w:p>
    <w:p>
      <w:pPr>
        <w:spacing w:after="0" w:before="0"/>
      </w:pPr>
      <w:r>
        <w:t xml:space="preserve"/>
      </w:r>
    </w:p>
    <w:p>
      <w:pPr>
        <w:spacing w:after="80" w:before="80"/>
        <w:jc w:val="left"/>
      </w:pPr>
      <w:r>
        <w:rPr>
          <w:rFonts w:ascii="Arial" w:cs="Arial" w:eastAsia="Arial" w:hAnsi="Arial"/>
          <w:b w:val="false"/>
          <w:bCs w:val="false"/>
          <w:i w:val="false"/>
          <w:iCs w:val="false"/>
          <w:color w:val="1A1A1A"/>
          <w:sz w:val="22"/>
          <w:szCs w:val="22"/>
        </w:rPr>
        <w:t xml:space="preserve">This is not a permanent arrangement — it is a launch mechanism. Gemini's existing project order book provides sufficient pipeline to generate an initial run-rate while Phase 2 development runs in parallel.</w:t>
      </w:r>
    </w:p>
    <w:p>
      <w:pPr>
        <w:spacing w:after="0" w:before="0"/>
      </w:pPr>
      <w:r>
        <w:t xml:space="preserve"/>
      </w:r>
    </w:p>
    <w:p>
      <w:pPr>
        <w:pStyle w:val="Heading2"/>
        <w:spacing w:after="100" w:before="200"/>
      </w:pPr>
      <w:r>
        <w:t xml:space="preserve">Phase 2 — Direct Client Relationships (Month 2–6)</w:t>
      </w:r>
    </w:p>
    <w:p>
      <w:pPr>
        <w:spacing w:after="80" w:before="80"/>
        <w:jc w:val="left"/>
      </w:pPr>
      <w:r>
        <w:rPr>
          <w:rFonts w:ascii="Arial" w:cs="Arial" w:eastAsia="Arial" w:hAnsi="Arial"/>
          <w:b w:val="false"/>
          <w:bCs w:val="false"/>
          <w:i w:val="false"/>
          <w:iCs w:val="false"/>
          <w:color w:val="1A1A1A"/>
          <w:sz w:val="22"/>
          <w:szCs w:val="22"/>
        </w:rPr>
        <w:t xml:space="preserve">Parallel to Phase 1, AMPM Building Services approaches known, friendly clients directly. These are clients already in the Group's or management team's network who are actively procuring building services work:</w:t>
      </w:r>
    </w:p>
    <w:p>
      <w:pPr>
        <w:pStyle w:val="ListParagraph"/>
        <w:numPr>
          <w:ilvl w:val="0"/>
          <w:numId w:val="2"/>
        </w:numPr>
        <w:spacing w:after="40" w:before="40"/>
      </w:pPr>
      <w:r>
        <w:rPr>
          <w:rFonts w:ascii="Arial" w:cs="Arial" w:eastAsia="Arial" w:hAnsi="Arial"/>
          <w:b w:val="false"/>
          <w:bCs w:val="false"/>
          <w:color w:val="1A1A1A"/>
          <w:sz w:val="22"/>
          <w:szCs w:val="22"/>
        </w:rPr>
        <w:t xml:space="preserve">Clients currently using Gemini for fire and life-safety, who have separate M&amp;E or fit-out requirements procured elsewhere</w:t>
      </w:r>
    </w:p>
    <w:p>
      <w:pPr>
        <w:pStyle w:val="ListParagraph"/>
        <w:numPr>
          <w:ilvl w:val="0"/>
          <w:numId w:val="2"/>
        </w:numPr>
        <w:spacing w:after="40" w:before="40"/>
      </w:pPr>
      <w:r>
        <w:rPr>
          <w:rFonts w:ascii="Arial" w:cs="Arial" w:eastAsia="Arial" w:hAnsi="Arial"/>
          <w:b w:val="false"/>
          <w:bCs w:val="false"/>
          <w:color w:val="1A1A1A"/>
          <w:sz w:val="22"/>
          <w:szCs w:val="22"/>
        </w:rPr>
        <w:t xml:space="preserve">Tier 1 contractors (Mace, Arc Group) where building services packages are let separately from fire safety</w:t>
      </w:r>
    </w:p>
    <w:p>
      <w:pPr>
        <w:pStyle w:val="ListParagraph"/>
        <w:numPr>
          <w:ilvl w:val="0"/>
          <w:numId w:val="2"/>
        </w:numPr>
        <w:spacing w:after="40" w:before="40"/>
      </w:pPr>
      <w:r>
        <w:rPr>
          <w:rFonts w:ascii="Arial" w:cs="Arial" w:eastAsia="Arial" w:hAnsi="Arial"/>
          <w:b w:val="false"/>
          <w:bCs w:val="false"/>
          <w:color w:val="1A1A1A"/>
          <w:sz w:val="22"/>
          <w:szCs w:val="22"/>
        </w:rPr>
        <w:t xml:space="preserve">Housing associations and residential property managers with planned maintenance and improvement programmes</w:t>
      </w:r>
    </w:p>
    <w:p>
      <w:pPr>
        <w:pStyle w:val="ListParagraph"/>
        <w:numPr>
          <w:ilvl w:val="0"/>
          <w:numId w:val="2"/>
        </w:numPr>
        <w:spacing w:after="40" w:before="40"/>
      </w:pPr>
      <w:r>
        <w:rPr>
          <w:rFonts w:ascii="Arial" w:cs="Arial" w:eastAsia="Arial" w:hAnsi="Arial"/>
          <w:b w:val="false"/>
          <w:bCs w:val="false"/>
          <w:color w:val="1A1A1A"/>
          <w:sz w:val="22"/>
          <w:szCs w:val="22"/>
        </w:rPr>
        <w:t xml:space="preserve">Commercial landlords with energy efficiency and fit-out requirements</w:t>
      </w:r>
    </w:p>
    <w:p>
      <w:pPr>
        <w:spacing w:after="0" w:before="0"/>
      </w:pPr>
      <w:r>
        <w:t xml:space="preserve"/>
      </w:r>
    </w:p>
    <w:p>
      <w:pPr>
        <w:spacing w:after="80" w:before="80"/>
        <w:jc w:val="left"/>
      </w:pPr>
      <w:r>
        <w:rPr>
          <w:rFonts w:ascii="Arial" w:cs="Arial" w:eastAsia="Arial" w:hAnsi="Arial"/>
          <w:b w:val="false"/>
          <w:bCs w:val="false"/>
          <w:i w:val="false"/>
          <w:iCs w:val="false"/>
          <w:color w:val="1A1A1A"/>
          <w:sz w:val="22"/>
          <w:szCs w:val="22"/>
        </w:rPr>
        <w:t xml:space="preserve">The management team has specific client conversations already in progress. Target: first direct client instruction within 60 days of launch.</w:t>
      </w:r>
    </w:p>
    <w:p>
      <w:pPr>
        <w:spacing w:after="0" w:before="0"/>
      </w:pPr>
      <w:r>
        <w:t xml:space="preserve"/>
      </w:r>
    </w:p>
    <w:p>
      <w:pPr>
        <w:pStyle w:val="Heading2"/>
        <w:spacing w:after="100" w:before="200"/>
      </w:pPr>
      <w:r>
        <w:t xml:space="preserve">Route-to-Market Summary</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200"/>
        <w:gridCol w:w="3270"/>
      </w:tblGrid>
      <w:tr>
        <w:trPr>
          <w:tblHeader/>
        </w:trPr>
        <w:tc>
          <w:tcPr>
            <w:tcW w:type="dxa" w:w="22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Channel</w:t>
            </w:r>
          </w:p>
        </w:tc>
        <w:tc>
          <w:tcPr>
            <w:tcW w:type="dxa" w:w="14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Timeline</w:t>
            </w:r>
          </w:p>
        </w:tc>
        <w:tc>
          <w:tcPr>
            <w:tcW w:type="dxa" w:w="22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Revenue Contribution (Yr1)</w:t>
            </w:r>
          </w:p>
        </w:tc>
        <w:tc>
          <w:tcPr>
            <w:tcW w:type="dxa" w:w="327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Key Actions</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Gemini sub-contractor</w:t>
            </w:r>
          </w:p>
        </w:tc>
        <w:tc>
          <w:tcPr>
            <w:tcW w:type="dxa" w:w="14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Month 1 onwards</w:t>
            </w:r>
          </w:p>
        </w:tc>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~£1.5–2m</w:t>
            </w:r>
          </w:p>
        </w:tc>
        <w:tc>
          <w:tcPr>
            <w:tcW w:type="dxa" w:w="32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Agree internal pricing, set up sub-contract framework</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Direct — existing network</w:t>
            </w:r>
          </w:p>
        </w:tc>
        <w:tc>
          <w:tcPr>
            <w:tcW w:type="dxa" w:w="14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Month 2–4</w:t>
            </w:r>
          </w:p>
        </w:tc>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~£1–1.5m</w:t>
            </w:r>
          </w:p>
        </w:tc>
        <w:tc>
          <w:tcPr>
            <w:tcW w:type="dxa" w:w="32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Identify and approach 10 priority clients</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Direct — new acquisition</w:t>
            </w:r>
          </w:p>
        </w:tc>
        <w:tc>
          <w:tcPr>
            <w:tcW w:type="dxa" w:w="14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Month 4+</w:t>
            </w:r>
          </w:p>
        </w:tc>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~£0.5m</w:t>
            </w:r>
          </w:p>
        </w:tc>
        <w:tc>
          <w:tcPr>
            <w:tcW w:type="dxa" w:w="32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Tender activity, framework applications</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TOTAL TARGET</w:t>
            </w:r>
          </w:p>
        </w:tc>
        <w:tc>
          <w:tcPr>
            <w:tcW w:type="dxa" w:w="14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FY1</w:t>
            </w:r>
          </w:p>
        </w:tc>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~£4m</w:t>
            </w:r>
          </w:p>
        </w:tc>
        <w:tc>
          <w:tcPr>
            <w:tcW w:type="dxa" w:w="32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t>
            </w:r>
          </w:p>
        </w:tc>
      </w:tr>
    </w:tbl>
    <w:p>
      <w:pPr>
        <w:spacing w:after="0" w:before="0"/>
      </w:pPr>
      <w:r>
        <w:t xml:space="preserve"/>
      </w:r>
    </w:p>
    <w:p>
      <w:r>
        <w:br w:type="page"/>
      </w:r>
    </w:p>
    <w:p>
      <w:pPr>
        <w:pStyle w:val="Heading1"/>
        <w:pBdr>
          <w:bottom w:val="single" w:color="2A6E8C" w:sz="8" w:space="4"/>
        </w:pBdr>
        <w:spacing w:after="140" w:before="320"/>
      </w:pPr>
      <w:r>
        <w:t xml:space="preserve">5.  Accreditations and Insurance Roadmap</w:t>
      </w:r>
    </w:p>
    <w:p>
      <w:pPr>
        <w:spacing w:after="80" w:before="80"/>
        <w:jc w:val="left"/>
      </w:pPr>
      <w:r>
        <w:rPr>
          <w:rFonts w:ascii="Arial" w:cs="Arial" w:eastAsia="Arial" w:hAnsi="Arial"/>
          <w:b w:val="false"/>
          <w:bCs w:val="false"/>
          <w:i w:val="false"/>
          <w:iCs w:val="false"/>
          <w:color w:val="1A1A1A"/>
          <w:sz w:val="22"/>
          <w:szCs w:val="22"/>
        </w:rPr>
        <w:t xml:space="preserve">AMPM Building Services must build its own accreditation and insurance stack independently of Gemini. The following are required for the entity to trade credibly across all five service lines:</w:t>
      </w:r>
    </w:p>
    <w:p>
      <w:pPr>
        <w:spacing w:after="0" w:before="0"/>
      </w:pPr>
      <w:r>
        <w:t xml:space="preserve"/>
      </w:r>
    </w:p>
    <w:p>
      <w:pPr>
        <w:pStyle w:val="Heading2"/>
        <w:spacing w:after="100" w:before="200"/>
      </w:pPr>
      <w:r>
        <w:t xml:space="preserve">5.1  Priority Accreditations</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000"/>
        <w:gridCol w:w="1300"/>
        <w:gridCol w:w="3170"/>
      </w:tblGrid>
      <w:tr>
        <w:trPr>
          <w:tblHeader/>
        </w:trPr>
        <w:tc>
          <w:tcPr>
            <w:tcW w:type="dxa" w:w="18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Accreditation</w:t>
            </w:r>
          </w:p>
        </w:tc>
        <w:tc>
          <w:tcPr>
            <w:tcW w:type="dxa" w:w="18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Required For</w:t>
            </w:r>
          </w:p>
        </w:tc>
        <w:tc>
          <w:tcPr>
            <w:tcW w:type="dxa" w:w="10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Priority</w:t>
            </w:r>
          </w:p>
        </w:tc>
        <w:tc>
          <w:tcPr>
            <w:tcW w:type="dxa" w:w="13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Typical Timeline</w:t>
            </w:r>
          </w:p>
        </w:tc>
        <w:tc>
          <w:tcPr>
            <w:tcW w:type="dxa" w:w="317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Action</w:t>
            </w:r>
          </w:p>
        </w:tc>
      </w:tr>
      <w:tr>
        <w:trPr>
          <w:tblHeader w:val="false"/>
        </w:trPr>
        <w:tc>
          <w:tcPr>
            <w:tcW w:type="dxa" w:w="18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NICEIC or NAPIT</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Electrical contracting</w:t>
            </w:r>
          </w:p>
        </w:tc>
        <w:tc>
          <w:tcPr>
            <w:tcW w:type="dxa" w:w="1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Critical</w:t>
            </w:r>
          </w:p>
        </w:tc>
        <w:tc>
          <w:tcPr>
            <w:tcW w:type="dxa" w:w="13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4–8 weeks</w:t>
            </w:r>
          </w:p>
        </w:tc>
        <w:tc>
          <w:tcPr>
            <w:tcW w:type="dxa" w:w="31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Apply immediately — qualified electricians must be on staff or engaged</w:t>
            </w:r>
          </w:p>
        </w:tc>
      </w:tr>
      <w:tr>
        <w:trPr>
          <w:tblHeader w:val="false"/>
        </w:trPr>
        <w:tc>
          <w:tcPr>
            <w:tcW w:type="dxa" w:w="18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Gas Safe Registration</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Gas installation and servicing</w:t>
            </w:r>
          </w:p>
        </w:tc>
        <w:tc>
          <w:tcPr>
            <w:tcW w:type="dxa" w:w="1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Critical</w:t>
            </w:r>
          </w:p>
        </w:tc>
        <w:tc>
          <w:tcPr>
            <w:tcW w:type="dxa" w:w="13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2–4 weeks</w:t>
            </w:r>
          </w:p>
        </w:tc>
        <w:tc>
          <w:tcPr>
            <w:tcW w:type="dxa" w:w="31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Register qualified Gas Safe engineers on company card</w:t>
            </w:r>
          </w:p>
        </w:tc>
      </w:tr>
      <w:tr>
        <w:trPr>
          <w:tblHeader w:val="false"/>
        </w:trPr>
        <w:tc>
          <w:tcPr>
            <w:tcW w:type="dxa" w:w="18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CHAS or Constructionline</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General contractor pre-qualification</w:t>
            </w:r>
          </w:p>
        </w:tc>
        <w:tc>
          <w:tcPr>
            <w:tcW w:type="dxa" w:w="1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High</w:t>
            </w:r>
          </w:p>
        </w:tc>
        <w:tc>
          <w:tcPr>
            <w:tcW w:type="dxa" w:w="13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4–6 weeks</w:t>
            </w:r>
          </w:p>
        </w:tc>
        <w:tc>
          <w:tcPr>
            <w:tcW w:type="dxa" w:w="31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Apply — leverages Group's existing Constructionline Gold where possible</w:t>
            </w:r>
          </w:p>
        </w:tc>
      </w:tr>
      <w:tr>
        <w:trPr>
          <w:tblHeader w:val="false"/>
        </w:trPr>
        <w:tc>
          <w:tcPr>
            <w:tcW w:type="dxa" w:w="18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FMB (Federation of Master Builders)</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General building credibility</w:t>
            </w:r>
          </w:p>
        </w:tc>
        <w:tc>
          <w:tcPr>
            <w:tcW w:type="dxa" w:w="1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Medium</w:t>
            </w:r>
          </w:p>
        </w:tc>
        <w:tc>
          <w:tcPr>
            <w:tcW w:type="dxa" w:w="13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4–8 weeks</w:t>
            </w:r>
          </w:p>
        </w:tc>
        <w:tc>
          <w:tcPr>
            <w:tcW w:type="dxa" w:w="31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Apply during setup phase</w:t>
            </w:r>
          </w:p>
        </w:tc>
      </w:tr>
      <w:tr>
        <w:trPr>
          <w:tblHeader w:val="false"/>
        </w:trPr>
        <w:tc>
          <w:tcPr>
            <w:tcW w:type="dxa" w:w="18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FGAS Certification</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Refrigeration / air conditioning</w:t>
            </w:r>
          </w:p>
        </w:tc>
        <w:tc>
          <w:tcPr>
            <w:tcW w:type="dxa" w:w="1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Medium</w:t>
            </w:r>
          </w:p>
        </w:tc>
        <w:tc>
          <w:tcPr>
            <w:tcW w:type="dxa" w:w="13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Via operative cert.</w:t>
            </w:r>
          </w:p>
        </w:tc>
        <w:tc>
          <w:tcPr>
            <w:tcW w:type="dxa" w:w="31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Ensure relevant operatives hold F-Gas qualification</w:t>
            </w:r>
          </w:p>
        </w:tc>
      </w:tr>
      <w:tr>
        <w:trPr>
          <w:tblHeader w:val="false"/>
        </w:trPr>
        <w:tc>
          <w:tcPr>
            <w:tcW w:type="dxa" w:w="18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ISO 9001 / 45001</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Quality and health &amp; safety management</w:t>
            </w:r>
          </w:p>
        </w:tc>
        <w:tc>
          <w:tcPr>
            <w:tcW w:type="dxa" w:w="1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Medium-term</w:t>
            </w:r>
          </w:p>
        </w:tc>
        <w:tc>
          <w:tcPr>
            <w:tcW w:type="dxa" w:w="13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3–6 months</w:t>
            </w:r>
          </w:p>
        </w:tc>
        <w:tc>
          <w:tcPr>
            <w:tcW w:type="dxa" w:w="31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Implement management system; target certification in Year 1</w:t>
            </w:r>
          </w:p>
        </w:tc>
      </w:tr>
    </w:tbl>
    <w:p>
      <w:pPr>
        <w:spacing w:after="0" w:before="0"/>
      </w:pPr>
      <w:r>
        <w:t xml:space="preserve"/>
      </w:r>
    </w:p>
    <w:p>
      <w:pPr>
        <w:pStyle w:val="Heading2"/>
        <w:spacing w:after="100" w:before="200"/>
      </w:pPr>
      <w:r>
        <w:t xml:space="preserve">5.2  Insurance Requirements</w:t>
      </w:r>
    </w:p>
    <w:p>
      <w:pPr>
        <w:spacing w:after="80" w:before="80"/>
        <w:jc w:val="left"/>
      </w:pPr>
      <w:r>
        <w:rPr>
          <w:rFonts w:ascii="Arial" w:cs="Arial" w:eastAsia="Arial" w:hAnsi="Arial"/>
          <w:b w:val="false"/>
          <w:bCs w:val="false"/>
          <w:i w:val="false"/>
          <w:iCs w:val="false"/>
          <w:color w:val="1A1A1A"/>
          <w:sz w:val="22"/>
          <w:szCs w:val="22"/>
        </w:rPr>
        <w:t xml:space="preserve">Before the first instruction is raised, the following must be in place:</w:t>
      </w:r>
    </w:p>
    <w:p>
      <w:pPr>
        <w:pStyle w:val="ListParagraph"/>
        <w:numPr>
          <w:ilvl w:val="0"/>
          <w:numId w:val="2"/>
        </w:numPr>
        <w:spacing w:after="40" w:before="40"/>
      </w:pPr>
      <w:r>
        <w:rPr>
          <w:rFonts w:ascii="Arial" w:cs="Arial" w:eastAsia="Arial" w:hAnsi="Arial"/>
          <w:b w:val="false"/>
          <w:bCs w:val="false"/>
          <w:color w:val="1A1A1A"/>
          <w:sz w:val="22"/>
          <w:szCs w:val="22"/>
        </w:rPr>
        <w:t xml:space="preserve">Employers Liability Insurance — statutory minimum £5m; recommend £10m given scale ambition</w:t>
      </w:r>
    </w:p>
    <w:p>
      <w:pPr>
        <w:pStyle w:val="ListParagraph"/>
        <w:numPr>
          <w:ilvl w:val="0"/>
          <w:numId w:val="2"/>
        </w:numPr>
        <w:spacing w:after="40" w:before="40"/>
      </w:pPr>
      <w:r>
        <w:rPr>
          <w:rFonts w:ascii="Arial" w:cs="Arial" w:eastAsia="Arial" w:hAnsi="Arial"/>
          <w:b w:val="false"/>
          <w:bCs w:val="false"/>
          <w:color w:val="1A1A1A"/>
          <w:sz w:val="22"/>
          <w:szCs w:val="22"/>
        </w:rPr>
        <w:t xml:space="preserve">Public Liability Insurance — £5m minimum; £10m recommended for Tier 1 contractor supply chain requirements</w:t>
      </w:r>
    </w:p>
    <w:p>
      <w:pPr>
        <w:pStyle w:val="ListParagraph"/>
        <w:numPr>
          <w:ilvl w:val="0"/>
          <w:numId w:val="2"/>
        </w:numPr>
        <w:spacing w:after="40" w:before="40"/>
      </w:pPr>
      <w:r>
        <w:rPr>
          <w:rFonts w:ascii="Arial" w:cs="Arial" w:eastAsia="Arial" w:hAnsi="Arial"/>
          <w:b w:val="false"/>
          <w:bCs w:val="false"/>
          <w:color w:val="1A1A1A"/>
          <w:sz w:val="22"/>
          <w:szCs w:val="22"/>
        </w:rPr>
        <w:t xml:space="preserve">Professional Indemnity Insurance — required for design-and-build and specification work; £1–2m cover</w:t>
      </w:r>
    </w:p>
    <w:p>
      <w:pPr>
        <w:pStyle w:val="ListParagraph"/>
        <w:numPr>
          <w:ilvl w:val="0"/>
          <w:numId w:val="2"/>
        </w:numPr>
        <w:spacing w:after="40" w:before="40"/>
      </w:pPr>
      <w:r>
        <w:rPr>
          <w:rFonts w:ascii="Arial" w:cs="Arial" w:eastAsia="Arial" w:hAnsi="Arial"/>
          <w:b w:val="false"/>
          <w:bCs w:val="false"/>
          <w:color w:val="1A1A1A"/>
          <w:sz w:val="22"/>
          <w:szCs w:val="22"/>
        </w:rPr>
        <w:t xml:space="preserve">Contract Works / All-Risks Insurance — covers works in progress; required for most main contractor supply chain appointments</w:t>
      </w:r>
    </w:p>
    <w:p>
      <w:pPr>
        <w:pStyle w:val="ListParagraph"/>
        <w:numPr>
          <w:ilvl w:val="0"/>
          <w:numId w:val="2"/>
        </w:numPr>
        <w:spacing w:after="40" w:before="40"/>
      </w:pPr>
      <w:r>
        <w:rPr>
          <w:rFonts w:ascii="Arial" w:cs="Arial" w:eastAsia="Arial" w:hAnsi="Arial"/>
          <w:b w:val="false"/>
          <w:bCs w:val="false"/>
          <w:color w:val="1A1A1A"/>
          <w:sz w:val="22"/>
          <w:szCs w:val="22"/>
        </w:rPr>
        <w:t xml:space="preserve">Plant and Equipment Insurance — if plant is owned rather than hired</w:t>
      </w:r>
    </w:p>
    <w:p>
      <w:pPr>
        <w:spacing w:after="0" w:before="0"/>
      </w:pPr>
      <w:r>
        <w:t xml:space="preserve"/>
      </w:r>
    </w:p>
    <w:p>
      <w:pPr>
        <w:spacing w:after="80" w:before="80"/>
        <w:jc w:val="left"/>
      </w:pPr>
      <w:r>
        <w:rPr>
          <w:rFonts w:ascii="Arial" w:cs="Arial" w:eastAsia="Arial" w:hAnsi="Arial"/>
          <w:b w:val="false"/>
          <w:bCs w:val="false"/>
          <w:i/>
          <w:iCs/>
          <w:color w:val="8A8F96"/>
          <w:sz w:val="20"/>
          <w:szCs w:val="20"/>
        </w:rPr>
        <w:t xml:space="preserve">Insurance must be placed before Phase 2 client activity begins. Phase 1 (sub into Gemini) can begin under Gemini's umbrella insurance while AMPM Building Services' own policies are arranged — this should be confirmed with the Group's insurance broker as a priority action.</w:t>
      </w:r>
    </w:p>
    <w:p>
      <w:pPr>
        <w:spacing w:after="0" w:before="0"/>
      </w:pPr>
      <w:r>
        <w:t xml:space="preserve"/>
      </w:r>
    </w:p>
    <w:p>
      <w:r>
        <w:br w:type="page"/>
      </w:r>
    </w:p>
    <w:p>
      <w:pPr>
        <w:pStyle w:val="Heading1"/>
        <w:pBdr>
          <w:bottom w:val="single" w:color="2A6E8C" w:sz="8" w:space="4"/>
        </w:pBdr>
        <w:spacing w:after="140" w:before="320"/>
      </w:pPr>
      <w:r>
        <w:t xml:space="preserve">6.  Year-One Financial Plan</w:t>
      </w:r>
    </w:p>
    <w:p>
      <w:pPr>
        <w:pStyle w:val="Heading2"/>
        <w:spacing w:after="100" w:before="200"/>
      </w:pPr>
      <w:r>
        <w:t xml:space="preserve">6.1  Revenue Model</w:t>
      </w:r>
    </w:p>
    <w:p>
      <w:pPr>
        <w:spacing w:after="80" w:before="80"/>
        <w:jc w:val="left"/>
      </w:pPr>
      <w:r>
        <w:rPr>
          <w:rFonts w:ascii="Arial" w:cs="Arial" w:eastAsia="Arial" w:hAnsi="Arial"/>
          <w:b w:val="false"/>
          <w:bCs w:val="false"/>
          <w:i w:val="false"/>
          <w:iCs w:val="false"/>
          <w:color w:val="1A1A1A"/>
          <w:sz w:val="22"/>
          <w:szCs w:val="22"/>
        </w:rPr>
        <w:t xml:space="preserve">The £4 million year-one revenue target is based on the following assumptions:</w:t>
      </w:r>
    </w:p>
    <w:p>
      <w:pPr>
        <w:pStyle w:val="ListParagraph"/>
        <w:numPr>
          <w:ilvl w:val="0"/>
          <w:numId w:val="2"/>
        </w:numPr>
        <w:spacing w:after="40" w:before="40"/>
      </w:pPr>
      <w:r>
        <w:rPr>
          <w:rFonts w:ascii="Arial" w:cs="Arial" w:eastAsia="Arial" w:hAnsi="Arial"/>
          <w:b w:val="false"/>
          <w:bCs w:val="false"/>
          <w:color w:val="1A1A1A"/>
          <w:sz w:val="22"/>
          <w:szCs w:val="22"/>
        </w:rPr>
        <w:t xml:space="preserve">Gemini sub-contracting channel: £1.5–2m. Conservative estimate based on the M&amp;E and fit-out scope visible in Gemini's current order book and pipeline.</w:t>
      </w:r>
    </w:p>
    <w:p>
      <w:pPr>
        <w:pStyle w:val="ListParagraph"/>
        <w:numPr>
          <w:ilvl w:val="0"/>
          <w:numId w:val="2"/>
        </w:numPr>
        <w:spacing w:after="40" w:before="40"/>
      </w:pPr>
      <w:r>
        <w:rPr>
          <w:rFonts w:ascii="Arial" w:cs="Arial" w:eastAsia="Arial" w:hAnsi="Arial"/>
          <w:b w:val="false"/>
          <w:bCs w:val="false"/>
          <w:color w:val="1A1A1A"/>
          <w:sz w:val="22"/>
          <w:szCs w:val="22"/>
        </w:rPr>
        <w:t xml:space="preserve">Direct client channel (existing network): £1–1.5m. Based on confirmed client conversations and known procurement pipelines where the management team has existing relationships.</w:t>
      </w:r>
    </w:p>
    <w:p>
      <w:pPr>
        <w:pStyle w:val="ListParagraph"/>
        <w:numPr>
          <w:ilvl w:val="0"/>
          <w:numId w:val="2"/>
        </w:numPr>
        <w:spacing w:after="40" w:before="40"/>
      </w:pPr>
      <w:r>
        <w:rPr>
          <w:rFonts w:ascii="Arial" w:cs="Arial" w:eastAsia="Arial" w:hAnsi="Arial"/>
          <w:b w:val="false"/>
          <w:bCs w:val="false"/>
          <w:color w:val="1A1A1A"/>
          <w:sz w:val="22"/>
          <w:szCs w:val="22"/>
        </w:rPr>
        <w:t xml:space="preserve">Direct client channel (new business): £0.5m. Conservative allowance for new tender and framework activity beginning in Q2.</w:t>
      </w:r>
    </w:p>
    <w:p>
      <w:pPr>
        <w:spacing w:after="0" w:before="0"/>
      </w:pPr>
      <w:r>
        <w:t xml:space="preserve"/>
      </w:r>
    </w:p>
    <w:p>
      <w:pPr>
        <w:pStyle w:val="Heading2"/>
        <w:spacing w:after="100" w:before="200"/>
      </w:pPr>
      <w:r>
        <w:t xml:space="preserve">6.2  Illustrative Year-One P&amp;L</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270"/>
      </w:tblGrid>
      <w:tr>
        <w:trPr>
          <w:tblHeader/>
        </w:trPr>
        <w:tc>
          <w:tcPr>
            <w:tcW w:type="dxa" w:w="28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Line</w:t>
            </w:r>
          </w:p>
        </w:tc>
        <w:tc>
          <w:tcPr>
            <w:tcW w:type="dxa" w:w="20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Year 1 (£)</w:t>
            </w:r>
          </w:p>
        </w:tc>
        <w:tc>
          <w:tcPr>
            <w:tcW w:type="dxa" w:w="427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Comments</w:t>
            </w:r>
          </w:p>
        </w:tc>
      </w:tr>
      <w:tr>
        <w:trPr>
          <w:tblHeader w:val="false"/>
        </w:trPr>
        <w:tc>
          <w:tcPr>
            <w:tcW w:type="dxa" w:w="28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Revenue</w:t>
            </w:r>
          </w:p>
        </w:tc>
        <w:tc>
          <w:tcPr>
            <w:tcW w:type="dxa" w:w="20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4,000,000</w:t>
            </w:r>
          </w:p>
        </w:tc>
        <w:tc>
          <w:tcPr>
            <w:tcW w:type="dxa" w:w="42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Phase 1 + Phase 2 combined</w:t>
            </w:r>
          </w:p>
        </w:tc>
      </w:tr>
      <w:tr>
        <w:trPr>
          <w:tblHeader w:val="false"/>
        </w:trPr>
        <w:tc>
          <w:tcPr>
            <w:tcW w:type="dxa" w:w="28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Direct Labour</w:t>
            </w:r>
          </w:p>
        </w:tc>
        <w:tc>
          <w:tcPr>
            <w:tcW w:type="dxa" w:w="20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B91C1C"/>
                <w:sz w:val="20"/>
                <w:szCs w:val="20"/>
              </w:rPr>
              <w:t xml:space="preserve">(1,600,000)</w:t>
            </w:r>
          </w:p>
        </w:tc>
        <w:tc>
          <w:tcPr>
            <w:tcW w:type="dxa" w:w="42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6B3A"/>
                <w:sz w:val="20"/>
                <w:szCs w:val="20"/>
              </w:rPr>
              <w:t xml:space="preserve">40% of revenue — mix of employed and sub-contracted</w:t>
            </w:r>
          </w:p>
        </w:tc>
      </w:tr>
      <w:tr>
        <w:trPr>
          <w:tblHeader w:val="false"/>
        </w:trPr>
        <w:tc>
          <w:tcPr>
            <w:tcW w:type="dxa" w:w="28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Materials</w:t>
            </w:r>
          </w:p>
        </w:tc>
        <w:tc>
          <w:tcPr>
            <w:tcW w:type="dxa" w:w="20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B91C1C"/>
                <w:sz w:val="20"/>
                <w:szCs w:val="20"/>
              </w:rPr>
              <w:t xml:space="preserve">(800,000)</w:t>
            </w:r>
          </w:p>
        </w:tc>
        <w:tc>
          <w:tcPr>
            <w:tcW w:type="dxa" w:w="42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6B3A"/>
                <w:sz w:val="20"/>
                <w:szCs w:val="20"/>
              </w:rPr>
              <w:t xml:space="preserve">20% of revenue</w:t>
            </w:r>
          </w:p>
        </w:tc>
      </w:tr>
      <w:tr>
        <w:trPr>
          <w:tblHeader w:val="false"/>
        </w:trPr>
        <w:tc>
          <w:tcPr>
            <w:tcW w:type="dxa" w:w="28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Sub-contract Labour</w:t>
            </w:r>
          </w:p>
        </w:tc>
        <w:tc>
          <w:tcPr>
            <w:tcW w:type="dxa" w:w="20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B91C1C"/>
                <w:sz w:val="20"/>
                <w:szCs w:val="20"/>
              </w:rPr>
              <w:t xml:space="preserve">(600,000)</w:t>
            </w:r>
          </w:p>
        </w:tc>
        <w:tc>
          <w:tcPr>
            <w:tcW w:type="dxa" w:w="42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6B3A"/>
                <w:sz w:val="20"/>
                <w:szCs w:val="20"/>
              </w:rPr>
              <w:t xml:space="preserve">15% — specialist trades (electrical, gas, roofing)</w:t>
            </w:r>
          </w:p>
        </w:tc>
      </w:tr>
      <w:tr>
        <w:trPr>
          <w:tblHeader w:val="false"/>
        </w:trPr>
        <w:tc>
          <w:tcPr>
            <w:tcW w:type="dxa" w:w="28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Direct Costs Total</w:t>
            </w:r>
          </w:p>
        </w:tc>
        <w:tc>
          <w:tcPr>
            <w:tcW w:type="dxa" w:w="20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B91C1C"/>
                <w:sz w:val="20"/>
                <w:szCs w:val="20"/>
              </w:rPr>
              <w:t xml:space="preserve">(3,000,000)</w:t>
            </w:r>
          </w:p>
        </w:tc>
        <w:tc>
          <w:tcPr>
            <w:tcW w:type="dxa" w:w="42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6B3A"/>
                <w:sz w:val="20"/>
                <w:szCs w:val="20"/>
              </w:rPr>
              <w:t xml:space="preserve">75% of revenue</w:t>
            </w:r>
          </w:p>
        </w:tc>
      </w:tr>
      <w:tr>
        <w:trPr>
          <w:tblHeader w:val="false"/>
        </w:trPr>
        <w:tc>
          <w:tcPr>
            <w:tcW w:type="dxa" w:w="28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Gross Profit</w:t>
            </w:r>
          </w:p>
        </w:tc>
        <w:tc>
          <w:tcPr>
            <w:tcW w:type="dxa" w:w="20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1,000,000</w:t>
            </w:r>
          </w:p>
        </w:tc>
        <w:tc>
          <w:tcPr>
            <w:tcW w:type="dxa" w:w="42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6B3A"/>
                <w:sz w:val="20"/>
                <w:szCs w:val="20"/>
              </w:rPr>
              <w:t xml:space="preserve">25% GP margin</w:t>
            </w:r>
          </w:p>
        </w:tc>
      </w:tr>
      <w:tr>
        <w:trPr>
          <w:tblHeader w:val="false"/>
        </w:trPr>
        <w:tc>
          <w:tcPr>
            <w:tcW w:type="dxa" w:w="28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Overheads</w:t>
            </w:r>
          </w:p>
        </w:tc>
        <w:tc>
          <w:tcPr>
            <w:tcW w:type="dxa" w:w="20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B91C1C"/>
                <w:sz w:val="20"/>
                <w:szCs w:val="20"/>
              </w:rPr>
              <w:t xml:space="preserve">(600,000)</w:t>
            </w:r>
          </w:p>
        </w:tc>
        <w:tc>
          <w:tcPr>
            <w:tcW w:type="dxa" w:w="42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Management, back-office (shared with Group), vehicles, tools</w:t>
            </w:r>
          </w:p>
        </w:tc>
      </w:tr>
      <w:tr>
        <w:trPr>
          <w:tblHeader w:val="false"/>
        </w:trPr>
        <w:tc>
          <w:tcPr>
            <w:tcW w:type="dxa" w:w="28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Operating Profit</w:t>
            </w:r>
          </w:p>
        </w:tc>
        <w:tc>
          <w:tcPr>
            <w:tcW w:type="dxa" w:w="20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400,000</w:t>
            </w:r>
          </w:p>
        </w:tc>
        <w:tc>
          <w:tcPr>
            <w:tcW w:type="dxa" w:w="42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6B3A"/>
                <w:sz w:val="20"/>
                <w:szCs w:val="20"/>
              </w:rPr>
              <w:t xml:space="preserve">10% operating margin</w:t>
            </w:r>
          </w:p>
        </w:tc>
      </w:tr>
    </w:tbl>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D97B00" w:sz="6"/>
              <w:left w:val="single" w:color="D97B00" w:sz="6"/>
              <w:bottom w:val="single" w:color="D97B00" w:sz="6"/>
              <w:right w:val="single" w:color="D97B00" w:sz="6"/>
            </w:tcBorders>
            <w:shd w:fill="FFF8E7" w:val="clear"/>
            <w:tcMar>
              <w:top w:type="dxa" w:w="120"/>
              <w:left w:type="dxa" w:w="200"/>
              <w:bottom w:type="dxa" w:w="120"/>
              <w:right w:type="dxa" w:w="200"/>
            </w:tcMar>
          </w:tcPr>
          <w:p>
            <w:pPr>
              <w:spacing w:after="0" w:before="0"/>
              <w:jc w:val="left"/>
            </w:pPr>
            <w:r>
              <w:rPr>
                <w:rFonts w:ascii="Arial" w:cs="Arial" w:eastAsia="Arial" w:hAnsi="Arial"/>
                <w:b w:val="false"/>
                <w:bCs w:val="false"/>
                <w:i w:val="false"/>
                <w:iCs w:val="false"/>
                <w:color w:val="5A3000"/>
                <w:sz w:val="20"/>
                <w:szCs w:val="20"/>
              </w:rPr>
              <w:t xml:space="preserve">25% GP target is achievable based on the Gemini sub-contracting channel (margin set internally) plus direct work at prevailing market rates. The operating profit is sensitive to overhead management — shared Group back-office support is essential to keep overheads below 15% of revenue in Year 1.</w:t>
            </w:r>
          </w:p>
        </w:tc>
      </w:tr>
    </w:tbl>
    <w:p>
      <w:pPr>
        <w:spacing w:after="0" w:before="0"/>
      </w:pPr>
      <w:r>
        <w:t xml:space="preserve"/>
      </w:r>
    </w:p>
    <w:p>
      <w:pPr>
        <w:pStyle w:val="Heading2"/>
        <w:spacing w:after="100" w:before="200"/>
      </w:pPr>
      <w:r>
        <w:t xml:space="preserve">6.3  Key Financial Assumptions</w:t>
      </w:r>
    </w:p>
    <w:p>
      <w:pPr>
        <w:pStyle w:val="ListParagraph"/>
        <w:numPr>
          <w:ilvl w:val="0"/>
          <w:numId w:val="2"/>
        </w:numPr>
        <w:spacing w:after="40" w:before="40"/>
      </w:pPr>
      <w:r>
        <w:rPr>
          <w:rFonts w:ascii="Arial" w:cs="Arial" w:eastAsia="Arial" w:hAnsi="Arial"/>
          <w:b w:val="false"/>
          <w:bCs w:val="false"/>
          <w:color w:val="1A1A1A"/>
          <w:sz w:val="22"/>
          <w:szCs w:val="22"/>
        </w:rPr>
        <w:t xml:space="preserve">Direct labour: mix of 2–3 employed trade supervisors / project managers plus sub-contracted operative labour, scaling with revenue</w:t>
      </w:r>
    </w:p>
    <w:p>
      <w:pPr>
        <w:pStyle w:val="ListParagraph"/>
        <w:numPr>
          <w:ilvl w:val="0"/>
          <w:numId w:val="2"/>
        </w:numPr>
        <w:spacing w:after="40" w:before="40"/>
      </w:pPr>
      <w:r>
        <w:rPr>
          <w:rFonts w:ascii="Arial" w:cs="Arial" w:eastAsia="Arial" w:hAnsi="Arial"/>
          <w:b w:val="false"/>
          <w:bCs w:val="false"/>
          <w:color w:val="1A1A1A"/>
          <w:sz w:val="22"/>
          <w:szCs w:val="22"/>
        </w:rPr>
        <w:t xml:space="preserve">No dedicated AMPM Building Services premises required in Year 1 — works from Group base with site-based operations</w:t>
      </w:r>
    </w:p>
    <w:p>
      <w:pPr>
        <w:pStyle w:val="ListParagraph"/>
        <w:numPr>
          <w:ilvl w:val="0"/>
          <w:numId w:val="2"/>
        </w:numPr>
        <w:spacing w:after="40" w:before="40"/>
      </w:pPr>
      <w:r>
        <w:rPr>
          <w:rFonts w:ascii="Arial" w:cs="Arial" w:eastAsia="Arial" w:hAnsi="Arial"/>
          <w:b w:val="false"/>
          <w:bCs w:val="false"/>
          <w:color w:val="1A1A1A"/>
          <w:sz w:val="22"/>
          <w:szCs w:val="22"/>
        </w:rPr>
        <w:t xml:space="preserve">Vehicles: initial fleet of 2–3 transit vans; additional hired as revenue ramps</w:t>
      </w:r>
    </w:p>
    <w:p>
      <w:pPr>
        <w:pStyle w:val="ListParagraph"/>
        <w:numPr>
          <w:ilvl w:val="0"/>
          <w:numId w:val="2"/>
        </w:numPr>
        <w:spacing w:after="40" w:before="40"/>
      </w:pPr>
      <w:r>
        <w:rPr>
          <w:rFonts w:ascii="Arial" w:cs="Arial" w:eastAsia="Arial" w:hAnsi="Arial"/>
          <w:b w:val="false"/>
          <w:bCs w:val="false"/>
          <w:color w:val="1A1A1A"/>
          <w:sz w:val="22"/>
          <w:szCs w:val="22"/>
        </w:rPr>
        <w:t xml:space="preserve">Payment terms: 30-day net standard; Gemini channel settled monthly</w:t>
      </w:r>
    </w:p>
    <w:p>
      <w:pPr>
        <w:pStyle w:val="ListParagraph"/>
        <w:numPr>
          <w:ilvl w:val="0"/>
          <w:numId w:val="2"/>
        </w:numPr>
        <w:spacing w:after="40" w:before="40"/>
      </w:pPr>
      <w:r>
        <w:rPr>
          <w:rFonts w:ascii="Arial" w:cs="Arial" w:eastAsia="Arial" w:hAnsi="Arial"/>
          <w:b w:val="false"/>
          <w:bCs w:val="false"/>
          <w:color w:val="1A1A1A"/>
          <w:sz w:val="22"/>
          <w:szCs w:val="22"/>
        </w:rPr>
        <w:t xml:space="preserve">Working capital: modest requirement — sub-contracting channel provides predictable monthly income</w:t>
      </w:r>
    </w:p>
    <w:p>
      <w:pPr>
        <w:spacing w:after="0" w:before="0"/>
      </w:pPr>
      <w:r>
        <w:t xml:space="preserve"/>
      </w:r>
    </w:p>
    <w:p>
      <w:pPr>
        <w:pStyle w:val="Heading2"/>
        <w:spacing w:after="100" w:before="200"/>
      </w:pPr>
      <w:r>
        <w:t xml:space="preserve">6.4  Year 2–3 Outlook</w:t>
      </w:r>
    </w:p>
    <w:p>
      <w:pPr>
        <w:spacing w:after="80" w:before="80"/>
        <w:jc w:val="left"/>
      </w:pPr>
      <w:r>
        <w:rPr>
          <w:rFonts w:ascii="Arial" w:cs="Arial" w:eastAsia="Arial" w:hAnsi="Arial"/>
          <w:b w:val="false"/>
          <w:bCs w:val="false"/>
          <w:i w:val="false"/>
          <w:iCs w:val="false"/>
          <w:color w:val="1A1A1A"/>
          <w:sz w:val="22"/>
          <w:szCs w:val="22"/>
        </w:rPr>
        <w:t xml:space="preserve">Assuming successful Year 1 execution:</w:t>
      </w:r>
    </w:p>
    <w:p>
      <w:pPr>
        <w:pStyle w:val="ListParagraph"/>
        <w:numPr>
          <w:ilvl w:val="0"/>
          <w:numId w:val="2"/>
        </w:numPr>
        <w:spacing w:after="40" w:before="40"/>
      </w:pPr>
      <w:r>
        <w:rPr>
          <w:rFonts w:ascii="Arial" w:cs="Arial" w:eastAsia="Arial" w:hAnsi="Arial"/>
          <w:b w:val="false"/>
          <w:bCs w:val="false"/>
          <w:color w:val="1A1A1A"/>
          <w:sz w:val="22"/>
          <w:szCs w:val="22"/>
        </w:rPr>
        <w:t xml:space="preserve">Year 2: £6–8m revenue as the direct client base matures, the accreditation stack is complete, and the entity begins tendering for standalone framework appointments</w:t>
      </w:r>
    </w:p>
    <w:p>
      <w:pPr>
        <w:pStyle w:val="ListParagraph"/>
        <w:numPr>
          <w:ilvl w:val="0"/>
          <w:numId w:val="2"/>
        </w:numPr>
        <w:spacing w:after="40" w:before="40"/>
      </w:pPr>
      <w:r>
        <w:rPr>
          <w:rFonts w:ascii="Arial" w:cs="Arial" w:eastAsia="Arial" w:hAnsi="Arial"/>
          <w:b w:val="false"/>
          <w:bCs w:val="false"/>
          <w:color w:val="1A1A1A"/>
          <w:sz w:val="22"/>
          <w:szCs w:val="22"/>
        </w:rPr>
        <w:t xml:space="preserve">Year 3: £10m+ revenue — becomes a significant contributor to the Group's £25–30m revenue ambition alongside acquisitions</w:t>
      </w:r>
    </w:p>
    <w:p>
      <w:pPr>
        <w:spacing w:after="0" w:before="0"/>
      </w:pPr>
      <w:r>
        <w:t xml:space="preserve"/>
      </w:r>
    </w:p>
    <w:p>
      <w:r>
        <w:br w:type="page"/>
      </w:r>
    </w:p>
    <w:p>
      <w:pPr>
        <w:pStyle w:val="Heading1"/>
        <w:pBdr>
          <w:bottom w:val="single" w:color="2A6E8C" w:sz="8" w:space="4"/>
        </w:pBdr>
        <w:spacing w:after="140" w:before="320"/>
      </w:pPr>
      <w:r>
        <w:t xml:space="preserve">7.  Operations and Team</w:t>
      </w:r>
    </w:p>
    <w:p>
      <w:pPr>
        <w:pStyle w:val="Heading2"/>
        <w:spacing w:after="100" w:before="200"/>
      </w:pPr>
      <w:r>
        <w:t xml:space="preserve">7.1  Leadership</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270"/>
      </w:tblGrid>
      <w:tr>
        <w:trPr>
          <w:tblHeader/>
        </w:trPr>
        <w:tc>
          <w:tcPr>
            <w:tcW w:type="dxa" w:w="20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Role</w:t>
            </w:r>
          </w:p>
        </w:tc>
        <w:tc>
          <w:tcPr>
            <w:tcW w:type="dxa" w:w="18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Person</w:t>
            </w:r>
          </w:p>
        </w:tc>
        <w:tc>
          <w:tcPr>
            <w:tcW w:type="dxa" w:w="527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Arrangement</w:t>
            </w:r>
          </w:p>
        </w:tc>
      </w:tr>
      <w:tr>
        <w:trPr>
          <w:tblHeader w:val="false"/>
        </w:trPr>
        <w:tc>
          <w:tcPr>
            <w:tcW w:type="dxa" w:w="2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Director / Interim MD</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Dan Small</w:t>
            </w:r>
          </w:p>
        </w:tc>
        <w:tc>
          <w:tcPr>
            <w:tcW w:type="dxa" w:w="52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Group MD holds director role initially. Hands-on operational oversight through the launch phase.</w:t>
            </w:r>
          </w:p>
        </w:tc>
      </w:tr>
      <w:tr>
        <w:trPr>
          <w:tblHeader w:val="false"/>
        </w:trPr>
        <w:tc>
          <w:tcPr>
            <w:tcW w:type="dxa" w:w="2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Operations Manager</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TBC — hire in Month 1–2</w:t>
            </w:r>
          </w:p>
        </w:tc>
        <w:tc>
          <w:tcPr>
            <w:tcW w:type="dxa" w:w="52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Day-to-day site and project oversight. Critical hire. Target: experienced M&amp;E project manager with small contractor background.</w:t>
            </w:r>
          </w:p>
        </w:tc>
      </w:tr>
      <w:tr>
        <w:trPr>
          <w:tblHeader w:val="false"/>
        </w:trPr>
        <w:tc>
          <w:tcPr>
            <w:tcW w:type="dxa" w:w="2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Estimator / Commercial</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Shared from Group / Gemini</w:t>
            </w:r>
          </w:p>
        </w:tc>
        <w:tc>
          <w:tcPr>
            <w:tcW w:type="dxa" w:w="52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Estimating resource shared initially. Dedicated hire in Month 3–4 as pipeline grows.</w:t>
            </w:r>
          </w:p>
        </w:tc>
      </w:tr>
      <w:tr>
        <w:trPr>
          <w:tblHeader w:val="false"/>
        </w:trPr>
        <w:tc>
          <w:tcPr>
            <w:tcW w:type="dxa" w:w="20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Finance / Admin</w:t>
            </w:r>
          </w:p>
        </w:tc>
        <w:tc>
          <w:tcPr>
            <w:tcW w:type="dxa" w:w="1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Shared from Group</w:t>
            </w:r>
          </w:p>
        </w:tc>
        <w:tc>
          <w:tcPr>
            <w:tcW w:type="dxa" w:w="52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Group finance function supports AMPM Building Services from day one.</w:t>
            </w:r>
          </w:p>
        </w:tc>
      </w:tr>
    </w:tbl>
    <w:p>
      <w:pPr>
        <w:spacing w:after="0" w:before="0"/>
      </w:pPr>
      <w:r>
        <w:t xml:space="preserve"/>
      </w:r>
    </w:p>
    <w:p>
      <w:pPr>
        <w:pStyle w:val="Heading2"/>
        <w:spacing w:after="100" w:before="200"/>
      </w:pPr>
      <w:r>
        <w:t xml:space="preserve">7.2  Supply Chain</w:t>
      </w:r>
    </w:p>
    <w:p>
      <w:pPr>
        <w:spacing w:after="80" w:before="80"/>
        <w:jc w:val="left"/>
      </w:pPr>
      <w:r>
        <w:rPr>
          <w:rFonts w:ascii="Arial" w:cs="Arial" w:eastAsia="Arial" w:hAnsi="Arial"/>
          <w:b w:val="false"/>
          <w:bCs w:val="false"/>
          <w:i w:val="false"/>
          <w:iCs w:val="false"/>
          <w:color w:val="1A1A1A"/>
          <w:sz w:val="22"/>
          <w:szCs w:val="22"/>
        </w:rPr>
        <w:t xml:space="preserve">A key early priority is building a qualified, reliable supply chain across all five service lines:</w:t>
      </w:r>
    </w:p>
    <w:p>
      <w:pPr>
        <w:pStyle w:val="ListParagraph"/>
        <w:numPr>
          <w:ilvl w:val="0"/>
          <w:numId w:val="2"/>
        </w:numPr>
        <w:spacing w:after="40" w:before="40"/>
      </w:pPr>
      <w:r>
        <w:rPr>
          <w:rFonts w:ascii="Arial" w:cs="Arial" w:eastAsia="Arial" w:hAnsi="Arial"/>
          <w:b w:val="false"/>
          <w:bCs w:val="false"/>
          <w:color w:val="1A1A1A"/>
          <w:sz w:val="22"/>
          <w:szCs w:val="22"/>
        </w:rPr>
        <w:t xml:space="preserve">Electrical: NICEIC-approved electrical sub-contractors and qualified electricians — 2–3 preferred suppliers to be identified and approved in Month 1</w:t>
      </w:r>
    </w:p>
    <w:p>
      <w:pPr>
        <w:pStyle w:val="ListParagraph"/>
        <w:numPr>
          <w:ilvl w:val="0"/>
          <w:numId w:val="2"/>
        </w:numPr>
        <w:spacing w:after="40" w:before="40"/>
      </w:pPr>
      <w:r>
        <w:rPr>
          <w:rFonts w:ascii="Arial" w:cs="Arial" w:eastAsia="Arial" w:hAnsi="Arial"/>
          <w:b w:val="false"/>
          <w:bCs w:val="false"/>
          <w:color w:val="1A1A1A"/>
          <w:sz w:val="22"/>
          <w:szCs w:val="22"/>
        </w:rPr>
        <w:t xml:space="preserve">Mechanical: Plumbing and heating sub-contractors and Gas Safe engineers — existing Gemini supply chain relationships can be referenced but formal AMPM Building Services supply chain agreements must be executed</w:t>
      </w:r>
    </w:p>
    <w:p>
      <w:pPr>
        <w:pStyle w:val="ListParagraph"/>
        <w:numPr>
          <w:ilvl w:val="0"/>
          <w:numId w:val="2"/>
        </w:numPr>
        <w:spacing w:after="40" w:before="40"/>
      </w:pPr>
      <w:r>
        <w:rPr>
          <w:rFonts w:ascii="Arial" w:cs="Arial" w:eastAsia="Arial" w:hAnsi="Arial"/>
          <w:b w:val="false"/>
          <w:bCs w:val="false"/>
          <w:color w:val="1A1A1A"/>
          <w:sz w:val="22"/>
          <w:szCs w:val="22"/>
        </w:rPr>
        <w:t xml:space="preserve">Fit-out: Dry-lining and partitioning, joinery, and finishing trades — 3–4 preferred sub-contractors</w:t>
      </w:r>
    </w:p>
    <w:p>
      <w:pPr>
        <w:pStyle w:val="ListParagraph"/>
        <w:numPr>
          <w:ilvl w:val="0"/>
          <w:numId w:val="2"/>
        </w:numPr>
        <w:spacing w:after="40" w:before="40"/>
      </w:pPr>
      <w:r>
        <w:rPr>
          <w:rFonts w:ascii="Arial" w:cs="Arial" w:eastAsia="Arial" w:hAnsi="Arial"/>
          <w:b w:val="false"/>
          <w:bCs w:val="false"/>
          <w:color w:val="1A1A1A"/>
          <w:sz w:val="22"/>
          <w:szCs w:val="22"/>
        </w:rPr>
        <w:t xml:space="preserve">Roofing: GRP/EPDM flat roofing and pitched roofing specialists — 2 preferred suppliers minimum</w:t>
      </w:r>
    </w:p>
    <w:p>
      <w:pPr>
        <w:pStyle w:val="ListParagraph"/>
        <w:numPr>
          <w:ilvl w:val="0"/>
          <w:numId w:val="2"/>
        </w:numPr>
        <w:spacing w:after="40" w:before="40"/>
      </w:pPr>
      <w:r>
        <w:rPr>
          <w:rFonts w:ascii="Arial" w:cs="Arial" w:eastAsia="Arial" w:hAnsi="Arial"/>
          <w:b w:val="false"/>
          <w:bCs w:val="false"/>
          <w:color w:val="1A1A1A"/>
          <w:sz w:val="22"/>
          <w:szCs w:val="22"/>
        </w:rPr>
        <w:t xml:space="preserve">Groundworks: Drainage and concrete sub-contractors — 2 preferred suppliers</w:t>
      </w:r>
    </w:p>
    <w:p>
      <w:pPr>
        <w:spacing w:after="0" w:before="0"/>
      </w:pPr>
      <w:r>
        <w:t xml:space="preserve"/>
      </w:r>
    </w:p>
    <w:p>
      <w:pPr>
        <w:spacing w:after="80" w:before="80"/>
        <w:jc w:val="left"/>
      </w:pPr>
      <w:r>
        <w:rPr>
          <w:rFonts w:ascii="Arial" w:cs="Arial" w:eastAsia="Arial" w:hAnsi="Arial"/>
          <w:b w:val="false"/>
          <w:bCs w:val="false"/>
          <w:i w:val="false"/>
          <w:iCs w:val="false"/>
          <w:color w:val="1A1A1A"/>
          <w:sz w:val="22"/>
          <w:szCs w:val="22"/>
        </w:rPr>
        <w:t xml:space="preserve">All supply chain appointments must go through the Group's standard qualification process: public liability and employers liability insurance verification, references, and method statement / RAMS capability check.</w:t>
      </w:r>
    </w:p>
    <w:p>
      <w:pPr>
        <w:spacing w:after="0" w:before="0"/>
      </w:pPr>
      <w:r>
        <w:t xml:space="preserve"/>
      </w:r>
    </w:p>
    <w:p>
      <w:pPr>
        <w:pStyle w:val="Heading2"/>
        <w:spacing w:after="100" w:before="200"/>
      </w:pPr>
      <w:r>
        <w:t xml:space="preserve">7.3  Systems and Reporting</w:t>
      </w:r>
    </w:p>
    <w:p>
      <w:pPr>
        <w:pStyle w:val="ListParagraph"/>
        <w:numPr>
          <w:ilvl w:val="0"/>
          <w:numId w:val="2"/>
        </w:numPr>
        <w:spacing w:after="40" w:before="40"/>
      </w:pPr>
      <w:r>
        <w:rPr>
          <w:rFonts w:ascii="Arial" w:cs="Arial" w:eastAsia="Arial" w:hAnsi="Arial"/>
          <w:b w:val="false"/>
          <w:bCs w:val="false"/>
          <w:color w:val="1A1A1A"/>
          <w:sz w:val="22"/>
          <w:szCs w:val="22"/>
        </w:rPr>
        <w:t xml:space="preserve">Procore (project management): already in use at Gemini — extend licence to AMPM Building Services immediately</w:t>
      </w:r>
    </w:p>
    <w:p>
      <w:pPr>
        <w:pStyle w:val="ListParagraph"/>
        <w:numPr>
          <w:ilvl w:val="0"/>
          <w:numId w:val="2"/>
        </w:numPr>
        <w:spacing w:after="40" w:before="40"/>
      </w:pPr>
      <w:r>
        <w:rPr>
          <w:rFonts w:ascii="Arial" w:cs="Arial" w:eastAsia="Arial" w:hAnsi="Arial"/>
          <w:b w:val="false"/>
          <w:bCs w:val="false"/>
          <w:color w:val="1A1A1A"/>
          <w:sz w:val="22"/>
          <w:szCs w:val="22"/>
        </w:rPr>
        <w:t xml:space="preserve">Xero (financial): separate entity on Group Xero account — set up before first invoice</w:t>
      </w:r>
    </w:p>
    <w:p>
      <w:pPr>
        <w:pStyle w:val="ListParagraph"/>
        <w:numPr>
          <w:ilvl w:val="0"/>
          <w:numId w:val="2"/>
        </w:numPr>
        <w:spacing w:after="40" w:before="40"/>
      </w:pPr>
      <w:r>
        <w:rPr>
          <w:rFonts w:ascii="Arial" w:cs="Arial" w:eastAsia="Arial" w:hAnsi="Arial"/>
          <w:b w:val="false"/>
          <w:bCs w:val="false"/>
          <w:color w:val="1A1A1A"/>
          <w:sz w:val="22"/>
          <w:szCs w:val="22"/>
        </w:rPr>
        <w:t xml:space="preserve">Uptick (asset management): relevant for planned maintenance contracts as these develop; not priority Day 1</w:t>
      </w:r>
    </w:p>
    <w:p>
      <w:pPr>
        <w:pStyle w:val="ListParagraph"/>
        <w:numPr>
          <w:ilvl w:val="0"/>
          <w:numId w:val="2"/>
        </w:numPr>
        <w:spacing w:after="40" w:before="40"/>
      </w:pPr>
      <w:r>
        <w:rPr>
          <w:rFonts w:ascii="Arial" w:cs="Arial" w:eastAsia="Arial" w:hAnsi="Arial"/>
          <w:b w:val="false"/>
          <w:bCs w:val="false"/>
          <w:color w:val="1A1A1A"/>
          <w:sz w:val="22"/>
          <w:szCs w:val="22"/>
        </w:rPr>
        <w:t xml:space="preserve">AMPM Live: AMPM Building Services clients will be onboarded to the Group's client portal when it launches</w:t>
      </w:r>
    </w:p>
    <w:p>
      <w:pPr>
        <w:spacing w:after="0" w:before="0"/>
      </w:pPr>
      <w:r>
        <w:t xml:space="preserve"/>
      </w:r>
    </w:p>
    <w:p>
      <w:r>
        <w:br w:type="page"/>
      </w:r>
    </w:p>
    <w:p>
      <w:pPr>
        <w:pStyle w:val="Heading1"/>
        <w:pBdr>
          <w:bottom w:val="single" w:color="2A6E8C" w:sz="8" w:space="4"/>
        </w:pBdr>
        <w:spacing w:after="140" w:before="320"/>
      </w:pPr>
      <w:r>
        <w:t xml:space="preserve">8.  90-Day Launch Plan</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1200"/>
        <w:gridCol w:w="1400"/>
        <w:gridCol w:w="1770"/>
      </w:tblGrid>
      <w:tr>
        <w:trPr>
          <w:tblHeader/>
        </w:trPr>
        <w:tc>
          <w:tcPr>
            <w:tcW w:type="dxa" w:w="9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Phase</w:t>
            </w:r>
          </w:p>
        </w:tc>
        <w:tc>
          <w:tcPr>
            <w:tcW w:type="dxa" w:w="38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Action / Milestone</w:t>
            </w:r>
          </w:p>
        </w:tc>
        <w:tc>
          <w:tcPr>
            <w:tcW w:type="dxa" w:w="12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Owner</w:t>
            </w:r>
          </w:p>
        </w:tc>
        <w:tc>
          <w:tcPr>
            <w:tcW w:type="dxa" w:w="14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Target</w:t>
            </w:r>
          </w:p>
        </w:tc>
        <w:tc>
          <w:tcPr>
            <w:tcW w:type="dxa" w:w="177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Status</w:t>
            </w:r>
          </w:p>
        </w:tc>
      </w:tr>
      <w:tr>
        <w:trPr>
          <w:tblHeader w:val="false"/>
        </w:trPr>
        <w:tc>
          <w:tcPr>
            <w:tcW w:type="dxa" w:w="9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Week 1–2</w:t>
            </w:r>
          </w:p>
        </w:tc>
        <w:tc>
          <w:tcPr>
            <w:tcW w:type="dxa" w:w="3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Confirm entity is fully set up on Xero; open business bank account if not done</w:t>
            </w:r>
          </w:p>
        </w:tc>
        <w:tc>
          <w:tcPr>
            <w:tcW w:type="dxa" w:w="1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Dan Small / Group Finance</w:t>
            </w:r>
          </w:p>
        </w:tc>
        <w:tc>
          <w:tcPr>
            <w:tcW w:type="dxa" w:w="14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Week 2</w:t>
            </w:r>
          </w:p>
        </w:tc>
        <w:tc>
          <w:tcPr>
            <w:tcW w:type="dxa" w:w="17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Priority</w:t>
            </w:r>
          </w:p>
        </w:tc>
      </w:tr>
      <w:tr>
        <w:trPr>
          <w:tblHeader w:val="false"/>
        </w:trPr>
        <w:tc>
          <w:tcPr>
            <w:tcW w:type="dxa" w:w="9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Week 1–2</w:t>
            </w:r>
          </w:p>
        </w:tc>
        <w:tc>
          <w:tcPr>
            <w:tcW w:type="dxa" w:w="3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Place Employers Liability and Public Liability insurance policies</w:t>
            </w:r>
          </w:p>
        </w:tc>
        <w:tc>
          <w:tcPr>
            <w:tcW w:type="dxa" w:w="1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Dan Small / Insurance Broker</w:t>
            </w:r>
          </w:p>
        </w:tc>
        <w:tc>
          <w:tcPr>
            <w:tcW w:type="dxa" w:w="14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Week 2</w:t>
            </w:r>
          </w:p>
        </w:tc>
        <w:tc>
          <w:tcPr>
            <w:tcW w:type="dxa" w:w="17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Priority</w:t>
            </w:r>
          </w:p>
        </w:tc>
      </w:tr>
      <w:tr>
        <w:trPr>
          <w:tblHeader w:val="false"/>
        </w:trPr>
        <w:tc>
          <w:tcPr>
            <w:tcW w:type="dxa" w:w="9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Week 1–2</w:t>
            </w:r>
          </w:p>
        </w:tc>
        <w:tc>
          <w:tcPr>
            <w:tcW w:type="dxa" w:w="3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Apply for NICEIC or NAPIT registration; identify registered electricians</w:t>
            </w:r>
          </w:p>
        </w:tc>
        <w:tc>
          <w:tcPr>
            <w:tcW w:type="dxa" w:w="1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Dan Small / Ops hire</w:t>
            </w:r>
          </w:p>
        </w:tc>
        <w:tc>
          <w:tcPr>
            <w:tcW w:type="dxa" w:w="14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Week 2</w:t>
            </w:r>
          </w:p>
        </w:tc>
        <w:tc>
          <w:tcPr>
            <w:tcW w:type="dxa" w:w="17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Priority</w:t>
            </w:r>
          </w:p>
        </w:tc>
      </w:tr>
      <w:tr>
        <w:trPr>
          <w:tblHeader w:val="false"/>
        </w:trPr>
        <w:tc>
          <w:tcPr>
            <w:tcW w:type="dxa" w:w="9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Week 1–2</w:t>
            </w:r>
          </w:p>
        </w:tc>
        <w:tc>
          <w:tcPr>
            <w:tcW w:type="dxa" w:w="3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Register Gas Safe qualified engineers on AMPM Building Services company card</w:t>
            </w:r>
          </w:p>
        </w:tc>
        <w:tc>
          <w:tcPr>
            <w:tcW w:type="dxa" w:w="1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Dan Small</w:t>
            </w:r>
          </w:p>
        </w:tc>
        <w:tc>
          <w:tcPr>
            <w:tcW w:type="dxa" w:w="14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Week 2</w:t>
            </w:r>
          </w:p>
        </w:tc>
        <w:tc>
          <w:tcPr>
            <w:tcW w:type="dxa" w:w="17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Priority</w:t>
            </w:r>
          </w:p>
        </w:tc>
      </w:tr>
      <w:tr>
        <w:trPr>
          <w:tblHeader w:val="false"/>
        </w:trPr>
        <w:tc>
          <w:tcPr>
            <w:tcW w:type="dxa" w:w="9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Week 1–4</w:t>
            </w:r>
          </w:p>
        </w:tc>
        <w:tc>
          <w:tcPr>
            <w:tcW w:type="dxa" w:w="3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Identify and appoint Operations Manager</w:t>
            </w:r>
          </w:p>
        </w:tc>
        <w:tc>
          <w:tcPr>
            <w:tcW w:type="dxa" w:w="1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Dan Small / Jamie Dawson</w:t>
            </w:r>
          </w:p>
        </w:tc>
        <w:tc>
          <w:tcPr>
            <w:tcW w:type="dxa" w:w="14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Week 4</w:t>
            </w:r>
          </w:p>
        </w:tc>
        <w:tc>
          <w:tcPr>
            <w:tcW w:type="dxa" w:w="17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Critical hire</w:t>
            </w:r>
          </w:p>
        </w:tc>
      </w:tr>
      <w:tr>
        <w:trPr>
          <w:tblHeader w:val="false"/>
        </w:trPr>
        <w:tc>
          <w:tcPr>
            <w:tcW w:type="dxa" w:w="9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Week 2–4</w:t>
            </w:r>
          </w:p>
        </w:tc>
        <w:tc>
          <w:tcPr>
            <w:tcW w:type="dxa" w:w="3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Agree internal sub-contract framework with Gemini AMPM (pricing, payment terms)</w:t>
            </w:r>
          </w:p>
        </w:tc>
        <w:tc>
          <w:tcPr>
            <w:tcW w:type="dxa" w:w="1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Dan Small / Luke Finney</w:t>
            </w:r>
          </w:p>
        </w:tc>
        <w:tc>
          <w:tcPr>
            <w:tcW w:type="dxa" w:w="14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Week 3</w:t>
            </w:r>
          </w:p>
        </w:tc>
        <w:tc>
          <w:tcPr>
            <w:tcW w:type="dxa" w:w="17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Phase 1 gate</w:t>
            </w:r>
          </w:p>
        </w:tc>
      </w:tr>
      <w:tr>
        <w:trPr>
          <w:tblHeader w:val="false"/>
        </w:trPr>
        <w:tc>
          <w:tcPr>
            <w:tcW w:type="dxa" w:w="9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Week 2–4</w:t>
            </w:r>
          </w:p>
        </w:tc>
        <w:tc>
          <w:tcPr>
            <w:tcW w:type="dxa" w:w="3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Issue first sub-contract instruction from Gemini — Phase 1 commences</w:t>
            </w:r>
          </w:p>
        </w:tc>
        <w:tc>
          <w:tcPr>
            <w:tcW w:type="dxa" w:w="1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Dan Small</w:t>
            </w:r>
          </w:p>
        </w:tc>
        <w:tc>
          <w:tcPr>
            <w:tcW w:type="dxa" w:w="14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Week 4</w:t>
            </w:r>
          </w:p>
        </w:tc>
        <w:tc>
          <w:tcPr>
            <w:tcW w:type="dxa" w:w="17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Revenue start</w:t>
            </w:r>
          </w:p>
        </w:tc>
      </w:tr>
      <w:tr>
        <w:trPr>
          <w:tblHeader w:val="false"/>
        </w:trPr>
        <w:tc>
          <w:tcPr>
            <w:tcW w:type="dxa" w:w="9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Week 3–6</w:t>
            </w:r>
          </w:p>
        </w:tc>
        <w:tc>
          <w:tcPr>
            <w:tcW w:type="dxa" w:w="3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Identify 10 priority direct clients for Phase 2 approach; begin conversations</w:t>
            </w:r>
          </w:p>
        </w:tc>
        <w:tc>
          <w:tcPr>
            <w:tcW w:type="dxa" w:w="1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Jamie / Dan / Luke</w:t>
            </w:r>
          </w:p>
        </w:tc>
        <w:tc>
          <w:tcPr>
            <w:tcW w:type="dxa" w:w="14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Week 6</w:t>
            </w:r>
          </w:p>
        </w:tc>
        <w:tc>
          <w:tcPr>
            <w:tcW w:type="dxa" w:w="17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Phase 2 prep</w:t>
            </w:r>
          </w:p>
        </w:tc>
      </w:tr>
      <w:tr>
        <w:trPr>
          <w:tblHeader w:val="false"/>
        </w:trPr>
        <w:tc>
          <w:tcPr>
            <w:tcW w:type="dxa" w:w="9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Week 4–6</w:t>
            </w:r>
          </w:p>
        </w:tc>
        <w:tc>
          <w:tcPr>
            <w:tcW w:type="dxa" w:w="3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Apply for CHAS or Constructionline accreditation</w:t>
            </w:r>
          </w:p>
        </w:tc>
        <w:tc>
          <w:tcPr>
            <w:tcW w:type="dxa" w:w="1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Ops Manager / Admin</w:t>
            </w:r>
          </w:p>
        </w:tc>
        <w:tc>
          <w:tcPr>
            <w:tcW w:type="dxa" w:w="14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Week 6</w:t>
            </w:r>
          </w:p>
        </w:tc>
        <w:tc>
          <w:tcPr>
            <w:tcW w:type="dxa" w:w="17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Ongoing</w:t>
            </w:r>
          </w:p>
        </w:tc>
      </w:tr>
      <w:tr>
        <w:trPr>
          <w:tblHeader w:val="false"/>
        </w:trPr>
        <w:tc>
          <w:tcPr>
            <w:tcW w:type="dxa" w:w="9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Month 2</w:t>
            </w:r>
          </w:p>
        </w:tc>
        <w:tc>
          <w:tcPr>
            <w:tcW w:type="dxa" w:w="3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First direct client instruction received (target)</w:t>
            </w:r>
          </w:p>
        </w:tc>
        <w:tc>
          <w:tcPr>
            <w:tcW w:type="dxa" w:w="1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Dan Small</w:t>
            </w:r>
          </w:p>
        </w:tc>
        <w:tc>
          <w:tcPr>
            <w:tcW w:type="dxa" w:w="14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Month 2</w:t>
            </w:r>
          </w:p>
        </w:tc>
        <w:tc>
          <w:tcPr>
            <w:tcW w:type="dxa" w:w="17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Target</w:t>
            </w:r>
          </w:p>
        </w:tc>
      </w:tr>
      <w:tr>
        <w:trPr>
          <w:tblHeader w:val="false"/>
        </w:trPr>
        <w:tc>
          <w:tcPr>
            <w:tcW w:type="dxa" w:w="9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Month 2–3</w:t>
            </w:r>
          </w:p>
        </w:tc>
        <w:tc>
          <w:tcPr>
            <w:tcW w:type="dxa" w:w="3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Qualify and approve preferred supply chain across all 5 service lines</w:t>
            </w:r>
          </w:p>
        </w:tc>
        <w:tc>
          <w:tcPr>
            <w:tcW w:type="dxa" w:w="1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Ops Manager</w:t>
            </w:r>
          </w:p>
        </w:tc>
        <w:tc>
          <w:tcPr>
            <w:tcW w:type="dxa" w:w="14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Month 3</w:t>
            </w:r>
          </w:p>
        </w:tc>
        <w:tc>
          <w:tcPr>
            <w:tcW w:type="dxa" w:w="17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Operational</w:t>
            </w:r>
          </w:p>
        </w:tc>
      </w:tr>
      <w:tr>
        <w:trPr>
          <w:tblHeader w:val="false"/>
        </w:trPr>
        <w:tc>
          <w:tcPr>
            <w:tcW w:type="dxa" w:w="9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Month 3</w:t>
            </w:r>
          </w:p>
        </w:tc>
        <w:tc>
          <w:tcPr>
            <w:tcW w:type="dxa" w:w="3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First monthly management accounts filed and reviewed</w:t>
            </w:r>
          </w:p>
        </w:tc>
        <w:tc>
          <w:tcPr>
            <w:tcW w:type="dxa" w:w="1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Group Finance</w:t>
            </w:r>
          </w:p>
        </w:tc>
        <w:tc>
          <w:tcPr>
            <w:tcW w:type="dxa" w:w="14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Month 3</w:t>
            </w:r>
          </w:p>
        </w:tc>
        <w:tc>
          <w:tcPr>
            <w:tcW w:type="dxa" w:w="17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Ongoing</w:t>
            </w:r>
          </w:p>
        </w:tc>
      </w:tr>
      <w:tr>
        <w:trPr>
          <w:tblHeader w:val="false"/>
        </w:trPr>
        <w:tc>
          <w:tcPr>
            <w:tcW w:type="dxa" w:w="9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Month 3</w:t>
            </w:r>
          </w:p>
        </w:tc>
        <w:tc>
          <w:tcPr>
            <w:tcW w:type="dxa" w:w="3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Review Phase 1 margin performance; adjust internal sub-contract rates if needed</w:t>
            </w:r>
          </w:p>
        </w:tc>
        <w:tc>
          <w:tcPr>
            <w:tcW w:type="dxa" w:w="1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Dan Small / Luke Finney</w:t>
            </w:r>
          </w:p>
        </w:tc>
        <w:tc>
          <w:tcPr>
            <w:tcW w:type="dxa" w:w="14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Month 3</w:t>
            </w:r>
          </w:p>
        </w:tc>
        <w:tc>
          <w:tcPr>
            <w:tcW w:type="dxa" w:w="17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Review</w:t>
            </w:r>
          </w:p>
        </w:tc>
      </w:tr>
      <w:tr>
        <w:trPr>
          <w:tblHeader w:val="false"/>
        </w:trPr>
        <w:tc>
          <w:tcPr>
            <w:tcW w:type="dxa" w:w="9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Month 3</w:t>
            </w:r>
          </w:p>
        </w:tc>
        <w:tc>
          <w:tcPr>
            <w:tcW w:type="dxa" w:w="3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Begin ISO 9001 implementation programme</w:t>
            </w:r>
          </w:p>
        </w:tc>
        <w:tc>
          <w:tcPr>
            <w:tcW w:type="dxa" w:w="1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Ops Manager</w:t>
            </w:r>
          </w:p>
        </w:tc>
        <w:tc>
          <w:tcPr>
            <w:tcW w:type="dxa" w:w="14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Month 3</w:t>
            </w:r>
          </w:p>
        </w:tc>
        <w:tc>
          <w:tcPr>
            <w:tcW w:type="dxa" w:w="177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12-month target</w:t>
            </w:r>
          </w:p>
        </w:tc>
      </w:tr>
    </w:tbl>
    <w:p>
      <w:pPr>
        <w:spacing w:after="0" w:before="0"/>
      </w:pPr>
      <w:r>
        <w:t xml:space="preserve"/>
      </w:r>
    </w:p>
    <w:p>
      <w:r>
        <w:br w:type="page"/>
      </w:r>
    </w:p>
    <w:p>
      <w:pPr>
        <w:pStyle w:val="Heading1"/>
        <w:pBdr>
          <w:bottom w:val="single" w:color="2A6E8C" w:sz="8" w:space="4"/>
        </w:pBdr>
        <w:spacing w:after="140" w:before="320"/>
      </w:pPr>
      <w:r>
        <w:t xml:space="preserve">9.  Principal Risks and Mitigants</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900"/>
        <w:gridCol w:w="4970"/>
      </w:tblGrid>
      <w:tr>
        <w:trPr>
          <w:tblHeader/>
        </w:trPr>
        <w:tc>
          <w:tcPr>
            <w:tcW w:type="dxa" w:w="22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Risk</w:t>
            </w:r>
          </w:p>
        </w:tc>
        <w:tc>
          <w:tcPr>
            <w:tcW w:type="dxa" w:w="10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Likelihood</w:t>
            </w:r>
          </w:p>
        </w:tc>
        <w:tc>
          <w:tcPr>
            <w:tcW w:type="dxa" w:w="9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Impact</w:t>
            </w:r>
          </w:p>
        </w:tc>
        <w:tc>
          <w:tcPr>
            <w:tcW w:type="dxa" w:w="497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Mitigant</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Operations Manager hire delayed</w:t>
            </w:r>
          </w:p>
        </w:tc>
        <w:tc>
          <w:tcPr>
            <w:tcW w:type="dxa" w:w="10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Medium</w:t>
            </w:r>
          </w:p>
        </w:tc>
        <w:tc>
          <w:tcPr>
            <w:tcW w:type="dxa" w:w="9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High</w:t>
            </w:r>
          </w:p>
        </w:tc>
        <w:tc>
          <w:tcPr>
            <w:tcW w:type="dxa" w:w="49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Dan Small holds role short-term. Begin recruitment immediately — target shortlist within 2 weeks of launch decision.</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Insurance not placed before first instruction</w:t>
            </w:r>
          </w:p>
        </w:tc>
        <w:tc>
          <w:tcPr>
            <w:tcW w:type="dxa" w:w="10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Low</w:t>
            </w:r>
          </w:p>
        </w:tc>
        <w:tc>
          <w:tcPr>
            <w:tcW w:type="dxa" w:w="9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High</w:t>
            </w:r>
          </w:p>
        </w:tc>
        <w:tc>
          <w:tcPr>
            <w:tcW w:type="dxa" w:w="49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Day-one priority. Phase 1 can operate under Gemini umbrella policy while AMPM BS policies are placed — confirm with broker.</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Gemini internal sub-contract pricing disputed</w:t>
            </w:r>
          </w:p>
        </w:tc>
        <w:tc>
          <w:tcPr>
            <w:tcW w:type="dxa" w:w="10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Low</w:t>
            </w:r>
          </w:p>
        </w:tc>
        <w:tc>
          <w:tcPr>
            <w:tcW w:type="dxa" w:w="9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Medium</w:t>
            </w:r>
          </w:p>
        </w:tc>
        <w:tc>
          <w:tcPr>
            <w:tcW w:type="dxa" w:w="49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Agree written framework before first instruction. Arms-length pricing to be auditable.</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Phase 2 client conversion takes longer than 60 days</w:t>
            </w:r>
          </w:p>
        </w:tc>
        <w:tc>
          <w:tcPr>
            <w:tcW w:type="dxa" w:w="10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Medium</w:t>
            </w:r>
          </w:p>
        </w:tc>
        <w:tc>
          <w:tcPr>
            <w:tcW w:type="dxa" w:w="9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Medium</w:t>
            </w:r>
          </w:p>
        </w:tc>
        <w:tc>
          <w:tcPr>
            <w:tcW w:type="dxa" w:w="49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Phase 1 revenue continues during delay. £4m target adjusted if Phase 2 slips — downside case ~£2.5m.</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Supply chain quality / reliability issues</w:t>
            </w:r>
          </w:p>
        </w:tc>
        <w:tc>
          <w:tcPr>
            <w:tcW w:type="dxa" w:w="10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Medium</w:t>
            </w:r>
          </w:p>
        </w:tc>
        <w:tc>
          <w:tcPr>
            <w:tcW w:type="dxa" w:w="9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High</w:t>
            </w:r>
          </w:p>
        </w:tc>
        <w:tc>
          <w:tcPr>
            <w:tcW w:type="dxa" w:w="49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Minimum 2 approved suppliers per trade. Performance reviews monthly in Year 1.</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Building Services losses recur (cf. H1 FY26 Gemini division)</w:t>
            </w:r>
          </w:p>
        </w:tc>
        <w:tc>
          <w:tcPr>
            <w:tcW w:type="dxa" w:w="10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Medium</w:t>
            </w:r>
          </w:p>
        </w:tc>
        <w:tc>
          <w:tcPr>
            <w:tcW w:type="dxa" w:w="9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Medium</w:t>
            </w:r>
          </w:p>
        </w:tc>
        <w:tc>
          <w:tcPr>
            <w:tcW w:type="dxa" w:w="49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6B3A"/>
                <w:sz w:val="20"/>
                <w:szCs w:val="20"/>
              </w:rPr>
              <w:t xml:space="preserve">Clean entity start. No legacy bad contracts. Margin discipline from Day 1 — no work taken below 20% GP.</w:t>
            </w:r>
          </w:p>
        </w:tc>
      </w:tr>
      <w:tr>
        <w:trPr>
          <w:tblHeader w:val="false"/>
        </w:trPr>
        <w:tc>
          <w:tcPr>
            <w:tcW w:type="dxa" w:w="22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Accreditation delays block certain tender categories</w:t>
            </w:r>
          </w:p>
        </w:tc>
        <w:tc>
          <w:tcPr>
            <w:tcW w:type="dxa" w:w="10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Low</w:t>
            </w:r>
          </w:p>
        </w:tc>
        <w:tc>
          <w:tcPr>
            <w:tcW w:type="dxa" w:w="9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Medium</w:t>
            </w:r>
          </w:p>
        </w:tc>
        <w:tc>
          <w:tcPr>
            <w:tcW w:type="dxa" w:w="49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Focus Phase 2 on work types accessible without pending accreditations. Electrical and Gas Safe are 4-8 week processes.</w:t>
            </w:r>
          </w:p>
        </w:tc>
      </w:tr>
    </w:tbl>
    <w:p>
      <w:pPr>
        <w:spacing w:after="0" w:before="0"/>
      </w:pPr>
      <w:r>
        <w:t xml:space="preserve"/>
      </w:r>
    </w:p>
    <w:p>
      <w:r>
        <w:br w:type="page"/>
      </w:r>
    </w:p>
    <w:p>
      <w:pPr>
        <w:pStyle w:val="Heading1"/>
        <w:pBdr>
          <w:bottom w:val="single" w:color="2A6E8C" w:sz="8" w:space="4"/>
        </w:pBdr>
        <w:spacing w:after="140" w:before="320"/>
      </w:pPr>
      <w:r>
        <w:t xml:space="preserve">10.  Contribution to Group Business Plan</w:t>
      </w:r>
    </w:p>
    <w:p>
      <w:pPr>
        <w:spacing w:after="80" w:before="120"/>
        <w:jc w:val="left"/>
      </w:pPr>
      <w:r>
        <w:rPr>
          <w:rFonts w:ascii="Arial" w:cs="Arial" w:eastAsia="Arial" w:hAnsi="Arial"/>
          <w:b w:val="false"/>
          <w:bCs w:val="false"/>
          <w:i w:val="false"/>
          <w:iCs w:val="false"/>
          <w:color w:val="1A1A1A"/>
          <w:sz w:val="22"/>
          <w:szCs w:val="22"/>
        </w:rPr>
        <w:t xml:space="preserve">AMPM Building Services was referenced in the AMPM Group Business Plan (May 2026) as a Year-1 subsidiary. This document provides the operational detail behind that reference. The key update to the Group plan is the year-one revenue contribution:</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600"/>
        <w:gridCol w:w="2270"/>
      </w:tblGrid>
      <w:tr>
        <w:trPr>
          <w:tblHeader/>
        </w:trPr>
        <w:tc>
          <w:tcPr>
            <w:tcW w:type="dxa" w:w="28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Entity</w:t>
            </w:r>
          </w:p>
        </w:tc>
        <w:tc>
          <w:tcPr>
            <w:tcW w:type="dxa" w:w="24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Year 1 Revenue (Updated)</w:t>
            </w:r>
          </w:p>
        </w:tc>
        <w:tc>
          <w:tcPr>
            <w:tcW w:type="dxa" w:w="16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Year 2</w:t>
            </w:r>
          </w:p>
        </w:tc>
        <w:tc>
          <w:tcPr>
            <w:tcW w:type="dxa" w:w="227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Year 3</w:t>
            </w:r>
          </w:p>
        </w:tc>
      </w:tr>
      <w:tr>
        <w:trPr>
          <w:tblHeader w:val="false"/>
        </w:trPr>
        <w:tc>
          <w:tcPr>
            <w:tcW w:type="dxa" w:w="28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Gemini AMPM</w:t>
            </w:r>
          </w:p>
        </w:tc>
        <w:tc>
          <w:tcPr>
            <w:tcW w:type="dxa" w:w="24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~£8–9m (recovery to FY25 run-rate)</w:t>
            </w:r>
          </w:p>
        </w:tc>
        <w:tc>
          <w:tcPr>
            <w:tcW w:type="dxa" w:w="16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~£10m</w:t>
            </w:r>
          </w:p>
        </w:tc>
        <w:tc>
          <w:tcPr>
            <w:tcW w:type="dxa" w:w="22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~£12m</w:t>
            </w:r>
          </w:p>
        </w:tc>
      </w:tr>
      <w:tr>
        <w:trPr>
          <w:tblHeader w:val="false"/>
        </w:trPr>
        <w:tc>
          <w:tcPr>
            <w:tcW w:type="dxa" w:w="28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AMPM Building Services</w:t>
            </w:r>
          </w:p>
        </w:tc>
        <w:tc>
          <w:tcPr>
            <w:tcW w:type="dxa" w:w="24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~£4m</w:t>
            </w:r>
          </w:p>
        </w:tc>
        <w:tc>
          <w:tcPr>
            <w:tcW w:type="dxa" w:w="16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~£6–8m</w:t>
            </w:r>
          </w:p>
        </w:tc>
        <w:tc>
          <w:tcPr>
            <w:tcW w:type="dxa" w:w="22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~£10m+</w:t>
            </w:r>
          </w:p>
        </w:tc>
      </w:tr>
      <w:tr>
        <w:trPr>
          <w:tblHeader w:val="false"/>
        </w:trPr>
        <w:tc>
          <w:tcPr>
            <w:tcW w:type="dxa" w:w="28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AMPM Facilities (from Q3 2027)</w:t>
            </w:r>
          </w:p>
        </w:tc>
        <w:tc>
          <w:tcPr>
            <w:tcW w:type="dxa" w:w="24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t>
            </w:r>
          </w:p>
        </w:tc>
        <w:tc>
          <w:tcPr>
            <w:tcW w:type="dxa" w:w="16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~£2–3m</w:t>
            </w:r>
          </w:p>
        </w:tc>
        <w:tc>
          <w:tcPr>
            <w:tcW w:type="dxa" w:w="22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~£5m</w:t>
            </w:r>
          </w:p>
        </w:tc>
      </w:tr>
      <w:tr>
        <w:trPr>
          <w:tblHeader w:val="false"/>
        </w:trPr>
        <w:tc>
          <w:tcPr>
            <w:tcW w:type="dxa" w:w="28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Acquisitions</w:t>
            </w:r>
          </w:p>
        </w:tc>
        <w:tc>
          <w:tcPr>
            <w:tcW w:type="dxa" w:w="24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~£1–2m (first acquisition)</w:t>
            </w:r>
          </w:p>
        </w:tc>
        <w:tc>
          <w:tcPr>
            <w:tcW w:type="dxa" w:w="16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~£5–8m</w:t>
            </w:r>
          </w:p>
        </w:tc>
        <w:tc>
          <w:tcPr>
            <w:tcW w:type="dxa" w:w="22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~£10m+</w:t>
            </w:r>
          </w:p>
        </w:tc>
      </w:tr>
      <w:tr>
        <w:trPr>
          <w:tblHeader w:val="false"/>
        </w:trPr>
        <w:tc>
          <w:tcPr>
            <w:tcW w:type="dxa" w:w="28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GROUP TOTAL</w:t>
            </w:r>
          </w:p>
        </w:tc>
        <w:tc>
          <w:tcPr>
            <w:tcW w:type="dxa" w:w="24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~£13–15m</w:t>
            </w:r>
          </w:p>
        </w:tc>
        <w:tc>
          <w:tcPr>
            <w:tcW w:type="dxa" w:w="16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~£23–29m</w:t>
            </w:r>
          </w:p>
        </w:tc>
        <w:tc>
          <w:tcPr>
            <w:tcW w:type="dxa" w:w="227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~£35m+</w:t>
            </w:r>
          </w:p>
        </w:tc>
      </w:tr>
    </w:tbl>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1A6B3A" w:sz="6"/>
              <w:left w:val="single" w:color="1A6B3A" w:sz="6"/>
              <w:bottom w:val="single" w:color="1A6B3A" w:sz="6"/>
              <w:right w:val="single" w:color="1A6B3A" w:sz="6"/>
            </w:tcBorders>
            <w:shd w:fill="EDFAF4" w:val="clear"/>
            <w:tcMar>
              <w:top w:type="dxa" w:w="120"/>
              <w:left w:type="dxa" w:w="200"/>
              <w:bottom w:type="dxa" w:w="120"/>
              <w:right w:type="dxa" w:w="200"/>
            </w:tcMar>
          </w:tcPr>
          <w:p>
            <w:pPr>
              <w:spacing w:after="0" w:before="0"/>
              <w:jc w:val="left"/>
            </w:pPr>
            <w:r>
              <w:rPr>
                <w:rFonts w:ascii="Arial" w:cs="Arial" w:eastAsia="Arial" w:hAnsi="Arial"/>
                <w:b w:val="false"/>
                <w:bCs w:val="false"/>
                <w:i w:val="false"/>
                <w:iCs w:val="false"/>
                <w:color w:val="1A6B3A"/>
                <w:sz w:val="20"/>
                <w:szCs w:val="20"/>
              </w:rPr>
              <w:t xml:space="preserve">With AMPM Building Services contributing £4m in Year 1, the Group's consolidated revenue target of £25–30m within 5 years becomes achievable with fewer acquisitions than previously modelled. Building Services is the fastest organic growth lever available to the Group.</w:t>
            </w:r>
          </w:p>
        </w:tc>
      </w:tr>
    </w:tbl>
    <w:p>
      <w:pPr>
        <w:spacing w:after="0" w:before="0"/>
      </w:pPr>
      <w:r>
        <w:t xml:space="preserve"/>
      </w:r>
    </w:p>
    <w:p>
      <w:r>
        <w:br w:type="page"/>
      </w:r>
    </w:p>
    <w:p>
      <w:pPr>
        <w:pStyle w:val="Heading1"/>
        <w:pBdr>
          <w:bottom w:val="single" w:color="2A6E8C" w:sz="8" w:space="4"/>
        </w:pBdr>
        <w:spacing w:after="140" w:before="320"/>
      </w:pPr>
      <w:r>
        <w:t xml:space="preserve">11.  Decision and Next Steps</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9070"/>
      </w:tblGrid>
      <w:tr>
        <w:tc>
          <w:tcPr>
            <w:tcW w:type="dxa" w:w="9070"/>
            <w:tcBorders>
              <w:top w:val="single" w:color="2A6E8C" w:sz="6"/>
              <w:left w:val="single" w:color="2A6E8C" w:sz="6"/>
              <w:bottom w:val="single" w:color="2A6E8C" w:sz="6"/>
              <w:right w:val="single" w:color="2A6E8C" w:sz="6"/>
            </w:tcBorders>
            <w:shd w:fill="F2F4F6" w:val="clear"/>
            <w:tcMar>
              <w:top w:type="dxa" w:w="120"/>
              <w:left w:type="dxa" w:w="200"/>
              <w:bottom w:type="dxa" w:w="120"/>
              <w:right w:type="dxa" w:w="200"/>
            </w:tcMar>
          </w:tcPr>
          <w:p>
            <w:pPr>
              <w:spacing w:after="0" w:before="0"/>
              <w:jc w:val="left"/>
            </w:pPr>
            <w:r>
              <w:rPr>
                <w:rFonts w:ascii="Arial" w:cs="Arial" w:eastAsia="Arial" w:hAnsi="Arial"/>
                <w:b/>
                <w:bCs/>
                <w:i w:val="false"/>
                <w:iCs w:val="false"/>
                <w:color w:val="1A2E4A"/>
                <w:sz w:val="22"/>
                <w:szCs w:val="22"/>
              </w:rPr>
              <w:t xml:space="preserve">AMPM Building Services is incorporated and ready to trade. The decision required is not whether to launch — it is how quickly to execute the launch checklist. The commercial case is clear.</w:t>
            </w:r>
          </w:p>
        </w:tc>
      </w:tr>
    </w:tbl>
    <w:p>
      <w:pPr>
        <w:spacing w:after="0" w:before="0"/>
      </w:pPr>
      <w:r>
        <w:t xml:space="preserve"/>
      </w:r>
    </w:p>
    <w:p>
      <w:pPr>
        <w:spacing w:after="80" w:before="80"/>
        <w:jc w:val="left"/>
      </w:pPr>
      <w:r>
        <w:rPr>
          <w:rFonts w:ascii="Arial" w:cs="Arial" w:eastAsia="Arial" w:hAnsi="Arial"/>
          <w:b w:val="false"/>
          <w:bCs w:val="false"/>
          <w:i w:val="false"/>
          <w:iCs w:val="false"/>
          <w:color w:val="1A1A1A"/>
          <w:sz w:val="22"/>
          <w:szCs w:val="22"/>
        </w:rPr>
        <w:t xml:space="preserve">Immediate actions required — in order of priority:</w:t>
      </w:r>
    </w:p>
    <w:p>
      <w:pPr>
        <w:spacing w:after="0" w:before="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1700"/>
        <w:gridCol w:w="1500"/>
        <w:gridCol w:w="1670"/>
      </w:tblGrid>
      <w:tr>
        <w:trPr>
          <w:tblHeader/>
        </w:trPr>
        <w:tc>
          <w:tcPr>
            <w:tcW w:type="dxa" w:w="4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w:t>
            </w:r>
          </w:p>
        </w:tc>
        <w:tc>
          <w:tcPr>
            <w:tcW w:type="dxa" w:w="38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Action</w:t>
            </w:r>
          </w:p>
        </w:tc>
        <w:tc>
          <w:tcPr>
            <w:tcW w:type="dxa" w:w="17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Owner</w:t>
            </w:r>
          </w:p>
        </w:tc>
        <w:tc>
          <w:tcPr>
            <w:tcW w:type="dxa" w:w="1500"/>
            <w:tcBorders>
              <w:top w:val="single" w:color="D0D5DB" w:sz="1"/>
              <w:left w:val="single" w:color="D0D5DB" w:sz="1"/>
              <w:bottom w:val="single" w:color="D0D5DB" w:sz="1"/>
              <w:right w:val="single" w:color="D0D5DB" w:sz="1"/>
            </w:tcBorders>
            <w:shd w:fill="1A2E4A" w:val="clear"/>
            <w:tcMar>
              <w:top w:type="dxa" w:w="80"/>
              <w:left w:type="dxa" w:w="120"/>
              <w:bottom w:type="dxa" w:w="80"/>
              <w:right w:type="dxa" w:w="120"/>
            </w:tcMar>
            <w:vAlign w:val="center"/>
          </w:tcPr>
          <w:p>
            <w:pPr>
              <w:spacing w:after="0" w:before="0"/>
            </w:pPr>
            <w:r>
              <w:rPr>
                <w:rFonts w:ascii="Arial" w:cs="Arial" w:eastAsia="Arial" w:hAnsi="Arial"/>
                <w:b/>
                <w:bCs/>
                <w:color w:val="FFFFFF"/>
                <w:sz w:val="20"/>
                <w:szCs w:val="20"/>
              </w:rPr>
              <w:t xml:space="preserve">Deadline</w:t>
            </w:r>
          </w:p>
        </w:tc>
      </w:tr>
      <w:tr>
        <w:trPr>
          <w:tblHeader w:val="false"/>
        </w:trPr>
        <w:tc>
          <w:tcPr>
            <w:tcW w:type="dxa" w:w="4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1</w:t>
            </w:r>
          </w:p>
        </w:tc>
        <w:tc>
          <w:tcPr>
            <w:tcW w:type="dxa" w:w="3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Place EL and PL insurance policies</w:t>
            </w:r>
          </w:p>
        </w:tc>
        <w:tc>
          <w:tcPr>
            <w:tcW w:type="dxa" w:w="17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Jamie / Dan</w:t>
            </w:r>
          </w:p>
        </w:tc>
        <w:tc>
          <w:tcPr>
            <w:tcW w:type="dxa" w:w="15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This week</w:t>
            </w:r>
          </w:p>
        </w:tc>
      </w:tr>
      <w:tr>
        <w:trPr>
          <w:tblHeader w:val="false"/>
        </w:trPr>
        <w:tc>
          <w:tcPr>
            <w:tcW w:type="dxa" w:w="4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2</w:t>
            </w:r>
          </w:p>
        </w:tc>
        <w:tc>
          <w:tcPr>
            <w:tcW w:type="dxa" w:w="3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Confirm Xero entity live; open trading bank account</w:t>
            </w:r>
          </w:p>
        </w:tc>
        <w:tc>
          <w:tcPr>
            <w:tcW w:type="dxa" w:w="17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Group Finance</w:t>
            </w:r>
          </w:p>
        </w:tc>
        <w:tc>
          <w:tcPr>
            <w:tcW w:type="dxa" w:w="15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This week</w:t>
            </w:r>
          </w:p>
        </w:tc>
      </w:tr>
      <w:tr>
        <w:trPr>
          <w:tblHeader w:val="false"/>
        </w:trPr>
        <w:tc>
          <w:tcPr>
            <w:tcW w:type="dxa" w:w="4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3</w:t>
            </w:r>
          </w:p>
        </w:tc>
        <w:tc>
          <w:tcPr>
            <w:tcW w:type="dxa" w:w="3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Apply for NICEIC registration; identify qualifying electricians</w:t>
            </w:r>
          </w:p>
        </w:tc>
        <w:tc>
          <w:tcPr>
            <w:tcW w:type="dxa" w:w="17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Dan Small</w:t>
            </w:r>
          </w:p>
        </w:tc>
        <w:tc>
          <w:tcPr>
            <w:tcW w:type="dxa" w:w="15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Week 2</w:t>
            </w:r>
          </w:p>
        </w:tc>
      </w:tr>
      <w:tr>
        <w:trPr>
          <w:tblHeader w:val="false"/>
        </w:trPr>
        <w:tc>
          <w:tcPr>
            <w:tcW w:type="dxa" w:w="4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4</w:t>
            </w:r>
          </w:p>
        </w:tc>
        <w:tc>
          <w:tcPr>
            <w:tcW w:type="dxa" w:w="3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Register Gas Safe engineers on AMPM Building Services card</w:t>
            </w:r>
          </w:p>
        </w:tc>
        <w:tc>
          <w:tcPr>
            <w:tcW w:type="dxa" w:w="17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Dan Small</w:t>
            </w:r>
          </w:p>
        </w:tc>
        <w:tc>
          <w:tcPr>
            <w:tcW w:type="dxa" w:w="15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Week 2</w:t>
            </w:r>
          </w:p>
        </w:tc>
      </w:tr>
      <w:tr>
        <w:trPr>
          <w:tblHeader w:val="false"/>
        </w:trPr>
        <w:tc>
          <w:tcPr>
            <w:tcW w:type="dxa" w:w="4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5</w:t>
            </w:r>
          </w:p>
        </w:tc>
        <w:tc>
          <w:tcPr>
            <w:tcW w:type="dxa" w:w="3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Begin Operations Manager recruitment</w:t>
            </w:r>
          </w:p>
        </w:tc>
        <w:tc>
          <w:tcPr>
            <w:tcW w:type="dxa" w:w="17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Dan / Jamie</w:t>
            </w:r>
          </w:p>
        </w:tc>
        <w:tc>
          <w:tcPr>
            <w:tcW w:type="dxa" w:w="15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Week 1–2</w:t>
            </w:r>
          </w:p>
        </w:tc>
      </w:tr>
      <w:tr>
        <w:trPr>
          <w:tblHeader w:val="false"/>
        </w:trPr>
        <w:tc>
          <w:tcPr>
            <w:tcW w:type="dxa" w:w="4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6</w:t>
            </w:r>
          </w:p>
        </w:tc>
        <w:tc>
          <w:tcPr>
            <w:tcW w:type="dxa" w:w="3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Draft and agree Gemini sub-contract framework agreement</w:t>
            </w:r>
          </w:p>
        </w:tc>
        <w:tc>
          <w:tcPr>
            <w:tcW w:type="dxa" w:w="17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Dan / Luke</w:t>
            </w:r>
          </w:p>
        </w:tc>
        <w:tc>
          <w:tcPr>
            <w:tcW w:type="dxa" w:w="15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Week 3</w:t>
            </w:r>
          </w:p>
        </w:tc>
      </w:tr>
      <w:tr>
        <w:trPr>
          <w:tblHeader w:val="false"/>
        </w:trPr>
        <w:tc>
          <w:tcPr>
            <w:tcW w:type="dxa" w:w="4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7</w:t>
            </w:r>
          </w:p>
        </w:tc>
        <w:tc>
          <w:tcPr>
            <w:tcW w:type="dxa" w:w="3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Issue first Gemini sub-contract instruction</w:t>
            </w:r>
          </w:p>
        </w:tc>
        <w:tc>
          <w:tcPr>
            <w:tcW w:type="dxa" w:w="17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Dan Small</w:t>
            </w:r>
          </w:p>
        </w:tc>
        <w:tc>
          <w:tcPr>
            <w:tcW w:type="dxa" w:w="15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Week 4</w:t>
            </w:r>
          </w:p>
        </w:tc>
      </w:tr>
      <w:tr>
        <w:trPr>
          <w:tblHeader w:val="false"/>
        </w:trPr>
        <w:tc>
          <w:tcPr>
            <w:tcW w:type="dxa" w:w="4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8</w:t>
            </w:r>
          </w:p>
        </w:tc>
        <w:tc>
          <w:tcPr>
            <w:tcW w:type="dxa" w:w="38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Identify 10 priority direct clients; begin approach</w:t>
            </w:r>
          </w:p>
        </w:tc>
        <w:tc>
          <w:tcPr>
            <w:tcW w:type="dxa" w:w="1700"/>
            <w:tcBorders>
              <w:top w:val="single" w:color="D0D5DB" w:sz="1"/>
              <w:left w:val="single" w:color="D0D5DB" w:sz="1"/>
              <w:bottom w:val="single" w:color="D0D5DB" w:sz="1"/>
              <w:right w:val="single" w:color="D0D5DB" w:sz="1"/>
            </w:tcBorders>
            <w:shd w:fill="FFFFFF"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Jamie / Dan / Luke</w:t>
            </w:r>
          </w:p>
        </w:tc>
        <w:tc>
          <w:tcPr>
            <w:tcW w:type="dxa" w:w="1500"/>
            <w:tcBorders>
              <w:top w:val="single" w:color="D0D5DB" w:sz="1"/>
              <w:left w:val="single" w:color="D0D5DB" w:sz="1"/>
              <w:bottom w:val="single" w:color="D0D5DB" w:sz="1"/>
              <w:right w:val="single" w:color="D0D5DB" w:sz="1"/>
            </w:tcBorders>
            <w:shd w:fill="F9FAFB" w:val="clear"/>
            <w:tcMar>
              <w:top w:type="dxa" w:w="80"/>
              <w:left w:type="dxa" w:w="120"/>
              <w:bottom w:type="dxa" w:w="80"/>
              <w:right w:type="dxa" w:w="120"/>
            </w:tcMar>
            <w:vAlign w:val="center"/>
          </w:tcPr>
          <w:p>
            <w:pPr>
              <w:spacing w:after="0" w:before="0"/>
            </w:pPr>
            <w:r>
              <w:rPr>
                <w:rFonts w:ascii="Arial" w:cs="Arial" w:eastAsia="Arial" w:hAnsi="Arial"/>
                <w:b w:val="false"/>
                <w:bCs w:val="false"/>
                <w:color w:val="1A1A1A"/>
                <w:sz w:val="20"/>
                <w:szCs w:val="20"/>
              </w:rPr>
              <w:t xml:space="preserve">Week 6</w:t>
            </w:r>
          </w:p>
        </w:tc>
      </w:tr>
    </w:tbl>
    <w:p>
      <w:pPr>
        <w:spacing w:after="0" w:before="0"/>
      </w:pPr>
      <w:r>
        <w:t xml:space="preserve"/>
      </w:r>
    </w:p>
    <w:p>
      <w:pPr>
        <w:pBdr>
          <w:top w:val="single" w:color="D0D5DB" w:sz="4" w:space="4"/>
        </w:pBdr>
        <w:spacing w:after="0" w:before="200"/>
      </w:pPr>
      <w:r>
        <w:rPr>
          <w:rFonts w:ascii="Arial" w:cs="Arial" w:eastAsia="Arial" w:hAnsi="Arial"/>
          <w:color w:val="8A8F96"/>
          <w:sz w:val="18"/>
          <w:szCs w:val="18"/>
        </w:rPr>
        <w:t xml:space="preserve">AMPM Building Services Limited  |  Launch Business Plan  |  May 2026  |  Strictly Confidential</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B" w:sz="4" w:space="4"/>
      </w:pBdr>
      <w:tabs>
        <w:tab w:val="right" w:pos="9026"/>
      </w:tabs>
      <w:spacing w:after="0" w:before="80"/>
    </w:pPr>
    <w:r>
      <w:rPr>
        <w:rFonts w:ascii="Arial" w:cs="Arial" w:eastAsia="Arial" w:hAnsi="Arial"/>
        <w:color w:val="8A8F96"/>
        <w:sz w:val="16"/>
        <w:szCs w:val="16"/>
      </w:rPr>
      <w:t xml:space="preserve">Strictly Confidential — AMPM Group Limited</w:t>
    </w:r>
    <w:r>
      <w:rPr>
        <w:sz w:val="16"/>
        <w:szCs w:val="16"/>
      </w:rPr>
      <w:t xml:space="preserve">	</w:t>
    </w:r>
    <w:r>
      <w:rPr>
        <w:rFonts w:ascii="Arial" w:cs="Arial" w:eastAsia="Arial" w:hAnsi="Arial"/>
        <w:color w:val="8A8F96"/>
        <w:sz w:val="16"/>
        <w:szCs w:val="16"/>
      </w:rPr>
      <w:t xml:space="preserve">Page </w:t>
    </w:r>
    <w:r>
      <w:rPr>
        <w:rFonts w:ascii="Arial" w:cs="Arial" w:eastAsia="Arial" w:hAnsi="Arial"/>
        <w:color w:val="8A8F9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A6E8C" w:sz="4" w:space="4"/>
      </w:pBdr>
      <w:tabs>
        <w:tab w:val="right" w:pos="9026"/>
      </w:tabs>
      <w:spacing w:after="80" w:before="0"/>
    </w:pPr>
    <w:r>
      <w:rPr>
        <w:rFonts w:ascii="Arial" w:cs="Arial" w:eastAsia="Arial" w:hAnsi="Arial"/>
        <w:color w:val="8A8F96"/>
        <w:sz w:val="16"/>
        <w:szCs w:val="16"/>
      </w:rPr>
      <w:t xml:space="preserve">AMPM Building Services Limited  —  Launch Business Plan  |  Confidential</w:t>
    </w:r>
    <w:r>
      <w:rPr>
        <w:sz w:val="16"/>
        <w:szCs w:val="16"/>
      </w:rPr>
      <w:t xml:space="preserve">	</w:t>
    </w:r>
    <w:r>
      <w:rPr>
        <w:rFonts w:ascii="Arial" w:cs="Arial" w:eastAsia="Arial" w:hAnsi="Arial"/>
        <w:color w:val="8A8F96"/>
        <w:sz w:val="16"/>
        <w:szCs w:val="16"/>
      </w:rPr>
      <w:t xml:space="preserve">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0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Arial" w:cs="Arial" w:eastAsia="Arial" w:hAnsi="Arial"/>
      <w:b/>
      <w:bCs/>
      <w:color w:val="1A2E4A"/>
      <w:sz w:val="34"/>
      <w:szCs w:val="34"/>
    </w:rPr>
  </w:style>
  <w:style w:type="paragraph" w:styleId="Heading2">
    <w:name w:val="Heading 2"/>
    <w:basedOn w:val="Normal"/>
    <w:next w:val="Normal"/>
    <w:qFormat/>
    <w:pPr>
      <w:spacing w:after="80" w:before="200"/>
      <w:outlineLvl w:val="1"/>
    </w:pPr>
    <w:rPr>
      <w:rFonts w:ascii="Arial" w:cs="Arial" w:eastAsia="Arial" w:hAnsi="Arial"/>
      <w:b/>
      <w:bCs/>
      <w:color w:val="2A6E8C"/>
      <w:sz w:val="26"/>
      <w:szCs w:val="26"/>
    </w:rPr>
  </w:style>
  <w:style w:type="paragraph" w:styleId="Heading3">
    <w:name w:val="Heading 3"/>
    <w:basedOn w:val="Normal"/>
    <w:next w:val="Normal"/>
    <w:qFormat/>
    <w:pPr>
      <w:spacing w:after="60" w:before="140"/>
      <w:outlineLvl w:val="2"/>
    </w:pPr>
    <w:rPr>
      <w:rFonts w:ascii="Arial" w:cs="Arial" w:eastAsia="Arial" w:hAnsi="Arial"/>
      <w:b/>
      <w:bCs/>
      <w:color w:val="1A2E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2026-05-15T10:21:09.038Z</dcterms:created>
  <dcterms:modified xsi:type="dcterms:W3CDTF">2026-05-15T10:21:09.039Z</dcterms:modified>
</cp:coreProperties>
</file>

<file path=docProps/custom.xml><?xml version="1.0" encoding="utf-8"?>
<Properties xmlns="http://schemas.openxmlformats.org/officeDocument/2006/custom-properties" xmlns:vt="http://schemas.openxmlformats.org/officeDocument/2006/docPropsVTypes"/>
</file>