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BDD01" w14:textId="189E0E69" w:rsidR="00A94295" w:rsidRDefault="004251DB"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2CCBA0F1">
                <wp:simplePos x="0" y="0"/>
                <wp:positionH relativeFrom="column">
                  <wp:posOffset>2150534</wp:posOffset>
                </wp:positionH>
                <wp:positionV relativeFrom="paragraph">
                  <wp:posOffset>226272</wp:posOffset>
                </wp:positionV>
                <wp:extent cx="3675592" cy="342900"/>
                <wp:effectExtent l="0" t="0" r="127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559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69.35pt;margin-top:17.8pt;width:289.4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25BF945E" w:rsidR="00772ABF" w:rsidRPr="005A1F2B" w:rsidRDefault="004251DB" w:rsidP="0028266A">
                            <w:pPr>
                              <w:pStyle w:val="JSpecial"/>
                            </w:pPr>
                            <w:r>
                              <w:t xml:space="preserve">Module </w:t>
                            </w:r>
                            <w:r w:rsidR="00772ABF" w:rsidRPr="005A1F2B">
                              <w:t>converter</w:t>
                            </w:r>
                            <w:r w:rsidR="00A17919">
                              <w:br/>
                              <w:t>Config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25BF945E" w:rsidR="00772ABF" w:rsidRPr="005A1F2B" w:rsidRDefault="004251DB" w:rsidP="0028266A">
                      <w:pPr>
                        <w:pStyle w:val="JSpecial"/>
                      </w:pPr>
                      <w:r>
                        <w:t xml:space="preserve">Module </w:t>
                      </w:r>
                      <w:r w:rsidR="00772ABF" w:rsidRPr="005A1F2B">
                        <w:t>converter</w:t>
                      </w:r>
                      <w:r w:rsidR="00A17919">
                        <w:br/>
                        <w:t>Config information</w:t>
                      </w: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95663C" w:rsidRPr="005A1F2B">
        <w:rPr>
          <w:rFonts w:ascii="Arial" w:hAnsi="Arial" w:cs="Arial"/>
          <w:b/>
          <w:bCs/>
          <w:noProof/>
          <w:sz w:val="28"/>
          <w:lang w:eastAsia="en-GB"/>
        </w:rPr>
        <w:t>STEP</w:t>
      </w:r>
      <w:r w:rsidR="009B0E4D">
        <w:rPr>
          <w:rFonts w:ascii="Arial" w:hAnsi="Arial" w:cs="Arial"/>
          <w:b/>
          <w:bCs/>
          <w:noProof/>
          <w:sz w:val="28"/>
          <w:lang w:eastAsia="en-GB"/>
        </w:rPr>
        <w:t>Bible</w:t>
      </w:r>
      <w:r w:rsidR="0095663C" w:rsidRPr="005A1F2B">
        <w:rPr>
          <w:rFonts w:ascii="Arial" w:hAnsi="Arial" w:cs="Arial"/>
          <w:b/>
          <w:bCs/>
          <w:noProof/>
          <w:sz w:val="28"/>
          <w:lang w:eastAsia="en-GB"/>
        </w:rPr>
        <w:t xml:space="preserve"> </w:t>
      </w:r>
      <w:r>
        <w:rPr>
          <w:rFonts w:ascii="Arial" w:hAnsi="Arial" w:cs="Arial"/>
          <w:b/>
          <w:bCs/>
          <w:noProof/>
          <w:sz w:val="28"/>
          <w:lang w:eastAsia="en-GB"/>
        </w:rPr>
        <w:t>module c</w:t>
      </w:r>
      <w:r w:rsidR="00DB6D02" w:rsidRPr="005A1F2B">
        <w:rPr>
          <w:rFonts w:ascii="Arial" w:hAnsi="Arial" w:cs="Arial"/>
          <w:b/>
          <w:bCs/>
          <w:noProof/>
          <w:sz w:val="28"/>
          <w:lang w:eastAsia="en-GB"/>
        </w:rPr>
        <w:t>onverter</w:t>
      </w:r>
    </w:p>
    <w:p w14:paraId="6BAC6F5D" w14:textId="4A890B1C" w:rsidR="0044148B" w:rsidRPr="005A1F2B" w:rsidRDefault="00A17919" w:rsidP="00A94295">
      <w:pPr>
        <w:pStyle w:val="Header"/>
        <w:spacing w:after="300"/>
        <w:jc w:val="center"/>
        <w:rPr>
          <w:rFonts w:ascii="Arial" w:hAnsi="Arial" w:cs="Arial"/>
          <w:b/>
          <w:bCs/>
          <w:noProof/>
          <w:sz w:val="28"/>
          <w:lang w:eastAsia="en-GB"/>
        </w:rPr>
      </w:pPr>
      <w:r>
        <w:rPr>
          <w:rFonts w:ascii="Arial" w:hAnsi="Arial" w:cs="Arial"/>
          <w:b/>
          <w:bCs/>
          <w:noProof/>
          <w:sz w:val="28"/>
          <w:lang w:eastAsia="en-GB"/>
        </w:rPr>
        <w:t>Configuration 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36E26832" w14:textId="4C0DB25F" w:rsidR="00F4461C" w:rsidRDefault="00F20342">
          <w:pPr>
            <w:pStyle w:val="TOC1"/>
            <w:rPr>
              <w:rFonts w:asciiTheme="minorHAnsi" w:hAnsiTheme="minorHAnsi" w:cstheme="minorBidi"/>
              <w:b w:val="0"/>
              <w:bCs w:val="0"/>
              <w:kern w:val="2"/>
              <w:sz w:val="24"/>
              <w:szCs w:val="24"/>
              <w:lang w:eastAsia="zh-TW"/>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201142709" w:history="1">
            <w:r w:rsidR="00F4461C" w:rsidRPr="00EE4FEC">
              <w:rPr>
                <w:rStyle w:val="Hyperlink"/>
              </w:rPr>
              <w:t>1</w:t>
            </w:r>
            <w:r w:rsidR="00F4461C">
              <w:rPr>
                <w:rFonts w:asciiTheme="minorHAnsi" w:hAnsiTheme="minorHAnsi" w:cstheme="minorBidi"/>
                <w:b w:val="0"/>
                <w:bCs w:val="0"/>
                <w:kern w:val="2"/>
                <w:sz w:val="24"/>
                <w:szCs w:val="24"/>
                <w:lang w:eastAsia="zh-TW"/>
                <w14:ligatures w14:val="standardContextual"/>
              </w:rPr>
              <w:tab/>
            </w:r>
            <w:r w:rsidR="00F4461C" w:rsidRPr="00EE4FEC">
              <w:rPr>
                <w:rStyle w:val="Hyperlink"/>
              </w:rPr>
              <w:t>Introduction</w:t>
            </w:r>
            <w:r w:rsidR="00F4461C">
              <w:rPr>
                <w:webHidden/>
              </w:rPr>
              <w:tab/>
            </w:r>
            <w:r w:rsidR="00F4461C">
              <w:rPr>
                <w:webHidden/>
              </w:rPr>
              <w:fldChar w:fldCharType="begin"/>
            </w:r>
            <w:r w:rsidR="00F4461C">
              <w:rPr>
                <w:webHidden/>
              </w:rPr>
              <w:instrText xml:space="preserve"> PAGEREF _Toc201142709 \h </w:instrText>
            </w:r>
            <w:r w:rsidR="00F4461C">
              <w:rPr>
                <w:webHidden/>
              </w:rPr>
            </w:r>
            <w:r w:rsidR="00F4461C">
              <w:rPr>
                <w:webHidden/>
              </w:rPr>
              <w:fldChar w:fldCharType="separate"/>
            </w:r>
            <w:r w:rsidR="00F4461C">
              <w:rPr>
                <w:webHidden/>
              </w:rPr>
              <w:t>3</w:t>
            </w:r>
            <w:r w:rsidR="00F4461C">
              <w:rPr>
                <w:webHidden/>
              </w:rPr>
              <w:fldChar w:fldCharType="end"/>
            </w:r>
          </w:hyperlink>
        </w:p>
        <w:p w14:paraId="26C422B4" w14:textId="1BD2DDB0" w:rsidR="00F4461C" w:rsidRDefault="00F4461C">
          <w:pPr>
            <w:pStyle w:val="TOC1"/>
            <w:rPr>
              <w:rFonts w:asciiTheme="minorHAnsi" w:hAnsiTheme="minorHAnsi" w:cstheme="minorBidi"/>
              <w:b w:val="0"/>
              <w:bCs w:val="0"/>
              <w:kern w:val="2"/>
              <w:sz w:val="24"/>
              <w:szCs w:val="24"/>
              <w:lang w:eastAsia="zh-TW"/>
              <w14:ligatures w14:val="standardContextual"/>
            </w:rPr>
          </w:pPr>
          <w:hyperlink w:anchor="_Toc201142710" w:history="1">
            <w:r w:rsidRPr="00EE4FEC">
              <w:rPr>
                <w:rStyle w:val="Hyperlink"/>
              </w:rPr>
              <w:t>2</w:t>
            </w:r>
            <w:r>
              <w:rPr>
                <w:rFonts w:asciiTheme="minorHAnsi" w:hAnsiTheme="minorHAnsi" w:cstheme="minorBidi"/>
                <w:b w:val="0"/>
                <w:bCs w:val="0"/>
                <w:kern w:val="2"/>
                <w:sz w:val="24"/>
                <w:szCs w:val="24"/>
                <w:lang w:eastAsia="zh-TW"/>
                <w14:ligatures w14:val="standardContextual"/>
              </w:rPr>
              <w:tab/>
            </w:r>
            <w:r w:rsidRPr="00EE4FEC">
              <w:rPr>
                <w:rStyle w:val="Hyperlink"/>
              </w:rPr>
              <w:t>Getting started</w:t>
            </w:r>
            <w:r>
              <w:rPr>
                <w:webHidden/>
              </w:rPr>
              <w:tab/>
            </w:r>
            <w:r>
              <w:rPr>
                <w:webHidden/>
              </w:rPr>
              <w:fldChar w:fldCharType="begin"/>
            </w:r>
            <w:r>
              <w:rPr>
                <w:webHidden/>
              </w:rPr>
              <w:instrText xml:space="preserve"> PAGEREF _Toc201142710 \h </w:instrText>
            </w:r>
            <w:r>
              <w:rPr>
                <w:webHidden/>
              </w:rPr>
            </w:r>
            <w:r>
              <w:rPr>
                <w:webHidden/>
              </w:rPr>
              <w:fldChar w:fldCharType="separate"/>
            </w:r>
            <w:r>
              <w:rPr>
                <w:webHidden/>
              </w:rPr>
              <w:t>3</w:t>
            </w:r>
            <w:r>
              <w:rPr>
                <w:webHidden/>
              </w:rPr>
              <w:fldChar w:fldCharType="end"/>
            </w:r>
          </w:hyperlink>
        </w:p>
        <w:p w14:paraId="4D741361" w14:textId="2E99B784" w:rsidR="00F4461C" w:rsidRDefault="00F4461C">
          <w:pPr>
            <w:pStyle w:val="TOC1"/>
            <w:rPr>
              <w:rFonts w:asciiTheme="minorHAnsi" w:hAnsiTheme="minorHAnsi" w:cstheme="minorBidi"/>
              <w:b w:val="0"/>
              <w:bCs w:val="0"/>
              <w:kern w:val="2"/>
              <w:sz w:val="24"/>
              <w:szCs w:val="24"/>
              <w:lang w:eastAsia="zh-TW"/>
              <w14:ligatures w14:val="standardContextual"/>
            </w:rPr>
          </w:pPr>
          <w:hyperlink w:anchor="_Toc201142711" w:history="1">
            <w:r w:rsidRPr="00EE4FEC">
              <w:rPr>
                <w:rStyle w:val="Hyperlink"/>
              </w:rPr>
              <w:t>3</w:t>
            </w:r>
            <w:r>
              <w:rPr>
                <w:rFonts w:asciiTheme="minorHAnsi" w:hAnsiTheme="minorHAnsi" w:cstheme="minorBidi"/>
                <w:b w:val="0"/>
                <w:bCs w:val="0"/>
                <w:kern w:val="2"/>
                <w:sz w:val="24"/>
                <w:szCs w:val="24"/>
                <w:lang w:eastAsia="zh-TW"/>
                <w14:ligatures w14:val="standardContextual"/>
              </w:rPr>
              <w:tab/>
            </w:r>
            <w:r w:rsidRPr="00EE4FEC">
              <w:rPr>
                <w:rStyle w:val="Hyperlink"/>
              </w:rPr>
              <w:t>Essentials</w:t>
            </w:r>
            <w:r>
              <w:rPr>
                <w:webHidden/>
              </w:rPr>
              <w:tab/>
            </w:r>
            <w:r>
              <w:rPr>
                <w:webHidden/>
              </w:rPr>
              <w:fldChar w:fldCharType="begin"/>
            </w:r>
            <w:r>
              <w:rPr>
                <w:webHidden/>
              </w:rPr>
              <w:instrText xml:space="preserve"> PAGEREF _Toc201142711 \h </w:instrText>
            </w:r>
            <w:r>
              <w:rPr>
                <w:webHidden/>
              </w:rPr>
            </w:r>
            <w:r>
              <w:rPr>
                <w:webHidden/>
              </w:rPr>
              <w:fldChar w:fldCharType="separate"/>
            </w:r>
            <w:r>
              <w:rPr>
                <w:webHidden/>
              </w:rPr>
              <w:t>4</w:t>
            </w:r>
            <w:r>
              <w:rPr>
                <w:webHidden/>
              </w:rPr>
              <w:fldChar w:fldCharType="end"/>
            </w:r>
          </w:hyperlink>
        </w:p>
        <w:p w14:paraId="79184EB8" w14:textId="6883D741"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12" w:history="1">
            <w:r w:rsidRPr="00EE4FEC">
              <w:rPr>
                <w:rStyle w:val="Hyperlink"/>
              </w:rPr>
              <w:t>3.1</w:t>
            </w:r>
            <w:r>
              <w:rPr>
                <w:rFonts w:asciiTheme="minorHAnsi" w:eastAsiaTheme="minorEastAsia" w:hAnsiTheme="minorHAnsi" w:cstheme="minorBidi"/>
                <w:kern w:val="2"/>
                <w:sz w:val="24"/>
                <w:szCs w:val="24"/>
                <w:lang w:eastAsia="zh-TW"/>
                <w14:ligatures w14:val="standardContextual"/>
              </w:rPr>
              <w:tab/>
            </w:r>
            <w:r w:rsidRPr="00EE4FEC">
              <w:rPr>
                <w:rStyle w:val="Hyperlink"/>
              </w:rPr>
              <w:t>Overall structure</w:t>
            </w:r>
            <w:r>
              <w:rPr>
                <w:webHidden/>
              </w:rPr>
              <w:tab/>
            </w:r>
            <w:r>
              <w:rPr>
                <w:webHidden/>
              </w:rPr>
              <w:fldChar w:fldCharType="begin"/>
            </w:r>
            <w:r>
              <w:rPr>
                <w:webHidden/>
              </w:rPr>
              <w:instrText xml:space="preserve"> PAGEREF _Toc201142712 \h </w:instrText>
            </w:r>
            <w:r>
              <w:rPr>
                <w:webHidden/>
              </w:rPr>
            </w:r>
            <w:r>
              <w:rPr>
                <w:webHidden/>
              </w:rPr>
              <w:fldChar w:fldCharType="separate"/>
            </w:r>
            <w:r>
              <w:rPr>
                <w:webHidden/>
              </w:rPr>
              <w:t>4</w:t>
            </w:r>
            <w:r>
              <w:rPr>
                <w:webHidden/>
              </w:rPr>
              <w:fldChar w:fldCharType="end"/>
            </w:r>
          </w:hyperlink>
        </w:p>
        <w:p w14:paraId="3490EAEC" w14:textId="1DC1DDDF"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13" w:history="1">
            <w:r w:rsidRPr="00EE4FEC">
              <w:rPr>
                <w:rStyle w:val="Hyperlink"/>
              </w:rPr>
              <w:t>3.2</w:t>
            </w:r>
            <w:r>
              <w:rPr>
                <w:rFonts w:asciiTheme="minorHAnsi" w:eastAsiaTheme="minorEastAsia" w:hAnsiTheme="minorHAnsi" w:cstheme="minorBidi"/>
                <w:kern w:val="2"/>
                <w:sz w:val="24"/>
                <w:szCs w:val="24"/>
                <w:lang w:eastAsia="zh-TW"/>
                <w14:ligatures w14:val="standardContextual"/>
              </w:rPr>
              <w:tab/>
            </w:r>
            <w:r w:rsidRPr="00EE4FEC">
              <w:rPr>
                <w:rStyle w:val="Hyperlink"/>
              </w:rPr>
              <w:t>Comments and whitespace</w:t>
            </w:r>
            <w:r>
              <w:rPr>
                <w:webHidden/>
              </w:rPr>
              <w:tab/>
            </w:r>
            <w:r>
              <w:rPr>
                <w:webHidden/>
              </w:rPr>
              <w:fldChar w:fldCharType="begin"/>
            </w:r>
            <w:r>
              <w:rPr>
                <w:webHidden/>
              </w:rPr>
              <w:instrText xml:space="preserve"> PAGEREF _Toc201142713 \h </w:instrText>
            </w:r>
            <w:r>
              <w:rPr>
                <w:webHidden/>
              </w:rPr>
            </w:r>
            <w:r>
              <w:rPr>
                <w:webHidden/>
              </w:rPr>
              <w:fldChar w:fldCharType="separate"/>
            </w:r>
            <w:r>
              <w:rPr>
                <w:webHidden/>
              </w:rPr>
              <w:t>5</w:t>
            </w:r>
            <w:r>
              <w:rPr>
                <w:webHidden/>
              </w:rPr>
              <w:fldChar w:fldCharType="end"/>
            </w:r>
          </w:hyperlink>
        </w:p>
        <w:p w14:paraId="36911FCD" w14:textId="3651B9F3"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14" w:history="1">
            <w:r w:rsidRPr="00EE4FEC">
              <w:rPr>
                <w:rStyle w:val="Hyperlink"/>
              </w:rPr>
              <w:t>3.3</w:t>
            </w:r>
            <w:r>
              <w:rPr>
                <w:rFonts w:asciiTheme="minorHAnsi" w:eastAsiaTheme="minorEastAsia" w:hAnsiTheme="minorHAnsi" w:cstheme="minorBidi"/>
                <w:kern w:val="2"/>
                <w:sz w:val="24"/>
                <w:szCs w:val="24"/>
                <w:lang w:eastAsia="zh-TW"/>
                <w14:ligatures w14:val="standardContextual"/>
              </w:rPr>
              <w:tab/>
            </w:r>
            <w:r w:rsidRPr="00EE4FEC">
              <w:rPr>
                <w:rStyle w:val="Hyperlink"/>
              </w:rPr>
              <w:t>Simple assignment statements</w:t>
            </w:r>
            <w:r>
              <w:rPr>
                <w:webHidden/>
              </w:rPr>
              <w:tab/>
            </w:r>
            <w:r>
              <w:rPr>
                <w:webHidden/>
              </w:rPr>
              <w:fldChar w:fldCharType="begin"/>
            </w:r>
            <w:r>
              <w:rPr>
                <w:webHidden/>
              </w:rPr>
              <w:instrText xml:space="preserve"> PAGEREF _Toc201142714 \h </w:instrText>
            </w:r>
            <w:r>
              <w:rPr>
                <w:webHidden/>
              </w:rPr>
            </w:r>
            <w:r>
              <w:rPr>
                <w:webHidden/>
              </w:rPr>
              <w:fldChar w:fldCharType="separate"/>
            </w:r>
            <w:r>
              <w:rPr>
                <w:webHidden/>
              </w:rPr>
              <w:t>5</w:t>
            </w:r>
            <w:r>
              <w:rPr>
                <w:webHidden/>
              </w:rPr>
              <w:fldChar w:fldCharType="end"/>
            </w:r>
          </w:hyperlink>
        </w:p>
        <w:p w14:paraId="787DBA8F" w14:textId="4E91E849"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15" w:history="1">
            <w:r w:rsidRPr="00EE4FEC">
              <w:rPr>
                <w:rStyle w:val="Hyperlink"/>
              </w:rPr>
              <w:t>3.4</w:t>
            </w:r>
            <w:r>
              <w:rPr>
                <w:rFonts w:asciiTheme="minorHAnsi" w:eastAsiaTheme="minorEastAsia" w:hAnsiTheme="minorHAnsi" w:cstheme="minorBidi"/>
                <w:kern w:val="2"/>
                <w:sz w:val="24"/>
                <w:szCs w:val="24"/>
                <w:lang w:eastAsia="zh-TW"/>
                <w14:ligatures w14:val="standardContextual"/>
              </w:rPr>
              <w:tab/>
            </w:r>
            <w:r w:rsidRPr="00EE4FEC">
              <w:rPr>
                <w:rStyle w:val="Hyperlink"/>
              </w:rPr>
              <w:t>Parameter naming conventions</w:t>
            </w:r>
            <w:r>
              <w:rPr>
                <w:webHidden/>
              </w:rPr>
              <w:tab/>
            </w:r>
            <w:r>
              <w:rPr>
                <w:webHidden/>
              </w:rPr>
              <w:fldChar w:fldCharType="begin"/>
            </w:r>
            <w:r>
              <w:rPr>
                <w:webHidden/>
              </w:rPr>
              <w:instrText xml:space="preserve"> PAGEREF _Toc201142715 \h </w:instrText>
            </w:r>
            <w:r>
              <w:rPr>
                <w:webHidden/>
              </w:rPr>
            </w:r>
            <w:r>
              <w:rPr>
                <w:webHidden/>
              </w:rPr>
              <w:fldChar w:fldCharType="separate"/>
            </w:r>
            <w:r>
              <w:rPr>
                <w:webHidden/>
              </w:rPr>
              <w:t>6</w:t>
            </w:r>
            <w:r>
              <w:rPr>
                <w:webHidden/>
              </w:rPr>
              <w:fldChar w:fldCharType="end"/>
            </w:r>
          </w:hyperlink>
        </w:p>
        <w:p w14:paraId="0A6AFDE8" w14:textId="7CFC54CC"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16" w:history="1">
            <w:r w:rsidRPr="00EE4FEC">
              <w:rPr>
                <w:rStyle w:val="Hyperlink"/>
              </w:rPr>
              <w:t>3.5</w:t>
            </w:r>
            <w:r>
              <w:rPr>
                <w:rFonts w:asciiTheme="minorHAnsi" w:eastAsiaTheme="minorEastAsia" w:hAnsiTheme="minorHAnsi" w:cstheme="minorBidi"/>
                <w:kern w:val="2"/>
                <w:sz w:val="24"/>
                <w:szCs w:val="24"/>
                <w:lang w:eastAsia="zh-TW"/>
                <w14:ligatures w14:val="standardContextual"/>
              </w:rPr>
              <w:tab/>
            </w:r>
            <w:r w:rsidRPr="00EE4FEC">
              <w:rPr>
                <w:rStyle w:val="Hyperlink"/>
              </w:rPr>
              <w:t>Command-line parameters</w:t>
            </w:r>
            <w:r>
              <w:rPr>
                <w:webHidden/>
              </w:rPr>
              <w:tab/>
            </w:r>
            <w:r>
              <w:rPr>
                <w:webHidden/>
              </w:rPr>
              <w:fldChar w:fldCharType="begin"/>
            </w:r>
            <w:r>
              <w:rPr>
                <w:webHidden/>
              </w:rPr>
              <w:instrText xml:space="preserve"> PAGEREF _Toc201142716 \h </w:instrText>
            </w:r>
            <w:r>
              <w:rPr>
                <w:webHidden/>
              </w:rPr>
            </w:r>
            <w:r>
              <w:rPr>
                <w:webHidden/>
              </w:rPr>
              <w:fldChar w:fldCharType="separate"/>
            </w:r>
            <w:r>
              <w:rPr>
                <w:webHidden/>
              </w:rPr>
              <w:t>7</w:t>
            </w:r>
            <w:r>
              <w:rPr>
                <w:webHidden/>
              </w:rPr>
              <w:fldChar w:fldCharType="end"/>
            </w:r>
          </w:hyperlink>
        </w:p>
        <w:p w14:paraId="459B6DCB" w14:textId="0695F106" w:rsidR="00F4461C" w:rsidRDefault="00F4461C">
          <w:pPr>
            <w:pStyle w:val="TOC1"/>
            <w:rPr>
              <w:rFonts w:asciiTheme="minorHAnsi" w:hAnsiTheme="minorHAnsi" w:cstheme="minorBidi"/>
              <w:b w:val="0"/>
              <w:bCs w:val="0"/>
              <w:kern w:val="2"/>
              <w:sz w:val="24"/>
              <w:szCs w:val="24"/>
              <w:lang w:eastAsia="zh-TW"/>
              <w14:ligatures w14:val="standardContextual"/>
            </w:rPr>
          </w:pPr>
          <w:hyperlink w:anchor="_Toc201142717" w:history="1">
            <w:r w:rsidRPr="00EE4FEC">
              <w:rPr>
                <w:rStyle w:val="Hyperlink"/>
              </w:rPr>
              <w:t>4</w:t>
            </w:r>
            <w:r>
              <w:rPr>
                <w:rFonts w:asciiTheme="minorHAnsi" w:hAnsiTheme="minorHAnsi" w:cstheme="minorBidi"/>
                <w:b w:val="0"/>
                <w:bCs w:val="0"/>
                <w:kern w:val="2"/>
                <w:sz w:val="24"/>
                <w:szCs w:val="24"/>
                <w:lang w:eastAsia="zh-TW"/>
                <w14:ligatures w14:val="standardContextual"/>
              </w:rPr>
              <w:tab/>
            </w:r>
            <w:r w:rsidRPr="00EE4FEC">
              <w:rPr>
                <w:rStyle w:val="Hyperlink"/>
              </w:rPr>
              <w:t>Not-so-essentials</w:t>
            </w:r>
            <w:r>
              <w:rPr>
                <w:webHidden/>
              </w:rPr>
              <w:tab/>
            </w:r>
            <w:r>
              <w:rPr>
                <w:webHidden/>
              </w:rPr>
              <w:fldChar w:fldCharType="begin"/>
            </w:r>
            <w:r>
              <w:rPr>
                <w:webHidden/>
              </w:rPr>
              <w:instrText xml:space="preserve"> PAGEREF _Toc201142717 \h </w:instrText>
            </w:r>
            <w:r>
              <w:rPr>
                <w:webHidden/>
              </w:rPr>
            </w:r>
            <w:r>
              <w:rPr>
                <w:webHidden/>
              </w:rPr>
              <w:fldChar w:fldCharType="separate"/>
            </w:r>
            <w:r>
              <w:rPr>
                <w:webHidden/>
              </w:rPr>
              <w:t>8</w:t>
            </w:r>
            <w:r>
              <w:rPr>
                <w:webHidden/>
              </w:rPr>
              <w:fldChar w:fldCharType="end"/>
            </w:r>
          </w:hyperlink>
        </w:p>
        <w:p w14:paraId="76CFEDA5" w14:textId="22E3BC27"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18" w:history="1">
            <w:r w:rsidRPr="00EE4FEC">
              <w:rPr>
                <w:rStyle w:val="Hyperlink"/>
              </w:rPr>
              <w:t>4.1</w:t>
            </w:r>
            <w:r>
              <w:rPr>
                <w:rFonts w:asciiTheme="minorHAnsi" w:eastAsiaTheme="minorEastAsia" w:hAnsiTheme="minorHAnsi" w:cstheme="minorBidi"/>
                <w:kern w:val="2"/>
                <w:sz w:val="24"/>
                <w:szCs w:val="24"/>
                <w:lang w:eastAsia="zh-TW"/>
                <w14:ligatures w14:val="standardContextual"/>
              </w:rPr>
              <w:tab/>
            </w:r>
            <w:r w:rsidRPr="00EE4FEC">
              <w:rPr>
                <w:rStyle w:val="Hyperlink"/>
              </w:rPr>
              <w:t>Include statements</w:t>
            </w:r>
            <w:r>
              <w:rPr>
                <w:webHidden/>
              </w:rPr>
              <w:tab/>
            </w:r>
            <w:r>
              <w:rPr>
                <w:webHidden/>
              </w:rPr>
              <w:fldChar w:fldCharType="begin"/>
            </w:r>
            <w:r>
              <w:rPr>
                <w:webHidden/>
              </w:rPr>
              <w:instrText xml:space="preserve"> PAGEREF _Toc201142718 \h </w:instrText>
            </w:r>
            <w:r>
              <w:rPr>
                <w:webHidden/>
              </w:rPr>
            </w:r>
            <w:r>
              <w:rPr>
                <w:webHidden/>
              </w:rPr>
              <w:fldChar w:fldCharType="separate"/>
            </w:r>
            <w:r>
              <w:rPr>
                <w:webHidden/>
              </w:rPr>
              <w:t>8</w:t>
            </w:r>
            <w:r>
              <w:rPr>
                <w:webHidden/>
              </w:rPr>
              <w:fldChar w:fldCharType="end"/>
            </w:r>
          </w:hyperlink>
        </w:p>
        <w:p w14:paraId="21DCB82C" w14:textId="7D7D56D5"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19" w:history="1">
            <w:r w:rsidRPr="00EE4FEC">
              <w:rPr>
                <w:rStyle w:val="Hyperlink"/>
              </w:rPr>
              <w:t>4.2</w:t>
            </w:r>
            <w:r>
              <w:rPr>
                <w:rFonts w:asciiTheme="minorHAnsi" w:eastAsiaTheme="minorEastAsia" w:hAnsiTheme="minorHAnsi" w:cstheme="minorBidi"/>
                <w:kern w:val="2"/>
                <w:sz w:val="24"/>
                <w:szCs w:val="24"/>
                <w:lang w:eastAsia="zh-TW"/>
                <w14:ligatures w14:val="standardContextual"/>
              </w:rPr>
              <w:tab/>
            </w:r>
            <w:r w:rsidRPr="00EE4FEC">
              <w:rPr>
                <w:rStyle w:val="Hyperlink"/>
              </w:rPr>
              <w:t>Defining parameters in terms of one another</w:t>
            </w:r>
            <w:r>
              <w:rPr>
                <w:webHidden/>
              </w:rPr>
              <w:tab/>
            </w:r>
            <w:r>
              <w:rPr>
                <w:webHidden/>
              </w:rPr>
              <w:fldChar w:fldCharType="begin"/>
            </w:r>
            <w:r>
              <w:rPr>
                <w:webHidden/>
              </w:rPr>
              <w:instrText xml:space="preserve"> PAGEREF _Toc201142719 \h </w:instrText>
            </w:r>
            <w:r>
              <w:rPr>
                <w:webHidden/>
              </w:rPr>
            </w:r>
            <w:r>
              <w:rPr>
                <w:webHidden/>
              </w:rPr>
              <w:fldChar w:fldCharType="separate"/>
            </w:r>
            <w:r>
              <w:rPr>
                <w:webHidden/>
              </w:rPr>
              <w:t>9</w:t>
            </w:r>
            <w:r>
              <w:rPr>
                <w:webHidden/>
              </w:rPr>
              <w:fldChar w:fldCharType="end"/>
            </w:r>
          </w:hyperlink>
        </w:p>
        <w:p w14:paraId="2B9232BF" w14:textId="5E9092A2"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20" w:history="1">
            <w:r w:rsidRPr="00EE4FEC">
              <w:rPr>
                <w:rStyle w:val="Hyperlink"/>
              </w:rPr>
              <w:t>4.3</w:t>
            </w:r>
            <w:r>
              <w:rPr>
                <w:rFonts w:asciiTheme="minorHAnsi" w:eastAsiaTheme="minorEastAsia" w:hAnsiTheme="minorHAnsi" w:cstheme="minorBidi"/>
                <w:kern w:val="2"/>
                <w:sz w:val="24"/>
                <w:szCs w:val="24"/>
                <w:lang w:eastAsia="zh-TW"/>
                <w14:ligatures w14:val="standardContextual"/>
              </w:rPr>
              <w:tab/>
            </w:r>
            <w:r w:rsidRPr="00EE4FEC">
              <w:rPr>
                <w:rStyle w:val="Hyperlink"/>
              </w:rPr>
              <w:t>As-is lines</w:t>
            </w:r>
            <w:r>
              <w:rPr>
                <w:webHidden/>
              </w:rPr>
              <w:tab/>
            </w:r>
            <w:r>
              <w:rPr>
                <w:webHidden/>
              </w:rPr>
              <w:fldChar w:fldCharType="begin"/>
            </w:r>
            <w:r>
              <w:rPr>
                <w:webHidden/>
              </w:rPr>
              <w:instrText xml:space="preserve"> PAGEREF _Toc201142720 \h </w:instrText>
            </w:r>
            <w:r>
              <w:rPr>
                <w:webHidden/>
              </w:rPr>
            </w:r>
            <w:r>
              <w:rPr>
                <w:webHidden/>
              </w:rPr>
              <w:fldChar w:fldCharType="separate"/>
            </w:r>
            <w:r>
              <w:rPr>
                <w:webHidden/>
              </w:rPr>
              <w:t>10</w:t>
            </w:r>
            <w:r>
              <w:rPr>
                <w:webHidden/>
              </w:rPr>
              <w:fldChar w:fldCharType="end"/>
            </w:r>
          </w:hyperlink>
        </w:p>
        <w:p w14:paraId="22B19D29" w14:textId="673A113C"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21" w:history="1">
            <w:r w:rsidRPr="00EE4FEC">
              <w:rPr>
                <w:rStyle w:val="Hyperlink"/>
              </w:rPr>
              <w:t>4.4</w:t>
            </w:r>
            <w:r>
              <w:rPr>
                <w:rFonts w:asciiTheme="minorHAnsi" w:eastAsiaTheme="minorEastAsia" w:hAnsiTheme="minorHAnsi" w:cstheme="minorBidi"/>
                <w:kern w:val="2"/>
                <w:sz w:val="24"/>
                <w:szCs w:val="24"/>
                <w:lang w:eastAsia="zh-TW"/>
                <w14:ligatures w14:val="standardContextual"/>
              </w:rPr>
              <w:tab/>
            </w:r>
            <w:r w:rsidRPr="00EE4FEC">
              <w:rPr>
                <w:rStyle w:val="Hyperlink"/>
              </w:rPr>
              <w:t>The text converter environment variable</w:t>
            </w:r>
            <w:r>
              <w:rPr>
                <w:webHidden/>
              </w:rPr>
              <w:tab/>
            </w:r>
            <w:r>
              <w:rPr>
                <w:webHidden/>
              </w:rPr>
              <w:fldChar w:fldCharType="begin"/>
            </w:r>
            <w:r>
              <w:rPr>
                <w:webHidden/>
              </w:rPr>
              <w:instrText xml:space="preserve"> PAGEREF _Toc201142721 \h </w:instrText>
            </w:r>
            <w:r>
              <w:rPr>
                <w:webHidden/>
              </w:rPr>
            </w:r>
            <w:r>
              <w:rPr>
                <w:webHidden/>
              </w:rPr>
              <w:fldChar w:fldCharType="separate"/>
            </w:r>
            <w:r>
              <w:rPr>
                <w:webHidden/>
              </w:rPr>
              <w:t>10</w:t>
            </w:r>
            <w:r>
              <w:rPr>
                <w:webHidden/>
              </w:rPr>
              <w:fldChar w:fldCharType="end"/>
            </w:r>
          </w:hyperlink>
        </w:p>
        <w:p w14:paraId="12E6E438" w14:textId="4B02E8CD"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22" w:history="1">
            <w:r w:rsidRPr="00EE4FEC">
              <w:rPr>
                <w:rStyle w:val="Hyperlink"/>
              </w:rPr>
              <w:t>4.5</w:t>
            </w:r>
            <w:r>
              <w:rPr>
                <w:rFonts w:asciiTheme="minorHAnsi" w:eastAsiaTheme="minorEastAsia" w:hAnsiTheme="minorHAnsi" w:cstheme="minorBidi"/>
                <w:kern w:val="2"/>
                <w:sz w:val="24"/>
                <w:szCs w:val="24"/>
                <w:lang w:eastAsia="zh-TW"/>
                <w14:ligatures w14:val="standardContextual"/>
              </w:rPr>
              <w:tab/>
            </w:r>
            <w:r w:rsidRPr="00EE4FEC">
              <w:rPr>
                <w:rStyle w:val="Hyperlink"/>
              </w:rPr>
              <w:t>Externally-supplied configuration data</w:t>
            </w:r>
            <w:r>
              <w:rPr>
                <w:webHidden/>
              </w:rPr>
              <w:tab/>
            </w:r>
            <w:r>
              <w:rPr>
                <w:webHidden/>
              </w:rPr>
              <w:fldChar w:fldCharType="begin"/>
            </w:r>
            <w:r>
              <w:rPr>
                <w:webHidden/>
              </w:rPr>
              <w:instrText xml:space="preserve"> PAGEREF _Toc201142722 \h </w:instrText>
            </w:r>
            <w:r>
              <w:rPr>
                <w:webHidden/>
              </w:rPr>
            </w:r>
            <w:r>
              <w:rPr>
                <w:webHidden/>
              </w:rPr>
              <w:fldChar w:fldCharType="separate"/>
            </w:r>
            <w:r>
              <w:rPr>
                <w:webHidden/>
              </w:rPr>
              <w:t>10</w:t>
            </w:r>
            <w:r>
              <w:rPr>
                <w:webHidden/>
              </w:rPr>
              <w:fldChar w:fldCharType="end"/>
            </w:r>
          </w:hyperlink>
        </w:p>
        <w:p w14:paraId="3ECE0645" w14:textId="11EA1A9A"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23" w:history="1">
            <w:r w:rsidRPr="00EE4FEC">
              <w:rPr>
                <w:rStyle w:val="Hyperlink"/>
              </w:rPr>
              <w:t>4.6</w:t>
            </w:r>
            <w:r>
              <w:rPr>
                <w:rFonts w:asciiTheme="minorHAnsi" w:eastAsiaTheme="minorEastAsia" w:hAnsiTheme="minorHAnsi" w:cstheme="minorBidi"/>
                <w:kern w:val="2"/>
                <w:sz w:val="24"/>
                <w:szCs w:val="24"/>
                <w:lang w:eastAsia="zh-TW"/>
                <w14:ligatures w14:val="standardContextual"/>
              </w:rPr>
              <w:tab/>
            </w:r>
            <w:r w:rsidRPr="00EE4FEC">
              <w:rPr>
                <w:rStyle w:val="Hyperlink"/>
              </w:rPr>
              <w:t>Special cases and caveats</w:t>
            </w:r>
            <w:r>
              <w:rPr>
                <w:webHidden/>
              </w:rPr>
              <w:tab/>
            </w:r>
            <w:r>
              <w:rPr>
                <w:webHidden/>
              </w:rPr>
              <w:fldChar w:fldCharType="begin"/>
            </w:r>
            <w:r>
              <w:rPr>
                <w:webHidden/>
              </w:rPr>
              <w:instrText xml:space="preserve"> PAGEREF _Toc201142723 \h </w:instrText>
            </w:r>
            <w:r>
              <w:rPr>
                <w:webHidden/>
              </w:rPr>
            </w:r>
            <w:r>
              <w:rPr>
                <w:webHidden/>
              </w:rPr>
              <w:fldChar w:fldCharType="separate"/>
            </w:r>
            <w:r>
              <w:rPr>
                <w:webHidden/>
              </w:rPr>
              <w:t>11</w:t>
            </w:r>
            <w:r>
              <w:rPr>
                <w:webHidden/>
              </w:rPr>
              <w:fldChar w:fldCharType="end"/>
            </w:r>
          </w:hyperlink>
        </w:p>
        <w:p w14:paraId="00D35B50" w14:textId="155E569D" w:rsidR="00F4461C" w:rsidRDefault="00F4461C">
          <w:pPr>
            <w:pStyle w:val="TOC1"/>
            <w:rPr>
              <w:rFonts w:asciiTheme="minorHAnsi" w:hAnsiTheme="minorHAnsi" w:cstheme="minorBidi"/>
              <w:b w:val="0"/>
              <w:bCs w:val="0"/>
              <w:kern w:val="2"/>
              <w:sz w:val="24"/>
              <w:szCs w:val="24"/>
              <w:lang w:eastAsia="zh-TW"/>
              <w14:ligatures w14:val="standardContextual"/>
            </w:rPr>
          </w:pPr>
          <w:hyperlink w:anchor="_Toc201142724" w:history="1">
            <w:r w:rsidRPr="00EE4FEC">
              <w:rPr>
                <w:rStyle w:val="Hyperlink"/>
              </w:rPr>
              <w:t>5</w:t>
            </w:r>
            <w:r>
              <w:rPr>
                <w:rFonts w:asciiTheme="minorHAnsi" w:hAnsiTheme="minorHAnsi" w:cstheme="minorBidi"/>
                <w:b w:val="0"/>
                <w:bCs w:val="0"/>
                <w:kern w:val="2"/>
                <w:sz w:val="24"/>
                <w:szCs w:val="24"/>
                <w:lang w:eastAsia="zh-TW"/>
                <w14:ligatures w14:val="standardContextual"/>
              </w:rPr>
              <w:tab/>
            </w:r>
            <w:r w:rsidRPr="00EE4FEC">
              <w:rPr>
                <w:rStyle w:val="Hyperlink"/>
              </w:rPr>
              <w:t>Built-in configuration</w:t>
            </w:r>
            <w:r>
              <w:rPr>
                <w:webHidden/>
              </w:rPr>
              <w:tab/>
            </w:r>
            <w:r>
              <w:rPr>
                <w:webHidden/>
              </w:rPr>
              <w:fldChar w:fldCharType="begin"/>
            </w:r>
            <w:r>
              <w:rPr>
                <w:webHidden/>
              </w:rPr>
              <w:instrText xml:space="preserve"> PAGEREF _Toc201142724 \h </w:instrText>
            </w:r>
            <w:r>
              <w:rPr>
                <w:webHidden/>
              </w:rPr>
            </w:r>
            <w:r>
              <w:rPr>
                <w:webHidden/>
              </w:rPr>
              <w:fldChar w:fldCharType="separate"/>
            </w:r>
            <w:r>
              <w:rPr>
                <w:webHidden/>
              </w:rPr>
              <w:t>12</w:t>
            </w:r>
            <w:r>
              <w:rPr>
                <w:webHidden/>
              </w:rPr>
              <w:fldChar w:fldCharType="end"/>
            </w:r>
          </w:hyperlink>
        </w:p>
        <w:p w14:paraId="4762C229" w14:textId="6E698BC7"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25" w:history="1">
            <w:r w:rsidRPr="00EE4FEC">
              <w:rPr>
                <w:rStyle w:val="Hyperlink"/>
              </w:rPr>
              <w:t>5.1</w:t>
            </w:r>
            <w:r>
              <w:rPr>
                <w:rFonts w:asciiTheme="minorHAnsi" w:eastAsiaTheme="minorEastAsia" w:hAnsiTheme="minorHAnsi" w:cstheme="minorBidi"/>
                <w:kern w:val="2"/>
                <w:sz w:val="24"/>
                <w:szCs w:val="24"/>
                <w:lang w:eastAsia="zh-TW"/>
                <w14:ligatures w14:val="standardContextual"/>
              </w:rPr>
              <w:tab/>
            </w:r>
            <w:r w:rsidRPr="00EE4FEC">
              <w:rPr>
                <w:rStyle w:val="Hyperlink"/>
              </w:rPr>
              <w:t>Overview</w:t>
            </w:r>
            <w:r>
              <w:rPr>
                <w:webHidden/>
              </w:rPr>
              <w:tab/>
            </w:r>
            <w:r>
              <w:rPr>
                <w:webHidden/>
              </w:rPr>
              <w:fldChar w:fldCharType="begin"/>
            </w:r>
            <w:r>
              <w:rPr>
                <w:webHidden/>
              </w:rPr>
              <w:instrText xml:space="preserve"> PAGEREF _Toc201142725 \h </w:instrText>
            </w:r>
            <w:r>
              <w:rPr>
                <w:webHidden/>
              </w:rPr>
            </w:r>
            <w:r>
              <w:rPr>
                <w:webHidden/>
              </w:rPr>
              <w:fldChar w:fldCharType="separate"/>
            </w:r>
            <w:r>
              <w:rPr>
                <w:webHidden/>
              </w:rPr>
              <w:t>12</w:t>
            </w:r>
            <w:r>
              <w:rPr>
                <w:webHidden/>
              </w:rPr>
              <w:fldChar w:fldCharType="end"/>
            </w:r>
          </w:hyperlink>
        </w:p>
        <w:p w14:paraId="32BF7E48" w14:textId="22FEAD6D"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26" w:history="1">
            <w:r w:rsidRPr="00EE4FEC">
              <w:rPr>
                <w:rStyle w:val="Hyperlink"/>
              </w:rPr>
              <w:t>5.2</w:t>
            </w:r>
            <w:r>
              <w:rPr>
                <w:rFonts w:asciiTheme="minorHAnsi" w:eastAsiaTheme="minorEastAsia" w:hAnsiTheme="minorHAnsi" w:cstheme="minorBidi"/>
                <w:kern w:val="2"/>
                <w:sz w:val="24"/>
                <w:szCs w:val="24"/>
                <w:lang w:eastAsia="zh-TW"/>
                <w14:ligatures w14:val="standardContextual"/>
              </w:rPr>
              <w:tab/>
            </w:r>
            <w:r w:rsidRPr="00EE4FEC">
              <w:rPr>
                <w:rStyle w:val="Hyperlink"/>
              </w:rPr>
              <w:t>Detail</w:t>
            </w:r>
            <w:r>
              <w:rPr>
                <w:webHidden/>
              </w:rPr>
              <w:tab/>
            </w:r>
            <w:r>
              <w:rPr>
                <w:webHidden/>
              </w:rPr>
              <w:fldChar w:fldCharType="begin"/>
            </w:r>
            <w:r>
              <w:rPr>
                <w:webHidden/>
              </w:rPr>
              <w:instrText xml:space="preserve"> PAGEREF _Toc201142726 \h </w:instrText>
            </w:r>
            <w:r>
              <w:rPr>
                <w:webHidden/>
              </w:rPr>
            </w:r>
            <w:r>
              <w:rPr>
                <w:webHidden/>
              </w:rPr>
              <w:fldChar w:fldCharType="separate"/>
            </w:r>
            <w:r>
              <w:rPr>
                <w:webHidden/>
              </w:rPr>
              <w:t>12</w:t>
            </w:r>
            <w:r>
              <w:rPr>
                <w:webHidden/>
              </w:rPr>
              <w:fldChar w:fldCharType="end"/>
            </w:r>
          </w:hyperlink>
        </w:p>
        <w:p w14:paraId="775C57DC" w14:textId="57AC188C" w:rsidR="00F4461C" w:rsidRDefault="00F4461C">
          <w:pPr>
            <w:pStyle w:val="TOC1"/>
            <w:rPr>
              <w:rFonts w:asciiTheme="minorHAnsi" w:hAnsiTheme="minorHAnsi" w:cstheme="minorBidi"/>
              <w:b w:val="0"/>
              <w:bCs w:val="0"/>
              <w:kern w:val="2"/>
              <w:sz w:val="24"/>
              <w:szCs w:val="24"/>
              <w:lang w:eastAsia="zh-TW"/>
              <w14:ligatures w14:val="standardContextual"/>
            </w:rPr>
          </w:pPr>
          <w:hyperlink w:anchor="_Toc201142727" w:history="1">
            <w:r w:rsidRPr="00EE4FEC">
              <w:rPr>
                <w:rStyle w:val="Hyperlink"/>
              </w:rPr>
              <w:t>6</w:t>
            </w:r>
            <w:r>
              <w:rPr>
                <w:rFonts w:asciiTheme="minorHAnsi" w:hAnsiTheme="minorHAnsi" w:cstheme="minorBidi"/>
                <w:b w:val="0"/>
                <w:bCs w:val="0"/>
                <w:kern w:val="2"/>
                <w:sz w:val="24"/>
                <w:szCs w:val="24"/>
                <w:lang w:eastAsia="zh-TW"/>
                <w14:ligatures w14:val="standardContextual"/>
              </w:rPr>
              <w:tab/>
            </w:r>
            <w:r w:rsidRPr="00EE4FEC">
              <w:rPr>
                <w:rStyle w:val="Hyperlink"/>
              </w:rPr>
              <w:t>Discussion</w:t>
            </w:r>
            <w:r>
              <w:rPr>
                <w:webHidden/>
              </w:rPr>
              <w:tab/>
            </w:r>
            <w:r>
              <w:rPr>
                <w:webHidden/>
              </w:rPr>
              <w:fldChar w:fldCharType="begin"/>
            </w:r>
            <w:r>
              <w:rPr>
                <w:webHidden/>
              </w:rPr>
              <w:instrText xml:space="preserve"> PAGEREF _Toc201142727 \h </w:instrText>
            </w:r>
            <w:r>
              <w:rPr>
                <w:webHidden/>
              </w:rPr>
            </w:r>
            <w:r>
              <w:rPr>
                <w:webHidden/>
              </w:rPr>
              <w:fldChar w:fldCharType="separate"/>
            </w:r>
            <w:r>
              <w:rPr>
                <w:webHidden/>
              </w:rPr>
              <w:t>14</w:t>
            </w:r>
            <w:r>
              <w:rPr>
                <w:webHidden/>
              </w:rPr>
              <w:fldChar w:fldCharType="end"/>
            </w:r>
          </w:hyperlink>
        </w:p>
        <w:p w14:paraId="2CA38C9B" w14:textId="47BDA0D4"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28" w:history="1">
            <w:r w:rsidRPr="00EE4FEC">
              <w:rPr>
                <w:rStyle w:val="Hyperlink"/>
              </w:rPr>
              <w:t>6.1</w:t>
            </w:r>
            <w:r>
              <w:rPr>
                <w:rFonts w:asciiTheme="minorHAnsi" w:eastAsiaTheme="minorEastAsia" w:hAnsiTheme="minorHAnsi" w:cstheme="minorBidi"/>
                <w:kern w:val="2"/>
                <w:sz w:val="24"/>
                <w:szCs w:val="24"/>
                <w:lang w:eastAsia="zh-TW"/>
                <w14:ligatures w14:val="standardContextual"/>
              </w:rPr>
              <w:tab/>
            </w:r>
            <w:r w:rsidRPr="00EE4FEC">
              <w:rPr>
                <w:rStyle w:val="Hyperlink"/>
              </w:rPr>
              <w:t>What copyright definitely doesn’t affect</w:t>
            </w:r>
            <w:r>
              <w:rPr>
                <w:webHidden/>
              </w:rPr>
              <w:tab/>
            </w:r>
            <w:r>
              <w:rPr>
                <w:webHidden/>
              </w:rPr>
              <w:fldChar w:fldCharType="begin"/>
            </w:r>
            <w:r>
              <w:rPr>
                <w:webHidden/>
              </w:rPr>
              <w:instrText xml:space="preserve"> PAGEREF _Toc201142728 \h </w:instrText>
            </w:r>
            <w:r>
              <w:rPr>
                <w:webHidden/>
              </w:rPr>
            </w:r>
            <w:r>
              <w:rPr>
                <w:webHidden/>
              </w:rPr>
              <w:fldChar w:fldCharType="separate"/>
            </w:r>
            <w:r>
              <w:rPr>
                <w:webHidden/>
              </w:rPr>
              <w:t>14</w:t>
            </w:r>
            <w:r>
              <w:rPr>
                <w:webHidden/>
              </w:rPr>
              <w:fldChar w:fldCharType="end"/>
            </w:r>
          </w:hyperlink>
        </w:p>
        <w:p w14:paraId="1955EF8D" w14:textId="4D669147"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29" w:history="1">
            <w:r w:rsidRPr="00EE4FEC">
              <w:rPr>
                <w:rStyle w:val="Hyperlink"/>
              </w:rPr>
              <w:t>6.2</w:t>
            </w:r>
            <w:r>
              <w:rPr>
                <w:rFonts w:asciiTheme="minorHAnsi" w:eastAsiaTheme="minorEastAsia" w:hAnsiTheme="minorHAnsi" w:cstheme="minorBidi"/>
                <w:kern w:val="2"/>
                <w:sz w:val="24"/>
                <w:szCs w:val="24"/>
                <w:lang w:eastAsia="zh-TW"/>
                <w14:ligatures w14:val="standardContextual"/>
              </w:rPr>
              <w:tab/>
            </w:r>
            <w:r w:rsidRPr="00EE4FEC">
              <w:rPr>
                <w:rStyle w:val="Hyperlink"/>
              </w:rPr>
              <w:t>What copyright may or may not affect</w:t>
            </w:r>
            <w:r>
              <w:rPr>
                <w:webHidden/>
              </w:rPr>
              <w:tab/>
            </w:r>
            <w:r>
              <w:rPr>
                <w:webHidden/>
              </w:rPr>
              <w:fldChar w:fldCharType="begin"/>
            </w:r>
            <w:r>
              <w:rPr>
                <w:webHidden/>
              </w:rPr>
              <w:instrText xml:space="preserve"> PAGEREF _Toc201142729 \h </w:instrText>
            </w:r>
            <w:r>
              <w:rPr>
                <w:webHidden/>
              </w:rPr>
            </w:r>
            <w:r>
              <w:rPr>
                <w:webHidden/>
              </w:rPr>
              <w:fldChar w:fldCharType="separate"/>
            </w:r>
            <w:r>
              <w:rPr>
                <w:webHidden/>
              </w:rPr>
              <w:t>14</w:t>
            </w:r>
            <w:r>
              <w:rPr>
                <w:webHidden/>
              </w:rPr>
              <w:fldChar w:fldCharType="end"/>
            </w:r>
          </w:hyperlink>
        </w:p>
        <w:p w14:paraId="10D3B484" w14:textId="2042D2D3" w:rsidR="00F4461C" w:rsidRDefault="00F4461C">
          <w:pPr>
            <w:pStyle w:val="TOC2"/>
            <w:rPr>
              <w:rFonts w:asciiTheme="minorHAnsi" w:eastAsiaTheme="minorEastAsia" w:hAnsiTheme="minorHAnsi" w:cstheme="minorBidi"/>
              <w:kern w:val="2"/>
              <w:sz w:val="24"/>
              <w:szCs w:val="24"/>
              <w:lang w:eastAsia="zh-TW"/>
              <w14:ligatures w14:val="standardContextual"/>
            </w:rPr>
          </w:pPr>
          <w:hyperlink w:anchor="_Toc201142730" w:history="1">
            <w:r w:rsidRPr="00EE4FEC">
              <w:rPr>
                <w:rStyle w:val="Hyperlink"/>
              </w:rPr>
              <w:t>6.3</w:t>
            </w:r>
            <w:r>
              <w:rPr>
                <w:rFonts w:asciiTheme="minorHAnsi" w:eastAsiaTheme="minorEastAsia" w:hAnsiTheme="minorHAnsi" w:cstheme="minorBidi"/>
                <w:kern w:val="2"/>
                <w:sz w:val="24"/>
                <w:szCs w:val="24"/>
                <w:lang w:eastAsia="zh-TW"/>
                <w14:ligatures w14:val="standardContextual"/>
              </w:rPr>
              <w:tab/>
            </w:r>
            <w:r w:rsidRPr="00EE4FEC">
              <w:rPr>
                <w:rStyle w:val="Hyperlink"/>
              </w:rPr>
              <w:t>What copyright definitely does affect</w:t>
            </w:r>
            <w:r>
              <w:rPr>
                <w:webHidden/>
              </w:rPr>
              <w:tab/>
            </w:r>
            <w:r>
              <w:rPr>
                <w:webHidden/>
              </w:rPr>
              <w:fldChar w:fldCharType="begin"/>
            </w:r>
            <w:r>
              <w:rPr>
                <w:webHidden/>
              </w:rPr>
              <w:instrText xml:space="preserve"> PAGEREF _Toc201142730 \h </w:instrText>
            </w:r>
            <w:r>
              <w:rPr>
                <w:webHidden/>
              </w:rPr>
            </w:r>
            <w:r>
              <w:rPr>
                <w:webHidden/>
              </w:rPr>
              <w:fldChar w:fldCharType="separate"/>
            </w:r>
            <w:r>
              <w:rPr>
                <w:webHidden/>
              </w:rPr>
              <w:t>14</w:t>
            </w:r>
            <w:r>
              <w:rPr>
                <w:webHidden/>
              </w:rPr>
              <w:fldChar w:fldCharType="end"/>
            </w:r>
          </w:hyperlink>
        </w:p>
        <w:p w14:paraId="24C0D996" w14:textId="65E9AEE2" w:rsidR="00F4461C" w:rsidRDefault="00F4461C">
          <w:pPr>
            <w:pStyle w:val="TOC1"/>
            <w:rPr>
              <w:rFonts w:asciiTheme="minorHAnsi" w:hAnsiTheme="minorHAnsi" w:cstheme="minorBidi"/>
              <w:b w:val="0"/>
              <w:bCs w:val="0"/>
              <w:kern w:val="2"/>
              <w:sz w:val="24"/>
              <w:szCs w:val="24"/>
              <w:lang w:eastAsia="zh-TW"/>
              <w14:ligatures w14:val="standardContextual"/>
            </w:rPr>
          </w:pPr>
          <w:hyperlink w:anchor="_Toc201142731" w:history="1">
            <w:r w:rsidRPr="00EE4FEC">
              <w:rPr>
                <w:rStyle w:val="Hyperlink"/>
              </w:rPr>
              <w:t>7</w:t>
            </w:r>
            <w:r>
              <w:rPr>
                <w:rFonts w:asciiTheme="minorHAnsi" w:hAnsiTheme="minorHAnsi" w:cstheme="minorBidi"/>
                <w:b w:val="0"/>
                <w:bCs w:val="0"/>
                <w:kern w:val="2"/>
                <w:sz w:val="24"/>
                <w:szCs w:val="24"/>
                <w:lang w:eastAsia="zh-TW"/>
                <w14:ligatures w14:val="standardContextual"/>
              </w:rPr>
              <w:tab/>
            </w:r>
            <w:r w:rsidRPr="00EE4FEC">
              <w:rPr>
                <w:rStyle w:val="Hyperlink"/>
              </w:rPr>
              <w:t>The step.xlsx template</w:t>
            </w:r>
            <w:r>
              <w:rPr>
                <w:webHidden/>
              </w:rPr>
              <w:tab/>
            </w:r>
            <w:r>
              <w:rPr>
                <w:webHidden/>
              </w:rPr>
              <w:fldChar w:fldCharType="begin"/>
            </w:r>
            <w:r>
              <w:rPr>
                <w:webHidden/>
              </w:rPr>
              <w:instrText xml:space="preserve"> PAGEREF _Toc201142731 \h </w:instrText>
            </w:r>
            <w:r>
              <w:rPr>
                <w:webHidden/>
              </w:rPr>
            </w:r>
            <w:r>
              <w:rPr>
                <w:webHidden/>
              </w:rPr>
              <w:fldChar w:fldCharType="separate"/>
            </w:r>
            <w:r>
              <w:rPr>
                <w:webHidden/>
              </w:rPr>
              <w:t>15</w:t>
            </w:r>
            <w:r>
              <w:rPr>
                <w:webHidden/>
              </w:rPr>
              <w:fldChar w:fldCharType="end"/>
            </w:r>
          </w:hyperlink>
        </w:p>
        <w:p w14:paraId="15681AB9" w14:textId="483CF176" w:rsidR="00F4461C" w:rsidRDefault="00F4461C">
          <w:pPr>
            <w:pStyle w:val="TOC1"/>
            <w:rPr>
              <w:rFonts w:asciiTheme="minorHAnsi" w:hAnsiTheme="minorHAnsi" w:cstheme="minorBidi"/>
              <w:b w:val="0"/>
              <w:bCs w:val="0"/>
              <w:kern w:val="2"/>
              <w:sz w:val="24"/>
              <w:szCs w:val="24"/>
              <w:lang w:eastAsia="zh-TW"/>
              <w14:ligatures w14:val="standardContextual"/>
            </w:rPr>
          </w:pPr>
          <w:hyperlink w:anchor="_Toc201142732" w:history="1">
            <w:r w:rsidRPr="00EE4FEC">
              <w:rPr>
                <w:rStyle w:val="Hyperlink"/>
              </w:rPr>
              <w:t>8</w:t>
            </w:r>
            <w:r>
              <w:rPr>
                <w:rFonts w:asciiTheme="minorHAnsi" w:hAnsiTheme="minorHAnsi" w:cstheme="minorBidi"/>
                <w:b w:val="0"/>
                <w:bCs w:val="0"/>
                <w:kern w:val="2"/>
                <w:sz w:val="24"/>
                <w:szCs w:val="24"/>
                <w:lang w:eastAsia="zh-TW"/>
                <w14:ligatures w14:val="standardContextual"/>
              </w:rPr>
              <w:tab/>
            </w:r>
            <w:r w:rsidRPr="00EE4FEC">
              <w:rPr>
                <w:rStyle w:val="Hyperlink"/>
              </w:rPr>
              <w:t>Maintenance</w:t>
            </w:r>
            <w:r>
              <w:rPr>
                <w:webHidden/>
              </w:rPr>
              <w:tab/>
            </w:r>
            <w:r>
              <w:rPr>
                <w:webHidden/>
              </w:rPr>
              <w:fldChar w:fldCharType="begin"/>
            </w:r>
            <w:r>
              <w:rPr>
                <w:webHidden/>
              </w:rPr>
              <w:instrText xml:space="preserve"> PAGEREF _Toc201142732 \h </w:instrText>
            </w:r>
            <w:r>
              <w:rPr>
                <w:webHidden/>
              </w:rPr>
            </w:r>
            <w:r>
              <w:rPr>
                <w:webHidden/>
              </w:rPr>
              <w:fldChar w:fldCharType="separate"/>
            </w:r>
            <w:r>
              <w:rPr>
                <w:webHidden/>
              </w:rPr>
              <w:t>16</w:t>
            </w:r>
            <w:r>
              <w:rPr>
                <w:webHidden/>
              </w:rPr>
              <w:fldChar w:fldCharType="end"/>
            </w:r>
          </w:hyperlink>
        </w:p>
        <w:p w14:paraId="5265B393" w14:textId="55D5ECC5"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201142709"/>
      <w:r>
        <w:lastRenderedPageBreak/>
        <w:t>Introduction</w:t>
      </w:r>
      <w:bookmarkEnd w:id="0"/>
      <w:bookmarkEnd w:id="1"/>
    </w:p>
    <w:tbl>
      <w:tblPr>
        <w:tblStyle w:val="TableGrid"/>
        <w:tblW w:w="0" w:type="auto"/>
        <w:shd w:val="clear" w:color="auto" w:fill="F2DBDB" w:themeFill="accent2" w:themeFillTint="33"/>
        <w:tblLook w:val="04A0" w:firstRow="1" w:lastRow="0" w:firstColumn="1" w:lastColumn="0" w:noHBand="0" w:noVBand="1"/>
      </w:tblPr>
      <w:tblGrid>
        <w:gridCol w:w="9017"/>
      </w:tblGrid>
      <w:tr w:rsidR="00A17919" w14:paraId="77C6F087" w14:textId="77777777" w:rsidTr="00A17919">
        <w:tc>
          <w:tcPr>
            <w:tcW w:w="9017" w:type="dxa"/>
            <w:shd w:val="clear" w:color="auto" w:fill="F2DBDB" w:themeFill="accent2" w:themeFillTint="33"/>
          </w:tcPr>
          <w:p w14:paraId="66B90D93" w14:textId="77777777" w:rsidR="00A17919" w:rsidRDefault="00A17919" w:rsidP="00A17919">
            <w:pPr>
              <w:pStyle w:val="JNormal"/>
              <w:numPr>
                <w:ilvl w:val="0"/>
                <w:numId w:val="53"/>
              </w:numPr>
              <w:ind w:left="357" w:hanging="357"/>
            </w:pPr>
            <w:r>
              <w:t xml:space="preserve">There’s a lot you </w:t>
            </w:r>
            <w:r w:rsidRPr="00A17919">
              <w:rPr>
                <w:i/>
                <w:iCs/>
              </w:rPr>
              <w:t>can</w:t>
            </w:r>
            <w:r>
              <w:t xml:space="preserve"> configure in the converter.</w:t>
            </w:r>
          </w:p>
          <w:p w14:paraId="2DE3ABFC" w14:textId="3A9E9D1D" w:rsidR="0089168D" w:rsidRDefault="0089168D" w:rsidP="00A17919">
            <w:pPr>
              <w:pStyle w:val="JNormal"/>
              <w:numPr>
                <w:ilvl w:val="0"/>
                <w:numId w:val="53"/>
              </w:numPr>
              <w:ind w:left="357" w:hanging="357"/>
            </w:pPr>
            <w:r>
              <w:t xml:space="preserve">That doesn’t mean there’s always a lot you </w:t>
            </w:r>
            <w:r w:rsidRPr="0089168D">
              <w:rPr>
                <w:i/>
                <w:iCs/>
              </w:rPr>
              <w:t>have</w:t>
            </w:r>
            <w:r>
              <w:t xml:space="preserve"> to configure.</w:t>
            </w:r>
          </w:p>
          <w:p w14:paraId="644AA21B" w14:textId="44AC5EF2" w:rsidR="00A17919" w:rsidRDefault="0089168D" w:rsidP="00A17919">
            <w:pPr>
              <w:pStyle w:val="JNormal"/>
              <w:numPr>
                <w:ilvl w:val="0"/>
                <w:numId w:val="53"/>
              </w:numPr>
              <w:ind w:left="357" w:hanging="357"/>
            </w:pPr>
            <w:r>
              <w:t>Some things are unavoidable.  The converter has to know how you want a text to be processed, and needs information about its provenance etc.</w:t>
            </w:r>
          </w:p>
          <w:p w14:paraId="1513B466" w14:textId="28BAAA4C" w:rsidR="0089168D" w:rsidRDefault="0089168D" w:rsidP="00A17919">
            <w:pPr>
              <w:pStyle w:val="JNormal"/>
              <w:numPr>
                <w:ilvl w:val="0"/>
                <w:numId w:val="53"/>
              </w:numPr>
              <w:ind w:left="357" w:hanging="357"/>
            </w:pPr>
            <w:r>
              <w:t>But there are an awful lot of defaults built into the system which you will need to override only rarely if at all.</w:t>
            </w:r>
          </w:p>
          <w:p w14:paraId="2831BCCF" w14:textId="5AE962DC" w:rsidR="0089168D" w:rsidRDefault="0089168D" w:rsidP="00A17919">
            <w:pPr>
              <w:pStyle w:val="JNormal"/>
              <w:numPr>
                <w:ilvl w:val="0"/>
                <w:numId w:val="53"/>
              </w:numPr>
              <w:ind w:left="357" w:hanging="357"/>
            </w:pPr>
            <w:r>
              <w:t>And where you have many texts with characteristics in common, you can share configuration data.</w:t>
            </w:r>
          </w:p>
          <w:p w14:paraId="426F23CE" w14:textId="36ACA0B7" w:rsidR="00A17919" w:rsidRDefault="0089168D" w:rsidP="00354BFC">
            <w:pPr>
              <w:pStyle w:val="JNormal"/>
              <w:numPr>
                <w:ilvl w:val="0"/>
                <w:numId w:val="53"/>
              </w:numPr>
              <w:ind w:left="357" w:hanging="357"/>
            </w:pPr>
            <w:r>
              <w:t xml:space="preserve">In what follows, things you </w:t>
            </w:r>
            <w:r w:rsidRPr="00BB4FCC">
              <w:rPr>
                <w:i/>
                <w:iCs/>
              </w:rPr>
              <w:t>have</w:t>
            </w:r>
            <w:r>
              <w:t xml:space="preserve"> to know are in pink boxes.</w:t>
            </w:r>
          </w:p>
          <w:p w14:paraId="2A256601" w14:textId="134BDCAF" w:rsidR="00C21D32" w:rsidRDefault="0089168D" w:rsidP="0089168D">
            <w:pPr>
              <w:pStyle w:val="JNormal"/>
              <w:numPr>
                <w:ilvl w:val="0"/>
                <w:numId w:val="53"/>
              </w:numPr>
              <w:ind w:left="357" w:hanging="357"/>
            </w:pPr>
            <w:r>
              <w:t xml:space="preserve">Things you might possibly get away without knowing are in green.  However, even if you don’t rely upon these, </w:t>
            </w:r>
            <w:r w:rsidR="00C21D32">
              <w:t>it might be useful at least to skim them, so you know roughly how things work.</w:t>
            </w:r>
          </w:p>
        </w:tc>
      </w:tr>
    </w:tbl>
    <w:p w14:paraId="08FC665F" w14:textId="77777777" w:rsidR="00A17919" w:rsidRDefault="00A17919" w:rsidP="00A17919">
      <w:pPr>
        <w:pStyle w:val="JNormal"/>
      </w:pPr>
    </w:p>
    <w:p w14:paraId="3A520D71" w14:textId="74BE65E2" w:rsidR="00320AEF" w:rsidRDefault="00C21D32" w:rsidP="00C21D32">
      <w:pPr>
        <w:pStyle w:val="Heading1"/>
        <w:pageBreakBefore w:val="0"/>
        <w:spacing w:before="800"/>
        <w:ind w:left="431" w:hanging="431"/>
      </w:pPr>
      <w:bookmarkStart w:id="2" w:name="_Toc201142710"/>
      <w:r>
        <w:t>Getting started</w:t>
      </w:r>
      <w:bookmarkEnd w:id="2"/>
    </w:p>
    <w:tbl>
      <w:tblPr>
        <w:tblStyle w:val="TableGrid"/>
        <w:tblW w:w="0" w:type="auto"/>
        <w:shd w:val="clear" w:color="auto" w:fill="F2DBDB" w:themeFill="accent2" w:themeFillTint="33"/>
        <w:tblLook w:val="04A0" w:firstRow="1" w:lastRow="0" w:firstColumn="1" w:lastColumn="0" w:noHBand="0" w:noVBand="1"/>
      </w:tblPr>
      <w:tblGrid>
        <w:gridCol w:w="9017"/>
      </w:tblGrid>
      <w:tr w:rsidR="00C21D32" w14:paraId="65F1622C" w14:textId="77777777" w:rsidTr="00C21D32">
        <w:tc>
          <w:tcPr>
            <w:tcW w:w="9017" w:type="dxa"/>
            <w:shd w:val="clear" w:color="auto" w:fill="F2DBDB" w:themeFill="accent2" w:themeFillTint="33"/>
          </w:tcPr>
          <w:p w14:paraId="7CCC70D6" w14:textId="17EE33FF" w:rsidR="00C21D32" w:rsidRDefault="00C21D32" w:rsidP="00C21D32">
            <w:pPr>
              <w:pStyle w:val="JNormal"/>
              <w:numPr>
                <w:ilvl w:val="0"/>
                <w:numId w:val="53"/>
              </w:numPr>
              <w:ind w:left="357" w:hanging="357"/>
            </w:pPr>
            <w:r>
              <w:t xml:space="preserve">Every text has to have its own folder, which I refer to here as the </w:t>
            </w:r>
            <w:r w:rsidRPr="00C21D32">
              <w:rPr>
                <w:b/>
                <w:bCs/>
                <w:i/>
                <w:iCs/>
              </w:rPr>
              <w:t>root folder</w:t>
            </w:r>
            <w:r>
              <w:t>.</w:t>
            </w:r>
          </w:p>
          <w:p w14:paraId="2D94F1E4" w14:textId="35C32C11" w:rsidR="00C21D32" w:rsidRDefault="00C21D32" w:rsidP="00C21D32">
            <w:pPr>
              <w:pStyle w:val="JNormal"/>
              <w:numPr>
                <w:ilvl w:val="0"/>
                <w:numId w:val="53"/>
              </w:numPr>
              <w:ind w:left="357" w:hanging="357"/>
            </w:pPr>
            <w:r>
              <w:t>I recommend putting all of the root folders</w:t>
            </w:r>
            <w:r w:rsidR="00BB4FCC">
              <w:t xml:space="preserve"> you work</w:t>
            </w:r>
            <w:r>
              <w:t xml:space="preserve"> under a single folder</w:t>
            </w:r>
            <w:r w:rsidR="00BB4FCC">
              <w:t xml:space="preserve"> (directly or indirectly)</w:t>
            </w:r>
            <w:r>
              <w:t xml:space="preserve">.  This </w:t>
            </w:r>
            <w:r w:rsidR="00BD074C">
              <w:t>will</w:t>
            </w:r>
            <w:r>
              <w:t xml:space="preserve"> make it easier to control things and move data should you need to.  However, this is not essential.</w:t>
            </w:r>
          </w:p>
          <w:p w14:paraId="3C73D904" w14:textId="42782A48" w:rsidR="00C21D32" w:rsidRDefault="00C21D32" w:rsidP="00C21D32">
            <w:pPr>
              <w:pStyle w:val="JNormal"/>
              <w:numPr>
                <w:ilvl w:val="0"/>
                <w:numId w:val="53"/>
              </w:numPr>
              <w:ind w:left="357" w:hanging="357"/>
            </w:pPr>
            <w:r>
              <w:t>The root folder</w:t>
            </w:r>
            <w:r w:rsidR="00BB4FCC">
              <w:t>s</w:t>
            </w:r>
            <w:r>
              <w:t xml:space="preserve"> </w:t>
            </w:r>
            <w:r w:rsidR="00BB4FCC">
              <w:t>have</w:t>
            </w:r>
            <w:r>
              <w:t xml:space="preserve"> to have a </w:t>
            </w:r>
            <w:proofErr w:type="gramStart"/>
            <w:r>
              <w:t>name</w:t>
            </w:r>
            <w:r w:rsidR="00BB4FCC">
              <w:t>s</w:t>
            </w:r>
            <w:proofErr w:type="gramEnd"/>
            <w:r>
              <w:t xml:space="preserve"> like </w:t>
            </w:r>
            <w:proofErr w:type="spellStart"/>
            <w:r>
              <w:t>Text_eng_NIV_xxx</w:t>
            </w:r>
            <w:proofErr w:type="spellEnd"/>
            <w:r>
              <w:t xml:space="preserve">, where </w:t>
            </w:r>
            <w:proofErr w:type="spellStart"/>
            <w:r>
              <w:t>eng</w:t>
            </w:r>
            <w:proofErr w:type="spellEnd"/>
            <w:r>
              <w:t xml:space="preserve"> is the 3-character language </w:t>
            </w:r>
            <w:r w:rsidR="00BD074C">
              <w:t>code</w:t>
            </w:r>
            <w:r>
              <w:t xml:space="preserve">, NIV is the English abbreviated name of the text, and xxx is one of </w:t>
            </w:r>
            <w:r w:rsidR="0089168D">
              <w:t>[</w:t>
            </w:r>
            <w:r>
              <w:t xml:space="preserve">public, step, or </w:t>
            </w:r>
            <w:proofErr w:type="spellStart"/>
            <w:r>
              <w:t>publicStep</w:t>
            </w:r>
            <w:proofErr w:type="spellEnd"/>
            <w:r w:rsidR="0089168D">
              <w:t>]</w:t>
            </w:r>
            <w:r>
              <w:t xml:space="preserve">, plus optionally </w:t>
            </w:r>
            <w:proofErr w:type="spellStart"/>
            <w:r>
              <w:t>onlineOnly</w:t>
            </w:r>
            <w:proofErr w:type="spellEnd"/>
            <w:r>
              <w:t>, in any order.  (</w:t>
            </w:r>
            <w:proofErr w:type="gramStart"/>
            <w:r>
              <w:t>xxx</w:t>
            </w:r>
            <w:proofErr w:type="gramEnd"/>
            <w:r>
              <w:t xml:space="preserve"> is not case-sensitive.)</w:t>
            </w:r>
          </w:p>
          <w:p w14:paraId="68BB3873" w14:textId="77777777" w:rsidR="00A1751E" w:rsidRDefault="00A1751E" w:rsidP="00A1751E">
            <w:pPr>
              <w:pStyle w:val="JNormal"/>
              <w:numPr>
                <w:ilvl w:val="0"/>
                <w:numId w:val="53"/>
              </w:numPr>
              <w:ind w:left="357" w:hanging="357"/>
            </w:pPr>
            <w:r>
              <w:t>The xxx part tells the processing whether we can generate a STEPBible-format module from the text, a public-facing text, or both; and it also highlights those few texts which we are not permitted to make available offline</w:t>
            </w:r>
          </w:p>
          <w:p w14:paraId="4031F0C0" w14:textId="77777777" w:rsidR="00BB4FCC" w:rsidRDefault="00C21D32" w:rsidP="00C21D32">
            <w:pPr>
              <w:pStyle w:val="JNormal"/>
              <w:numPr>
                <w:ilvl w:val="0"/>
                <w:numId w:val="53"/>
              </w:numPr>
              <w:ind w:left="357" w:hanging="357"/>
            </w:pPr>
            <w:r>
              <w:t>Under the root folder you create a folder called Metadata.</w:t>
            </w:r>
          </w:p>
          <w:p w14:paraId="6F1FC622" w14:textId="7DB754B6" w:rsidR="00C21D32" w:rsidRDefault="006F41F4" w:rsidP="00C21D32">
            <w:pPr>
              <w:pStyle w:val="JNormal"/>
              <w:numPr>
                <w:ilvl w:val="0"/>
                <w:numId w:val="53"/>
              </w:numPr>
              <w:ind w:left="357" w:hanging="357"/>
            </w:pPr>
            <w:r>
              <w:t xml:space="preserve">Historically, you have stored a </w:t>
            </w:r>
            <w:r w:rsidR="0089168D">
              <w:t xml:space="preserve">text </w:t>
            </w:r>
            <w:r>
              <w:t xml:space="preserve">file </w:t>
            </w:r>
            <w:r w:rsidR="00C21D32">
              <w:t xml:space="preserve">called </w:t>
            </w:r>
            <w:proofErr w:type="spellStart"/>
            <w:r w:rsidR="00C21D32">
              <w:t>step.conf</w:t>
            </w:r>
            <w:proofErr w:type="spellEnd"/>
            <w:r w:rsidR="00C21D32">
              <w:t xml:space="preserve"> in that, to act as the base of the configuration information</w:t>
            </w:r>
            <w:r>
              <w:t xml:space="preserve"> – and you can still work this way if you want.  However, recent changes favour the use of a spreadsheet called step.xlsx in place of </w:t>
            </w:r>
            <w:proofErr w:type="spellStart"/>
            <w:r>
              <w:t>step.conf</w:t>
            </w:r>
            <w:proofErr w:type="spellEnd"/>
            <w:r>
              <w:t>, and there is a template you can use for this purpose</w:t>
            </w:r>
            <w:r w:rsidR="00C21D32">
              <w:t>.</w:t>
            </w:r>
            <w:r w:rsidR="0089168D">
              <w:t xml:space="preserve">  This document is about what goes in</w:t>
            </w:r>
            <w:r w:rsidR="00BB4FCC">
              <w:t>to</w:t>
            </w:r>
            <w:r w:rsidR="0089168D">
              <w:t xml:space="preserve"> those files.</w:t>
            </w:r>
          </w:p>
          <w:p w14:paraId="2803B30B" w14:textId="7EDF084B" w:rsidR="00C21D32" w:rsidRDefault="00A1751E" w:rsidP="00A1751E">
            <w:pPr>
              <w:pStyle w:val="JNormal"/>
              <w:numPr>
                <w:ilvl w:val="0"/>
                <w:numId w:val="53"/>
              </w:numPr>
              <w:ind w:left="357" w:hanging="357"/>
            </w:pPr>
            <w:r>
              <w:t>If you are working with data from DBL and want to be able to pick up DBL metadata</w:t>
            </w:r>
            <w:r w:rsidR="00BB4FCC">
              <w:t xml:space="preserve"> automatically</w:t>
            </w:r>
            <w:r>
              <w:t>, the Metadata folder is also where you store the DBL metadata.xml and license.xml files.</w:t>
            </w:r>
          </w:p>
          <w:p w14:paraId="347E222A" w14:textId="64194C5A" w:rsidR="00921CD6" w:rsidRDefault="00921CD6" w:rsidP="00A1751E">
            <w:pPr>
              <w:pStyle w:val="JNormal"/>
              <w:numPr>
                <w:ilvl w:val="0"/>
                <w:numId w:val="53"/>
              </w:numPr>
              <w:ind w:left="357" w:hanging="357"/>
            </w:pPr>
            <w:r>
              <w:t>(There are other things you need to know about setting up the root folder before you can use the converter; here we are concerned only with those things relevant to supplying configuration information.)</w:t>
            </w:r>
          </w:p>
        </w:tc>
      </w:tr>
    </w:tbl>
    <w:p w14:paraId="3F15CD95" w14:textId="26237418" w:rsidR="00C21D32" w:rsidRDefault="00921CD6" w:rsidP="00A1751E">
      <w:pPr>
        <w:pStyle w:val="Heading1"/>
      </w:pPr>
      <w:bookmarkStart w:id="3" w:name="_Toc201142711"/>
      <w:r>
        <w:lastRenderedPageBreak/>
        <w:t>Essentials</w:t>
      </w:r>
      <w:bookmarkEnd w:id="3"/>
    </w:p>
    <w:p w14:paraId="0F0A0F84" w14:textId="02AA6A74" w:rsidR="005555E1" w:rsidRPr="005555E1" w:rsidRDefault="00921CD6" w:rsidP="005555E1">
      <w:pPr>
        <w:pStyle w:val="Heading2"/>
        <w:spacing w:before="0"/>
        <w:ind w:left="578" w:hanging="578"/>
      </w:pPr>
      <w:bookmarkStart w:id="4" w:name="_Toc201142712"/>
      <w:r>
        <w:t>Overall structure</w:t>
      </w:r>
      <w:bookmarkEnd w:id="4"/>
    </w:p>
    <w:tbl>
      <w:tblPr>
        <w:tblStyle w:val="TableGrid"/>
        <w:tblW w:w="0" w:type="auto"/>
        <w:tblLook w:val="04A0" w:firstRow="1" w:lastRow="0" w:firstColumn="1" w:lastColumn="0" w:noHBand="0" w:noVBand="1"/>
      </w:tblPr>
      <w:tblGrid>
        <w:gridCol w:w="9017"/>
      </w:tblGrid>
      <w:tr w:rsidR="00A1751E" w14:paraId="7804D537" w14:textId="77777777" w:rsidTr="00A1751E">
        <w:tc>
          <w:tcPr>
            <w:tcW w:w="9017" w:type="dxa"/>
            <w:shd w:val="clear" w:color="auto" w:fill="F2DBDB" w:themeFill="accent2" w:themeFillTint="33"/>
          </w:tcPr>
          <w:p w14:paraId="18F27AEB" w14:textId="5520B409" w:rsidR="00A1751E" w:rsidRDefault="00A1751E" w:rsidP="00A1751E">
            <w:pPr>
              <w:pStyle w:val="JNormal"/>
              <w:rPr>
                <w:rFonts w:eastAsia="Microsoft YaHei"/>
                <w:lang w:eastAsia="en-GB"/>
              </w:rPr>
            </w:pPr>
            <w:r>
              <w:rPr>
                <w:rFonts w:eastAsia="Microsoft YaHei"/>
                <w:lang w:eastAsia="en-GB"/>
              </w:rPr>
              <w:t>Configuration data is taken from the following places:</w:t>
            </w:r>
          </w:p>
          <w:p w14:paraId="3449F29D" w14:textId="77777777" w:rsidR="00A1751E" w:rsidRPr="00A1751E" w:rsidRDefault="00A1751E" w:rsidP="00A1751E">
            <w:pPr>
              <w:pStyle w:val="JNormal"/>
              <w:numPr>
                <w:ilvl w:val="0"/>
                <w:numId w:val="55"/>
              </w:numPr>
              <w:ind w:left="357" w:hanging="357"/>
              <w:rPr>
                <w:rFonts w:ascii="Lucida Sans" w:eastAsia="Microsoft YaHei" w:hAnsi="Lucida Sans" w:cs="Lucida Sans"/>
                <w:lang w:eastAsia="en-GB"/>
              </w:rPr>
            </w:pPr>
            <w:r w:rsidRPr="00A1751E">
              <w:rPr>
                <w:rFonts w:eastAsia="Microsoft YaHei"/>
                <w:lang w:eastAsia="en-GB"/>
              </w:rPr>
              <w:t>From the command line used to invoke the converter.</w:t>
            </w:r>
          </w:p>
          <w:p w14:paraId="128785A3" w14:textId="5EBE2FE1" w:rsidR="00A1751E" w:rsidRPr="00A1751E" w:rsidRDefault="00A1751E" w:rsidP="00A1751E">
            <w:pPr>
              <w:pStyle w:val="JNormal"/>
              <w:numPr>
                <w:ilvl w:val="0"/>
                <w:numId w:val="55"/>
              </w:numPr>
              <w:ind w:left="357" w:hanging="357"/>
              <w:rPr>
                <w:rFonts w:ascii="Lucida Sans" w:eastAsia="Microsoft YaHei" w:hAnsi="Lucida Sans" w:cs="Lucida Sans"/>
                <w:lang w:eastAsia="en-GB"/>
              </w:rPr>
            </w:pPr>
            <w:r w:rsidRPr="00A1751E">
              <w:rPr>
                <w:rFonts w:eastAsia="Microsoft YaHei"/>
                <w:lang w:eastAsia="en-GB"/>
              </w:rPr>
              <w:t>From the configuration files you create</w:t>
            </w:r>
            <w:r>
              <w:rPr>
                <w:rFonts w:eastAsia="Microsoft YaHei"/>
                <w:lang w:eastAsia="en-GB"/>
              </w:rPr>
              <w:t>.</w:t>
            </w:r>
          </w:p>
          <w:p w14:paraId="7C1AA9F3" w14:textId="128ADFA2" w:rsidR="00A1751E" w:rsidRPr="00A96117" w:rsidRDefault="00A1751E" w:rsidP="00A1751E">
            <w:pPr>
              <w:pStyle w:val="JNormal"/>
              <w:numPr>
                <w:ilvl w:val="0"/>
                <w:numId w:val="55"/>
              </w:numPr>
              <w:ind w:left="357" w:hanging="357"/>
              <w:rPr>
                <w:rFonts w:ascii="Lucida Sans" w:eastAsia="Microsoft YaHei" w:hAnsi="Lucida Sans" w:cs="Lucida Sans"/>
                <w:lang w:eastAsia="en-GB"/>
              </w:rPr>
            </w:pPr>
            <w:r w:rsidRPr="00A1751E">
              <w:rPr>
                <w:rFonts w:eastAsia="Microsoft YaHei"/>
                <w:lang w:eastAsia="en-GB"/>
              </w:rPr>
              <w:t>From externally-supplied metadata files where possible.  (At present we cater only for DBL metadata files.)</w:t>
            </w:r>
          </w:p>
          <w:p w14:paraId="47B08C7B" w14:textId="1BB133A7" w:rsidR="00A96117" w:rsidRPr="00A1751E" w:rsidRDefault="00A96117" w:rsidP="00A96117">
            <w:pPr>
              <w:pStyle w:val="JNormal"/>
              <w:numPr>
                <w:ilvl w:val="0"/>
                <w:numId w:val="55"/>
              </w:numPr>
              <w:ind w:left="357" w:hanging="357"/>
              <w:rPr>
                <w:rFonts w:ascii="Lucida Sans" w:eastAsia="Microsoft YaHei" w:hAnsi="Lucida Sans" w:cs="Lucida Sans"/>
                <w:lang w:eastAsia="en-GB"/>
              </w:rPr>
            </w:pPr>
            <w:r>
              <w:rPr>
                <w:rFonts w:eastAsia="Microsoft YaHei"/>
                <w:lang w:eastAsia="en-GB"/>
              </w:rPr>
              <w:t xml:space="preserve">From </w:t>
            </w:r>
            <w:r w:rsidR="006F41F4">
              <w:rPr>
                <w:rFonts w:eastAsia="Microsoft YaHei"/>
                <w:lang w:eastAsia="en-GB"/>
              </w:rPr>
              <w:t>various</w:t>
            </w:r>
            <w:r>
              <w:rPr>
                <w:rFonts w:eastAsia="Microsoft YaHei"/>
                <w:lang w:eastAsia="en-GB"/>
              </w:rPr>
              <w:t xml:space="preserve"> files </w:t>
            </w:r>
            <w:r w:rsidRPr="00A1751E">
              <w:rPr>
                <w:rFonts w:eastAsia="Microsoft YaHei"/>
                <w:lang w:eastAsia="en-GB"/>
              </w:rPr>
              <w:t>built into the Resources section of the converter JAR file.</w:t>
            </w:r>
          </w:p>
          <w:p w14:paraId="0FC17E67" w14:textId="77777777" w:rsidR="00A1751E" w:rsidRPr="00A1751E" w:rsidRDefault="00A1751E" w:rsidP="00A96117">
            <w:pPr>
              <w:pStyle w:val="JNormal"/>
              <w:numPr>
                <w:ilvl w:val="0"/>
                <w:numId w:val="55"/>
              </w:numPr>
              <w:spacing w:after="240"/>
              <w:ind w:left="357" w:hanging="357"/>
              <w:rPr>
                <w:rFonts w:ascii="Lucida Sans" w:eastAsia="Microsoft YaHei" w:hAnsi="Lucida Sans" w:cs="Lucida Sans"/>
                <w:lang w:eastAsia="en-GB"/>
              </w:rPr>
            </w:pPr>
            <w:r w:rsidRPr="00A1751E">
              <w:rPr>
                <w:rFonts w:eastAsia="Microsoft YaHei"/>
                <w:lang w:eastAsia="en-GB"/>
              </w:rPr>
              <w:t xml:space="preserve">From the environment variable </w:t>
            </w:r>
            <w:proofErr w:type="spellStart"/>
            <w:r w:rsidRPr="00A1751E">
              <w:rPr>
                <w:rFonts w:eastAsia="Microsoft YaHei"/>
                <w:b/>
                <w:bCs/>
                <w:lang w:eastAsia="en-GB"/>
              </w:rPr>
              <w:t>stepTextConverterParameters</w:t>
            </w:r>
            <w:proofErr w:type="spellEnd"/>
            <w:r w:rsidRPr="00A1751E">
              <w:rPr>
                <w:rFonts w:eastAsia="Microsoft YaHei"/>
                <w:b/>
                <w:bCs/>
                <w:lang w:eastAsia="en-GB"/>
              </w:rPr>
              <w:t xml:space="preserve"> </w:t>
            </w:r>
            <w:r w:rsidRPr="00A1751E">
              <w:rPr>
                <w:rFonts w:eastAsia="Microsoft YaHei"/>
                <w:lang w:eastAsia="en-GB"/>
              </w:rPr>
              <w:t>if it is defined.</w:t>
            </w:r>
          </w:p>
          <w:p w14:paraId="57EAC6B1" w14:textId="6EED5C7A" w:rsidR="00A96117" w:rsidRDefault="00A96117" w:rsidP="00A1751E">
            <w:pPr>
              <w:pStyle w:val="JNormal"/>
              <w:rPr>
                <w:rFonts w:eastAsia="Microsoft YaHei"/>
                <w:lang w:eastAsia="en-GB"/>
              </w:rPr>
            </w:pPr>
            <w:r>
              <w:rPr>
                <w:rFonts w:eastAsia="Microsoft YaHei"/>
                <w:lang w:eastAsia="en-GB"/>
              </w:rPr>
              <w:t xml:space="preserve">Because there are so many places in which a variable may be defined, it is always possible that there may </w:t>
            </w:r>
            <w:r w:rsidR="002B5CB4">
              <w:rPr>
                <w:rFonts w:eastAsia="Microsoft YaHei"/>
                <w:lang w:eastAsia="en-GB"/>
              </w:rPr>
              <w:t xml:space="preserve">turn out to </w:t>
            </w:r>
            <w:r>
              <w:rPr>
                <w:rFonts w:eastAsia="Microsoft YaHei"/>
                <w:lang w:eastAsia="en-GB"/>
              </w:rPr>
              <w:t>be more than one definition for it.</w:t>
            </w:r>
          </w:p>
          <w:p w14:paraId="1EA73203" w14:textId="3D6E9D54" w:rsidR="00A96117" w:rsidRDefault="00A96117" w:rsidP="00A1751E">
            <w:pPr>
              <w:pStyle w:val="JNormal"/>
              <w:rPr>
                <w:rFonts w:eastAsia="Microsoft YaHei"/>
                <w:lang w:eastAsia="en-GB"/>
              </w:rPr>
            </w:pPr>
            <w:r>
              <w:rPr>
                <w:rFonts w:eastAsia="Microsoft YaHei"/>
                <w:lang w:eastAsia="en-GB"/>
              </w:rPr>
              <w:t>This means that precedence matters, and the list above is (more or less) in precedence order – command line settings take priority over everything else, and so on.  I say ‘more or less’ because you do have some measure of control over this in the bits which you define yourself</w:t>
            </w:r>
            <w:r w:rsidR="004F14EA">
              <w:rPr>
                <w:rFonts w:eastAsia="Microsoft YaHei"/>
                <w:lang w:eastAsia="en-GB"/>
              </w:rPr>
              <w:t xml:space="preserve"> as we’ll see shortly</w:t>
            </w:r>
            <w:r>
              <w:rPr>
                <w:rFonts w:eastAsia="Microsoft YaHei"/>
                <w:lang w:eastAsia="en-GB"/>
              </w:rPr>
              <w:t>.</w:t>
            </w:r>
          </w:p>
          <w:p w14:paraId="0EEC2990" w14:textId="64BA5C4B" w:rsidR="00A96117" w:rsidRDefault="00A96117" w:rsidP="00A96117">
            <w:pPr>
              <w:pStyle w:val="JNormal"/>
              <w:jc w:val="center"/>
              <w:rPr>
                <w:rFonts w:eastAsia="Microsoft YaHei"/>
                <w:lang w:eastAsia="en-GB"/>
              </w:rPr>
            </w:pPr>
            <w:r>
              <w:rPr>
                <w:rFonts w:eastAsia="Microsoft YaHei"/>
                <w:lang w:eastAsia="en-GB"/>
              </w:rPr>
              <w:t>*</w:t>
            </w:r>
          </w:p>
          <w:p w14:paraId="10740432" w14:textId="64758BE8" w:rsidR="00A1751E" w:rsidRDefault="00A1751E" w:rsidP="00A1751E">
            <w:pPr>
              <w:pStyle w:val="JNormal"/>
              <w:rPr>
                <w:rFonts w:eastAsia="Microsoft YaHei"/>
                <w:lang w:eastAsia="en-GB"/>
              </w:rPr>
            </w:pPr>
            <w:r w:rsidRPr="00A1751E">
              <w:rPr>
                <w:rFonts w:eastAsia="Microsoft YaHei"/>
                <w:lang w:eastAsia="en-GB"/>
              </w:rPr>
              <w:t>All texts have to have a file called</w:t>
            </w:r>
            <w:r w:rsidRPr="00A1751E">
              <w:rPr>
                <w:rFonts w:eastAsia="Microsoft YaHei"/>
                <w:b/>
                <w:bCs/>
                <w:lang w:eastAsia="en-GB"/>
              </w:rPr>
              <w:t xml:space="preserve"> step.</w:t>
            </w:r>
            <w:r w:rsidR="006F41F4">
              <w:rPr>
                <w:rFonts w:eastAsia="Microsoft YaHei"/>
                <w:b/>
                <w:bCs/>
                <w:lang w:eastAsia="en-GB"/>
              </w:rPr>
              <w:t>xlsx</w:t>
            </w:r>
            <w:r w:rsidRPr="00A1751E">
              <w:rPr>
                <w:rFonts w:eastAsia="Microsoft YaHei"/>
                <w:lang w:eastAsia="en-GB"/>
              </w:rPr>
              <w:t xml:space="preserve"> </w:t>
            </w:r>
            <w:r w:rsidR="006F41F4">
              <w:rPr>
                <w:rFonts w:eastAsia="Microsoft YaHei"/>
                <w:lang w:eastAsia="en-GB"/>
              </w:rPr>
              <w:t xml:space="preserve">(or </w:t>
            </w:r>
            <w:proofErr w:type="spellStart"/>
            <w:r w:rsidR="006F41F4">
              <w:rPr>
                <w:rFonts w:eastAsia="Microsoft YaHei"/>
                <w:lang w:eastAsia="en-GB"/>
              </w:rPr>
              <w:t>step.conf</w:t>
            </w:r>
            <w:proofErr w:type="spellEnd"/>
            <w:r w:rsidR="006F41F4">
              <w:rPr>
                <w:rFonts w:eastAsia="Microsoft YaHei"/>
                <w:lang w:eastAsia="en-GB"/>
              </w:rPr>
              <w:t xml:space="preserve"> if you choose to continue working that way) </w:t>
            </w:r>
            <w:r w:rsidRPr="00A1751E">
              <w:rPr>
                <w:rFonts w:eastAsia="Microsoft YaHei"/>
                <w:lang w:eastAsia="en-GB"/>
              </w:rPr>
              <w:t>in their Metadata folder</w:t>
            </w:r>
            <w:r w:rsidR="004F14EA">
              <w:rPr>
                <w:rStyle w:val="FootnoteReference"/>
                <w:rFonts w:eastAsia="Microsoft YaHei"/>
                <w:lang w:eastAsia="en-GB"/>
              </w:rPr>
              <w:footnoteReference w:id="1"/>
            </w:r>
            <w:r w:rsidRPr="00A1751E">
              <w:rPr>
                <w:rFonts w:eastAsia="Microsoft YaHei"/>
                <w:lang w:eastAsia="en-GB"/>
              </w:rPr>
              <w:t xml:space="preserve">.  The processing always starts with this file when working out what to do.  The </w:t>
            </w:r>
            <w:r w:rsidR="006F41F4">
              <w:rPr>
                <w:rFonts w:eastAsia="Microsoft YaHei"/>
                <w:lang w:eastAsia="en-GB"/>
              </w:rPr>
              <w:t>template described later</w:t>
            </w:r>
            <w:r w:rsidRPr="00A1751E">
              <w:rPr>
                <w:rFonts w:eastAsia="Microsoft YaHei"/>
                <w:lang w:eastAsia="en-GB"/>
              </w:rPr>
              <w:t xml:space="preserve"> helps you create step.</w:t>
            </w:r>
            <w:r w:rsidR="006F41F4">
              <w:rPr>
                <w:rFonts w:eastAsia="Microsoft YaHei"/>
                <w:lang w:eastAsia="en-GB"/>
              </w:rPr>
              <w:t>xlsx</w:t>
            </w:r>
            <w:r w:rsidRPr="00A1751E">
              <w:rPr>
                <w:rFonts w:eastAsia="Microsoft YaHei"/>
                <w:lang w:eastAsia="en-GB"/>
              </w:rPr>
              <w:t>.</w:t>
            </w:r>
          </w:p>
          <w:p w14:paraId="2D428A6F" w14:textId="480CB047" w:rsidR="002B5CB4" w:rsidRDefault="002B5CB4" w:rsidP="00A1751E">
            <w:pPr>
              <w:pStyle w:val="JNormal"/>
              <w:rPr>
                <w:rFonts w:eastAsia="Microsoft YaHei"/>
                <w:lang w:eastAsia="en-GB"/>
              </w:rPr>
            </w:pPr>
            <w:r>
              <w:rPr>
                <w:rFonts w:eastAsia="Microsoft YaHei"/>
                <w:lang w:eastAsia="en-GB"/>
              </w:rPr>
              <w:t xml:space="preserve">Putting to one side the settings built into the converter JAR, you </w:t>
            </w:r>
            <w:r w:rsidRPr="002B5CB4">
              <w:rPr>
                <w:rFonts w:eastAsia="Microsoft YaHei"/>
                <w:i/>
                <w:iCs/>
                <w:lang w:eastAsia="en-GB"/>
              </w:rPr>
              <w:t>can</w:t>
            </w:r>
            <w:r>
              <w:rPr>
                <w:rFonts w:eastAsia="Microsoft YaHei"/>
                <w:lang w:eastAsia="en-GB"/>
              </w:rPr>
              <w:t xml:space="preserve"> place all of the configuration information into step.xlsx / </w:t>
            </w:r>
            <w:proofErr w:type="spellStart"/>
            <w:r>
              <w:rPr>
                <w:rFonts w:eastAsia="Microsoft YaHei"/>
                <w:lang w:eastAsia="en-GB"/>
              </w:rPr>
              <w:t>step.conf</w:t>
            </w:r>
            <w:proofErr w:type="spellEnd"/>
            <w:r>
              <w:rPr>
                <w:rFonts w:eastAsia="Microsoft YaHei"/>
                <w:lang w:eastAsia="en-GB"/>
              </w:rPr>
              <w:t xml:space="preserve"> if you wish.  Very often you won’t want to do this, however – you will wish to put different parts of the configuration data into different files, for example so that you can share common information among a number of texts.</w:t>
            </w:r>
          </w:p>
          <w:p w14:paraId="306F2286" w14:textId="02AE4D00" w:rsidR="002B5CB4" w:rsidRPr="00A1751E" w:rsidRDefault="002B5CB4" w:rsidP="00A1751E">
            <w:pPr>
              <w:pStyle w:val="JNormal"/>
              <w:rPr>
                <w:rFonts w:eastAsia="Microsoft YaHei"/>
                <w:lang w:eastAsia="en-GB"/>
              </w:rPr>
            </w:pPr>
            <w:r>
              <w:rPr>
                <w:rFonts w:eastAsia="Microsoft YaHei"/>
                <w:lang w:eastAsia="en-GB"/>
              </w:rPr>
              <w:t xml:space="preserve">The ‘include’ mechanism discussed in section </w:t>
            </w:r>
            <w:r>
              <w:rPr>
                <w:rFonts w:eastAsia="Microsoft YaHei"/>
                <w:lang w:eastAsia="en-GB"/>
              </w:rPr>
              <w:fldChar w:fldCharType="begin"/>
            </w:r>
            <w:r>
              <w:rPr>
                <w:rFonts w:eastAsia="Microsoft YaHei"/>
                <w:lang w:eastAsia="en-GB"/>
              </w:rPr>
              <w:instrText xml:space="preserve"> REF _Ref200356760 \r \h </w:instrText>
            </w:r>
            <w:r>
              <w:rPr>
                <w:rFonts w:eastAsia="Microsoft YaHei"/>
                <w:lang w:eastAsia="en-GB"/>
              </w:rPr>
            </w:r>
            <w:r>
              <w:rPr>
                <w:rFonts w:eastAsia="Microsoft YaHei"/>
                <w:lang w:eastAsia="en-GB"/>
              </w:rPr>
              <w:fldChar w:fldCharType="separate"/>
            </w:r>
            <w:r w:rsidR="00F4461C">
              <w:rPr>
                <w:rFonts w:eastAsia="Microsoft YaHei"/>
                <w:lang w:eastAsia="en-GB"/>
              </w:rPr>
              <w:t>4.1</w:t>
            </w:r>
            <w:r>
              <w:rPr>
                <w:rFonts w:eastAsia="Microsoft YaHei"/>
                <w:lang w:eastAsia="en-GB"/>
              </w:rPr>
              <w:fldChar w:fldCharType="end"/>
            </w:r>
            <w:r>
              <w:rPr>
                <w:rFonts w:eastAsia="Microsoft YaHei"/>
                <w:lang w:eastAsia="en-GB"/>
              </w:rPr>
              <w:t xml:space="preserve"> lets you do this – it provides a way whereby one file can point out to another.</w:t>
            </w:r>
          </w:p>
          <w:p w14:paraId="7F844DF8" w14:textId="23019475" w:rsidR="00A1751E" w:rsidRPr="00A1751E" w:rsidRDefault="00A1751E" w:rsidP="00A1751E">
            <w:pPr>
              <w:pStyle w:val="JNormal"/>
              <w:rPr>
                <w:rFonts w:eastAsia="Microsoft YaHei"/>
                <w:lang w:eastAsia="en-GB"/>
              </w:rPr>
            </w:pPr>
            <w:r w:rsidRPr="00A1751E">
              <w:rPr>
                <w:rFonts w:eastAsia="Microsoft YaHei"/>
                <w:lang w:eastAsia="en-GB"/>
              </w:rPr>
              <w:t>Having said this, no particular arrang</w:t>
            </w:r>
            <w:r w:rsidR="00A96117">
              <w:rPr>
                <w:rFonts w:eastAsia="Microsoft YaHei"/>
                <w:lang w:eastAsia="en-GB"/>
              </w:rPr>
              <w:t>e</w:t>
            </w:r>
            <w:r w:rsidRPr="00A1751E">
              <w:rPr>
                <w:rFonts w:eastAsia="Microsoft YaHei"/>
                <w:lang w:eastAsia="en-GB"/>
              </w:rPr>
              <w:t xml:space="preserve">ment is forced upon you — there is no </w:t>
            </w:r>
            <w:r w:rsidRPr="00A96117">
              <w:rPr>
                <w:rFonts w:eastAsia="Microsoft YaHei"/>
                <w:i/>
                <w:iCs/>
                <w:lang w:eastAsia="en-GB"/>
              </w:rPr>
              <w:t>requirement</w:t>
            </w:r>
            <w:r w:rsidRPr="00A1751E">
              <w:rPr>
                <w:rFonts w:eastAsia="Microsoft YaHei"/>
                <w:lang w:eastAsia="en-GB"/>
              </w:rPr>
              <w:t xml:space="preserve"> to split data in this way, and no particular significance is ascribed to any arrangement you adopt.</w:t>
            </w:r>
          </w:p>
          <w:p w14:paraId="49212844" w14:textId="77777777" w:rsidR="00A96117" w:rsidRDefault="00A96117" w:rsidP="00A96117">
            <w:pPr>
              <w:pStyle w:val="JNormal"/>
              <w:jc w:val="center"/>
              <w:rPr>
                <w:rFonts w:eastAsia="Microsoft YaHei"/>
                <w:lang w:eastAsia="en-GB"/>
              </w:rPr>
            </w:pPr>
            <w:r>
              <w:rPr>
                <w:rFonts w:eastAsia="Microsoft YaHei"/>
                <w:lang w:eastAsia="en-GB"/>
              </w:rPr>
              <w:t>*</w:t>
            </w:r>
          </w:p>
          <w:p w14:paraId="2291CF5A" w14:textId="04B60EC1" w:rsidR="00A1751E" w:rsidRDefault="002B5CB4" w:rsidP="00A1751E">
            <w:pPr>
              <w:pStyle w:val="JNormal"/>
              <w:rPr>
                <w:rFonts w:ascii="Lucida Sans" w:eastAsia="Microsoft YaHei" w:hAnsi="Lucida Sans" w:cs="Lucida Sans"/>
                <w:lang w:eastAsia="en-GB"/>
              </w:rPr>
            </w:pPr>
            <w:r>
              <w:rPr>
                <w:rFonts w:eastAsia="Microsoft YaHei"/>
                <w:lang w:eastAsia="en-GB"/>
              </w:rPr>
              <w:t>The language used to describe configuration data is made up of:</w:t>
            </w:r>
          </w:p>
          <w:p w14:paraId="0864A35E" w14:textId="724AF479" w:rsidR="00A96117" w:rsidRPr="00A96117" w:rsidRDefault="00A1751E" w:rsidP="00224644">
            <w:pPr>
              <w:pStyle w:val="JNormal"/>
              <w:numPr>
                <w:ilvl w:val="0"/>
                <w:numId w:val="56"/>
              </w:numPr>
              <w:ind w:left="357" w:hanging="357"/>
              <w:rPr>
                <w:rFonts w:ascii="Lucida Sans" w:eastAsia="Microsoft YaHei" w:hAnsi="Lucida Sans" w:cs="Lucida Sans"/>
                <w:lang w:eastAsia="en-GB"/>
              </w:rPr>
            </w:pPr>
            <w:r w:rsidRPr="00A96117">
              <w:rPr>
                <w:rFonts w:eastAsia="Microsoft YaHei"/>
                <w:lang w:eastAsia="en-GB"/>
              </w:rPr>
              <w:t xml:space="preserve">Assignment statements, </w:t>
            </w:r>
            <w:r w:rsidR="00BB4FCC">
              <w:rPr>
                <w:rFonts w:eastAsia="Microsoft YaHei"/>
                <w:lang w:eastAsia="en-GB"/>
              </w:rPr>
              <w:t>which associate</w:t>
            </w:r>
            <w:r w:rsidRPr="00A96117">
              <w:rPr>
                <w:rFonts w:eastAsia="Microsoft YaHei"/>
                <w:lang w:eastAsia="en-GB"/>
              </w:rPr>
              <w:t xml:space="preserve"> values with parameter names.</w:t>
            </w:r>
          </w:p>
          <w:p w14:paraId="2A3D9F22" w14:textId="7A3E0276" w:rsidR="00A96117" w:rsidRPr="00A96117" w:rsidRDefault="00A1751E" w:rsidP="00DD0406">
            <w:pPr>
              <w:pStyle w:val="JNormal"/>
              <w:numPr>
                <w:ilvl w:val="0"/>
                <w:numId w:val="56"/>
              </w:numPr>
              <w:ind w:left="357" w:hanging="357"/>
              <w:rPr>
                <w:rFonts w:ascii="Lucida Sans" w:eastAsia="Microsoft YaHei" w:hAnsi="Lucida Sans" w:cs="Lucida Sans"/>
                <w:lang w:eastAsia="en-GB"/>
              </w:rPr>
            </w:pPr>
            <w:r w:rsidRPr="00A96117">
              <w:rPr>
                <w:rFonts w:eastAsia="Microsoft YaHei"/>
                <w:lang w:eastAsia="en-GB"/>
              </w:rPr>
              <w:t>‘include’ statements</w:t>
            </w:r>
            <w:r w:rsidR="00BB4FCC">
              <w:rPr>
                <w:rFonts w:eastAsia="Microsoft YaHei"/>
                <w:lang w:eastAsia="en-GB"/>
              </w:rPr>
              <w:t>, which let one file include the contents of another</w:t>
            </w:r>
            <w:r w:rsidRPr="00A96117">
              <w:rPr>
                <w:rFonts w:eastAsia="Microsoft YaHei"/>
                <w:lang w:eastAsia="en-GB"/>
              </w:rPr>
              <w:t>.</w:t>
            </w:r>
          </w:p>
          <w:p w14:paraId="15244234" w14:textId="77777777" w:rsidR="00A1751E" w:rsidRPr="002B5CB4" w:rsidRDefault="00A1751E" w:rsidP="002B5CB4">
            <w:pPr>
              <w:pStyle w:val="JNormal"/>
              <w:numPr>
                <w:ilvl w:val="0"/>
                <w:numId w:val="56"/>
              </w:numPr>
              <w:spacing w:after="240"/>
              <w:ind w:left="357" w:hanging="357"/>
              <w:rPr>
                <w:rFonts w:ascii="Lucida Sans" w:eastAsia="Microsoft YaHei" w:hAnsi="Lucida Sans" w:cs="Lucida Sans"/>
                <w:lang w:eastAsia="en-GB"/>
              </w:rPr>
            </w:pPr>
            <w:r w:rsidRPr="00A96117">
              <w:rPr>
                <w:rFonts w:eastAsia="Microsoft YaHei"/>
                <w:lang w:eastAsia="en-GB"/>
              </w:rPr>
              <w:t>Comments.</w:t>
            </w:r>
          </w:p>
          <w:p w14:paraId="24915F61" w14:textId="2C7381A7" w:rsidR="002B5CB4" w:rsidRPr="00A96117" w:rsidRDefault="00BB4FCC" w:rsidP="002B5CB4">
            <w:pPr>
              <w:pStyle w:val="JNormal"/>
              <w:rPr>
                <w:rFonts w:ascii="Lucida Sans" w:eastAsia="Microsoft YaHei" w:hAnsi="Lucida Sans" w:cs="Lucida Sans"/>
                <w:lang w:eastAsia="en-GB"/>
              </w:rPr>
            </w:pPr>
            <w:r>
              <w:rPr>
                <w:rFonts w:eastAsia="Microsoft YaHei"/>
                <w:lang w:eastAsia="en-GB"/>
              </w:rPr>
              <w:t>If you create your own text files (*.conf), these are the kinds of statements you put in them.  If you use step.xlsx as the root of your configuration data, its content is used to generate statements like these.</w:t>
            </w:r>
          </w:p>
        </w:tc>
      </w:tr>
    </w:tbl>
    <w:p w14:paraId="0F31E669" w14:textId="1124E9DA" w:rsidR="00FD1968" w:rsidRPr="005555E1" w:rsidRDefault="00FD1968" w:rsidP="00D436F2">
      <w:pPr>
        <w:pStyle w:val="Heading2"/>
      </w:pPr>
      <w:bookmarkStart w:id="5" w:name="_Toc201142713"/>
      <w:r>
        <w:lastRenderedPageBreak/>
        <w:t>Comments</w:t>
      </w:r>
      <w:r w:rsidR="002B5CB4">
        <w:t xml:space="preserve"> and whitespace</w:t>
      </w:r>
      <w:bookmarkEnd w:id="5"/>
    </w:p>
    <w:tbl>
      <w:tblPr>
        <w:tblStyle w:val="TableGrid"/>
        <w:tblW w:w="0" w:type="auto"/>
        <w:shd w:val="clear" w:color="auto" w:fill="F2DBDB" w:themeFill="accent2" w:themeFillTint="33"/>
        <w:tblLook w:val="04A0" w:firstRow="1" w:lastRow="0" w:firstColumn="1" w:lastColumn="0" w:noHBand="0" w:noVBand="1"/>
      </w:tblPr>
      <w:tblGrid>
        <w:gridCol w:w="9017"/>
      </w:tblGrid>
      <w:tr w:rsidR="00FD1968" w14:paraId="2AA12C78" w14:textId="77777777" w:rsidTr="00FD1968">
        <w:tc>
          <w:tcPr>
            <w:tcW w:w="9017" w:type="dxa"/>
            <w:shd w:val="clear" w:color="auto" w:fill="F2DBDB" w:themeFill="accent2" w:themeFillTint="33"/>
          </w:tcPr>
          <w:p w14:paraId="5A8DCD86" w14:textId="20B40F0E" w:rsidR="00FD1968" w:rsidRDefault="00FD1968" w:rsidP="00C060E4">
            <w:pPr>
              <w:pStyle w:val="ListParagraph"/>
              <w:numPr>
                <w:ilvl w:val="0"/>
                <w:numId w:val="63"/>
              </w:numPr>
              <w:ind w:left="357" w:hanging="357"/>
            </w:pPr>
            <w:r>
              <w:t xml:space="preserve">Comments start with ‘#!’.  (I’d prefer to use just ‘#’, </w:t>
            </w:r>
            <w:r w:rsidR="009C3A40">
              <w:t xml:space="preserve">but </w:t>
            </w:r>
            <w:r w:rsidR="006F41F4">
              <w:t>an unfortunate decision a long time ago makes that impossible</w:t>
            </w:r>
            <w:r>
              <w:t>.</w:t>
            </w:r>
            <w:r w:rsidR="00352EBB">
              <w:t>)</w:t>
            </w:r>
          </w:p>
          <w:p w14:paraId="35DDB6FA" w14:textId="2C51546A" w:rsidR="00C060E4" w:rsidRDefault="00C060E4" w:rsidP="00C060E4">
            <w:pPr>
              <w:pStyle w:val="ListParagraph"/>
              <w:numPr>
                <w:ilvl w:val="0"/>
                <w:numId w:val="63"/>
              </w:numPr>
              <w:ind w:left="357" w:hanging="357"/>
            </w:pPr>
            <w:r>
              <w:t>They may appear on lines to themselves or at the end of other configuration directives.</w:t>
            </w:r>
          </w:p>
          <w:p w14:paraId="0D128532" w14:textId="7590AD44" w:rsidR="00FD1968" w:rsidRDefault="00C060E4" w:rsidP="00C060E4">
            <w:pPr>
              <w:pStyle w:val="ListParagraph"/>
              <w:numPr>
                <w:ilvl w:val="0"/>
                <w:numId w:val="63"/>
              </w:numPr>
              <w:ind w:left="357" w:hanging="357"/>
            </w:pPr>
            <w:r>
              <w:t>Everything from the start of the comment marker to the end of the line is ignored.</w:t>
            </w:r>
          </w:p>
          <w:p w14:paraId="14F5DC11" w14:textId="62F42862" w:rsidR="00C060E4" w:rsidRDefault="00C060E4" w:rsidP="00C060E4">
            <w:pPr>
              <w:pStyle w:val="ListParagraph"/>
              <w:numPr>
                <w:ilvl w:val="0"/>
                <w:numId w:val="63"/>
              </w:numPr>
              <w:ind w:left="357" w:hanging="357"/>
            </w:pPr>
            <w:r>
              <w:t xml:space="preserve">After </w:t>
            </w:r>
            <w:r w:rsidR="00BB4FCC">
              <w:t>removing</w:t>
            </w:r>
            <w:r>
              <w:t xml:space="preserve"> comments, leading and trailing whitespace on a line is ignored.</w:t>
            </w:r>
          </w:p>
          <w:p w14:paraId="6E78C818" w14:textId="7DCD818F" w:rsidR="00FD1968" w:rsidRDefault="00C060E4" w:rsidP="00C060E4">
            <w:pPr>
              <w:pStyle w:val="ListParagraph"/>
              <w:numPr>
                <w:ilvl w:val="0"/>
                <w:numId w:val="63"/>
              </w:numPr>
              <w:ind w:left="357" w:hanging="357"/>
            </w:pPr>
            <w:r>
              <w:t>And after doing all of this, completely blank lines are ignored.</w:t>
            </w:r>
          </w:p>
        </w:tc>
      </w:tr>
    </w:tbl>
    <w:p w14:paraId="43571318" w14:textId="0B75E98D" w:rsidR="00DC7787" w:rsidRPr="005555E1" w:rsidRDefault="005F57A9" w:rsidP="00DC7787">
      <w:pPr>
        <w:pStyle w:val="Heading2"/>
        <w:ind w:left="578" w:hanging="578"/>
      </w:pPr>
      <w:bookmarkStart w:id="6" w:name="_Toc201142714"/>
      <w:r>
        <w:t>Simple assignment statements</w:t>
      </w:r>
      <w:bookmarkEnd w:id="6"/>
    </w:p>
    <w:tbl>
      <w:tblPr>
        <w:tblStyle w:val="TableGrid"/>
        <w:tblW w:w="0" w:type="auto"/>
        <w:shd w:val="clear" w:color="auto" w:fill="F2DBDB" w:themeFill="accent2" w:themeFillTint="33"/>
        <w:tblLook w:val="04A0" w:firstRow="1" w:lastRow="0" w:firstColumn="1" w:lastColumn="0" w:noHBand="0" w:noVBand="1"/>
      </w:tblPr>
      <w:tblGrid>
        <w:gridCol w:w="9017"/>
      </w:tblGrid>
      <w:tr w:rsidR="00DC7787" w14:paraId="5601813F" w14:textId="77777777" w:rsidTr="00352EBB">
        <w:tc>
          <w:tcPr>
            <w:tcW w:w="9017" w:type="dxa"/>
            <w:shd w:val="clear" w:color="auto" w:fill="F2DBDB" w:themeFill="accent2" w:themeFillTint="33"/>
          </w:tcPr>
          <w:p w14:paraId="292C7E29" w14:textId="77777777" w:rsidR="00DC7787" w:rsidRDefault="00DC7787" w:rsidP="00DC7787">
            <w:r>
              <w:t>Assignment statements associate a given value with a parameter name.</w:t>
            </w:r>
          </w:p>
          <w:p w14:paraId="6DFAFD08" w14:textId="1E352AE6" w:rsidR="00DC7787" w:rsidRDefault="00C060E4" w:rsidP="00DC7787">
            <w:r>
              <w:t>In s</w:t>
            </w:r>
            <w:r w:rsidR="00DC7787">
              <w:t>imple assignment</w:t>
            </w:r>
            <w:r>
              <w:t xml:space="preserve"> statements, the value you assign to the parameter is </w:t>
            </w:r>
            <w:r w:rsidR="00BB4FCC">
              <w:t xml:space="preserve">a piece of </w:t>
            </w:r>
            <w:r>
              <w:t>fixed text.  Simple assignment statements</w:t>
            </w:r>
            <w:r w:rsidR="00DC7787">
              <w:t xml:space="preserve"> come in two forms:</w:t>
            </w:r>
          </w:p>
          <w:p w14:paraId="73439FBF" w14:textId="77777777" w:rsidR="00DC7787" w:rsidRDefault="00DC7787" w:rsidP="00DC7787">
            <w:r>
              <w:t xml:space="preserve">   </w:t>
            </w:r>
            <w:proofErr w:type="spellStart"/>
            <w:r w:rsidRPr="00DC7787">
              <w:rPr>
                <w:rFonts w:ascii="Courier New" w:hAnsi="Courier New" w:cs="Courier New"/>
                <w:b/>
                <w:bCs/>
                <w:sz w:val="16"/>
                <w:szCs w:val="16"/>
              </w:rPr>
              <w:t>stepSong</w:t>
            </w:r>
            <w:proofErr w:type="spellEnd"/>
            <w:r w:rsidRPr="00DC7787">
              <w:rPr>
                <w:rFonts w:ascii="Courier New" w:hAnsi="Courier New" w:cs="Courier New"/>
                <w:b/>
                <w:bCs/>
                <w:sz w:val="16"/>
                <w:szCs w:val="16"/>
              </w:rPr>
              <w:t>=Jingle bells</w:t>
            </w:r>
            <w:r>
              <w:t xml:space="preserve"> </w:t>
            </w:r>
            <w:proofErr w:type="gramStart"/>
            <w:r>
              <w:t xml:space="preserve">   (</w:t>
            </w:r>
            <w:proofErr w:type="gramEnd"/>
            <w:r>
              <w:t>vanilla assignment)</w:t>
            </w:r>
          </w:p>
          <w:p w14:paraId="04546A50" w14:textId="77777777" w:rsidR="00DC7787" w:rsidRDefault="00DC7787" w:rsidP="00DC7787">
            <w:pPr>
              <w:spacing w:after="240"/>
            </w:pPr>
            <w:r>
              <w:t xml:space="preserve">   </w:t>
            </w:r>
            <w:proofErr w:type="spellStart"/>
            <w:r w:rsidRPr="00DC7787">
              <w:rPr>
                <w:rFonts w:ascii="Courier New" w:hAnsi="Courier New" w:cs="Courier New"/>
                <w:b/>
                <w:bCs/>
                <w:sz w:val="16"/>
                <w:szCs w:val="16"/>
              </w:rPr>
              <w:t>stepSong</w:t>
            </w:r>
            <w:proofErr w:type="spellEnd"/>
            <w:r w:rsidRPr="00DC7787">
              <w:rPr>
                <w:rFonts w:ascii="Courier New" w:hAnsi="Courier New" w:cs="Courier New"/>
                <w:b/>
                <w:bCs/>
                <w:sz w:val="16"/>
                <w:szCs w:val="16"/>
              </w:rPr>
              <w:t>#=Jingle bells</w:t>
            </w:r>
            <w:proofErr w:type="gramStart"/>
            <w:r>
              <w:t xml:space="preserve">   (</w:t>
            </w:r>
            <w:proofErr w:type="gramEnd"/>
            <w:r>
              <w:t>forcible assignment)</w:t>
            </w:r>
          </w:p>
          <w:p w14:paraId="5F8F3937" w14:textId="1769272C" w:rsidR="00DC7787" w:rsidRDefault="00DC7787" w:rsidP="00DC7787">
            <w:r>
              <w:t xml:space="preserve">Both of these assign the value ‘Jingle Bells’ to the parameter </w:t>
            </w:r>
            <w:proofErr w:type="spellStart"/>
            <w:r w:rsidRPr="00DC7787">
              <w:rPr>
                <w:i/>
                <w:iCs/>
              </w:rPr>
              <w:t>stepSong</w:t>
            </w:r>
            <w:proofErr w:type="spellEnd"/>
            <w:r>
              <w:t>.  The difference (signalled by the presence of the # in the second example) lies in the way they deal with multiple assignments to the same parameter.</w:t>
            </w:r>
          </w:p>
          <w:p w14:paraId="1492D464" w14:textId="3810916F" w:rsidR="00DC7787" w:rsidRDefault="00DC7787" w:rsidP="00DC7787">
            <w:pPr>
              <w:jc w:val="center"/>
            </w:pPr>
            <w:r>
              <w:t>*</w:t>
            </w:r>
          </w:p>
          <w:p w14:paraId="5FEAB8E6" w14:textId="202635B7" w:rsidR="00DC7787" w:rsidRDefault="00DC7787" w:rsidP="00DC7787">
            <w:r>
              <w:t>After includes have been expanded out, we essentially have one large flat text file, which is processed in order from start to finish.</w:t>
            </w:r>
            <w:r w:rsidR="00BB4FCC">
              <w:t xml:space="preserve">  </w:t>
            </w:r>
            <w:r w:rsidR="004F14EA">
              <w:t xml:space="preserve">It is perfectly possible that </w:t>
            </w:r>
            <w:r w:rsidR="00BB4FCC">
              <w:t xml:space="preserve">in this expanded data </w:t>
            </w:r>
            <w:r w:rsidR="004F14EA">
              <w:t>there may</w:t>
            </w:r>
            <w:r w:rsidR="00BB4FCC">
              <w:t xml:space="preserve"> </w:t>
            </w:r>
            <w:r w:rsidR="004F14EA">
              <w:t>be multiple statements each of which assigns a value to the same parameter.</w:t>
            </w:r>
            <w:r w:rsidR="00BB4FCC">
              <w:rPr>
                <w:rStyle w:val="FootnoteReference"/>
              </w:rPr>
              <w:footnoteReference w:id="2"/>
            </w:r>
          </w:p>
          <w:p w14:paraId="6340F02E" w14:textId="6EA82FFB" w:rsidR="00DC7787" w:rsidRDefault="00DC7787" w:rsidP="00DC7787">
            <w:r>
              <w:t xml:space="preserve">If the expanded text contains a number of </w:t>
            </w:r>
            <w:r w:rsidRPr="00DC7787">
              <w:rPr>
                <w:i/>
                <w:iCs/>
              </w:rPr>
              <w:t>vanilla</w:t>
            </w:r>
            <w:r>
              <w:t xml:space="preserve"> assignments to the same parameter (and no forcible assignments), it is the </w:t>
            </w:r>
            <w:r w:rsidRPr="009C3A40">
              <w:rPr>
                <w:i/>
                <w:iCs/>
              </w:rPr>
              <w:t>last</w:t>
            </w:r>
            <w:r>
              <w:t xml:space="preserve"> one which wins – the others are ignored.</w:t>
            </w:r>
          </w:p>
          <w:p w14:paraId="50C230F8" w14:textId="2BECB94A" w:rsidR="00DC7787" w:rsidRDefault="00DC7787" w:rsidP="00DC7787">
            <w:r>
              <w:t xml:space="preserve">If the expanded text contains </w:t>
            </w:r>
            <w:r w:rsidRPr="00DC7787">
              <w:rPr>
                <w:i/>
                <w:iCs/>
              </w:rPr>
              <w:t>any</w:t>
            </w:r>
            <w:r>
              <w:t xml:space="preserve"> forcible assignments, the </w:t>
            </w:r>
            <w:r w:rsidRPr="009C3A40">
              <w:rPr>
                <w:i/>
                <w:iCs/>
              </w:rPr>
              <w:t>first</w:t>
            </w:r>
            <w:r>
              <w:t xml:space="preserve"> one to be encountered wins – it supersedes any vanilla assignments which may already have been encountered, and it prevents any </w:t>
            </w:r>
            <w:r w:rsidR="00C060E4">
              <w:t>further</w:t>
            </w:r>
            <w:r>
              <w:t xml:space="preserve"> assignments, vanilla or forcible.</w:t>
            </w:r>
          </w:p>
          <w:p w14:paraId="47DBE82A" w14:textId="5A667483" w:rsidR="00C060E4" w:rsidRDefault="00C060E4" w:rsidP="00C060E4">
            <w:pPr>
              <w:jc w:val="center"/>
            </w:pPr>
            <w:r>
              <w:t>*</w:t>
            </w:r>
          </w:p>
          <w:p w14:paraId="76AD9DAD" w14:textId="67BC744C" w:rsidR="00C060E4" w:rsidRDefault="00C060E4" w:rsidP="00DC7787">
            <w:r>
              <w:t xml:space="preserve">Most commonly, you will want to be sure that any assignments you make </w:t>
            </w:r>
            <w:r w:rsidR="00454F90">
              <w:t xml:space="preserve">yourself </w:t>
            </w:r>
            <w:r>
              <w:t>take priority over everything else.</w:t>
            </w:r>
          </w:p>
          <w:p w14:paraId="5D916FC5" w14:textId="54DBFFD1" w:rsidR="00C060E4" w:rsidRDefault="00C060E4" w:rsidP="00DC7787">
            <w:r>
              <w:t xml:space="preserve">The way to achieve this is to use forcible assignments, and to position them </w:t>
            </w:r>
            <w:r w:rsidRPr="00C060E4">
              <w:rPr>
                <w:i/>
                <w:iCs/>
              </w:rPr>
              <w:t>before</w:t>
            </w:r>
            <w:r>
              <w:t xml:space="preserve"> any include statements</w:t>
            </w:r>
            <w:r w:rsidR="0014172A">
              <w:t>, since it is always possible that included text might interfere with what you are trying to achieve.  If you use step.xlsx, this is done for you.</w:t>
            </w:r>
          </w:p>
          <w:p w14:paraId="4D3645C9" w14:textId="3970CBB2" w:rsidR="00DC7787" w:rsidRDefault="004F14EA" w:rsidP="00DC7787">
            <w:r>
              <w:t>Nonetheless</w:t>
            </w:r>
            <w:r w:rsidR="00DC7787">
              <w:t xml:space="preserve">, there may occasionally be a case for using vanilla assignments.  You might, for instance, want to set up a </w:t>
            </w:r>
            <w:r>
              <w:t xml:space="preserve">.conf </w:t>
            </w:r>
            <w:r w:rsidR="00DC7787">
              <w:t xml:space="preserve">file containing defaults of your own to be shared amongst a number of texts.  In </w:t>
            </w:r>
            <w:r w:rsidR="00DC7787">
              <w:lastRenderedPageBreak/>
              <w:t xml:space="preserve">this case, you’d set up the </w:t>
            </w:r>
            <w:r w:rsidR="009C3A40">
              <w:t>defaults</w:t>
            </w:r>
            <w:r w:rsidR="00DC7787">
              <w:t xml:space="preserve"> </w:t>
            </w:r>
            <w:r w:rsidR="009C3A40">
              <w:t>as</w:t>
            </w:r>
            <w:r w:rsidR="00DC7787">
              <w:t xml:space="preserve"> vanilla assignments, and then use forcible assignments for the overrides.</w:t>
            </w:r>
          </w:p>
          <w:p w14:paraId="5736C0AA" w14:textId="6693069F" w:rsidR="00DC7787" w:rsidRDefault="00DC7787" w:rsidP="00DC7787">
            <w:pPr>
              <w:jc w:val="center"/>
            </w:pPr>
            <w:r>
              <w:t>*</w:t>
            </w:r>
          </w:p>
          <w:p w14:paraId="6A8A189D" w14:textId="77777777" w:rsidR="00DC7787" w:rsidRDefault="00DC7787" w:rsidP="00DC7787">
            <w:pPr>
              <w:keepNext/>
            </w:pPr>
            <w:r>
              <w:t>Returning to the assignment statements above, you can also assign an empty value to a parameter (I’ll just show a forcible assignment here, but both work the same way):</w:t>
            </w:r>
          </w:p>
          <w:p w14:paraId="7A43232C" w14:textId="6FAB6334" w:rsidR="00DC7787" w:rsidRPr="00352EBB" w:rsidRDefault="00DC7787" w:rsidP="00352EBB">
            <w:pPr>
              <w:spacing w:after="240"/>
              <w:rPr>
                <w:rFonts w:ascii="Courier New" w:hAnsi="Courier New" w:cs="Courier New"/>
                <w:b/>
                <w:bCs/>
                <w:sz w:val="16"/>
                <w:szCs w:val="16"/>
              </w:rPr>
            </w:pPr>
            <w:r>
              <w:t xml:space="preserve">   </w:t>
            </w:r>
            <w:proofErr w:type="spellStart"/>
            <w:r w:rsidR="0014172A">
              <w:rPr>
                <w:rFonts w:ascii="Courier New" w:hAnsi="Courier New" w:cs="Courier New"/>
                <w:b/>
                <w:bCs/>
                <w:sz w:val="16"/>
                <w:szCs w:val="16"/>
              </w:rPr>
              <w:t>st</w:t>
            </w:r>
            <w:r w:rsidRPr="00352EBB">
              <w:rPr>
                <w:rFonts w:ascii="Courier New" w:hAnsi="Courier New" w:cs="Courier New"/>
                <w:b/>
                <w:bCs/>
                <w:sz w:val="16"/>
                <w:szCs w:val="16"/>
              </w:rPr>
              <w:t>epSong</w:t>
            </w:r>
            <w:proofErr w:type="spellEnd"/>
            <w:r w:rsidRPr="00352EBB">
              <w:rPr>
                <w:rFonts w:ascii="Courier New" w:hAnsi="Courier New" w:cs="Courier New"/>
                <w:b/>
                <w:bCs/>
                <w:sz w:val="16"/>
                <w:szCs w:val="16"/>
              </w:rPr>
              <w:t>#={empty}</w:t>
            </w:r>
          </w:p>
          <w:p w14:paraId="0355F889" w14:textId="7441628F" w:rsidR="00DC7787" w:rsidRDefault="00DC7787" w:rsidP="00DC7787">
            <w:r>
              <w:t xml:space="preserve">Note that spaces </w:t>
            </w:r>
            <w:r w:rsidR="004F14EA">
              <w:t xml:space="preserve">immediately </w:t>
            </w:r>
            <w:r>
              <w:t xml:space="preserve">after the equals sign </w:t>
            </w:r>
            <w:r w:rsidR="004F14EA">
              <w:t>and</w:t>
            </w:r>
            <w:r>
              <w:t xml:space="preserve"> at the end of the </w:t>
            </w:r>
            <w:proofErr w:type="gramStart"/>
            <w:r>
              <w:t>right hand</w:t>
            </w:r>
            <w:proofErr w:type="gramEnd"/>
            <w:r>
              <w:t xml:space="preserve"> side are ignored.  If you need a space in either of those places, specify it as </w:t>
            </w:r>
            <w:r w:rsidRPr="00921CD6">
              <w:rPr>
                <w:i/>
                <w:iCs/>
              </w:rPr>
              <w:t>{space}</w:t>
            </w:r>
            <w:r>
              <w:t>:</w:t>
            </w:r>
          </w:p>
          <w:p w14:paraId="0279F576" w14:textId="194E3124" w:rsidR="00DC7787" w:rsidRPr="00352EBB" w:rsidRDefault="00DC7787" w:rsidP="00352EBB">
            <w:pPr>
              <w:spacing w:after="240"/>
              <w:rPr>
                <w:rFonts w:ascii="Courier New" w:hAnsi="Courier New" w:cs="Courier New"/>
                <w:b/>
                <w:bCs/>
                <w:sz w:val="16"/>
                <w:szCs w:val="16"/>
              </w:rPr>
            </w:pPr>
            <w:r>
              <w:t xml:space="preserve">   </w:t>
            </w:r>
            <w:proofErr w:type="spellStart"/>
            <w:r w:rsidR="0014172A">
              <w:rPr>
                <w:rFonts w:ascii="Courier New" w:hAnsi="Courier New" w:cs="Courier New"/>
                <w:b/>
                <w:bCs/>
                <w:sz w:val="16"/>
                <w:szCs w:val="16"/>
              </w:rPr>
              <w:t>s</w:t>
            </w:r>
            <w:r w:rsidRPr="00352EBB">
              <w:rPr>
                <w:rFonts w:ascii="Courier New" w:hAnsi="Courier New" w:cs="Courier New"/>
                <w:b/>
                <w:bCs/>
                <w:sz w:val="16"/>
                <w:szCs w:val="16"/>
              </w:rPr>
              <w:t>tepSong</w:t>
            </w:r>
            <w:proofErr w:type="spellEnd"/>
            <w:r w:rsidRPr="00352EBB">
              <w:rPr>
                <w:rFonts w:ascii="Courier New" w:hAnsi="Courier New" w:cs="Courier New"/>
                <w:b/>
                <w:bCs/>
                <w:sz w:val="16"/>
                <w:szCs w:val="16"/>
              </w:rPr>
              <w:t>#={space}{space}Happy Birthday{space}{space}</w:t>
            </w:r>
          </w:p>
          <w:p w14:paraId="3D94412E" w14:textId="20537BF9" w:rsidR="00DC7787" w:rsidRDefault="00DC7787" w:rsidP="00DC7787">
            <w:r>
              <w:t>And finally, you can continue long strings across multiple lines if you wish, by ending all lines but the last with a backslash.</w:t>
            </w:r>
            <w:r w:rsidR="00921CD6">
              <w:t xml:space="preserve">  Whitespace prior to a backslash is ignored, but whitespace at the start of a continuation line is respected.</w:t>
            </w:r>
          </w:p>
          <w:p w14:paraId="7B954F2F" w14:textId="2B414D19" w:rsidR="00DC7787" w:rsidRDefault="00352EBB" w:rsidP="00352EBB">
            <w:pPr>
              <w:jc w:val="center"/>
            </w:pPr>
            <w:r>
              <w:t>*</w:t>
            </w:r>
          </w:p>
          <w:p w14:paraId="0B9B0AFF" w14:textId="0AFF38A8" w:rsidR="00DC7787" w:rsidRDefault="00DC7787" w:rsidP="00DC7787">
            <w:r>
              <w:t xml:space="preserve">The examples above all assign fixed values to parameters.  Sometimes it may be useful to construct one parameter out of a combination of other ones.  See </w:t>
            </w:r>
            <w:r w:rsidR="00352EBB">
              <w:t xml:space="preserve">section </w:t>
            </w:r>
            <w:r w:rsidR="00D436F2">
              <w:fldChar w:fldCharType="begin"/>
            </w:r>
            <w:r w:rsidR="00D436F2">
              <w:instrText xml:space="preserve"> REF _Ref200363350 \r \h </w:instrText>
            </w:r>
            <w:r w:rsidR="00D436F2">
              <w:fldChar w:fldCharType="separate"/>
            </w:r>
            <w:r w:rsidR="00F4461C">
              <w:t>4.2</w:t>
            </w:r>
            <w:r w:rsidR="00D436F2">
              <w:fldChar w:fldCharType="end"/>
            </w:r>
            <w:r w:rsidR="00352EBB">
              <w:t>.</w:t>
            </w:r>
          </w:p>
        </w:tc>
      </w:tr>
    </w:tbl>
    <w:p w14:paraId="3463D5CE" w14:textId="4F6B7D36" w:rsidR="00352EBB" w:rsidRPr="005555E1" w:rsidRDefault="00352EBB" w:rsidP="00352EBB">
      <w:pPr>
        <w:pStyle w:val="Heading2"/>
        <w:ind w:left="578" w:hanging="578"/>
      </w:pPr>
      <w:bookmarkStart w:id="7" w:name="_Toc201142715"/>
      <w:r>
        <w:lastRenderedPageBreak/>
        <w:t>Parameter naming conventions</w:t>
      </w:r>
      <w:bookmarkEnd w:id="7"/>
    </w:p>
    <w:tbl>
      <w:tblPr>
        <w:tblStyle w:val="TableGrid"/>
        <w:tblW w:w="0" w:type="auto"/>
        <w:shd w:val="clear" w:color="auto" w:fill="F2DBDB" w:themeFill="accent2" w:themeFillTint="33"/>
        <w:tblLook w:val="04A0" w:firstRow="1" w:lastRow="0" w:firstColumn="1" w:lastColumn="0" w:noHBand="0" w:noVBand="1"/>
      </w:tblPr>
      <w:tblGrid>
        <w:gridCol w:w="9017"/>
      </w:tblGrid>
      <w:tr w:rsidR="00352EBB" w14:paraId="059BBE68" w14:textId="77777777" w:rsidTr="00352EBB">
        <w:tc>
          <w:tcPr>
            <w:tcW w:w="9017" w:type="dxa"/>
            <w:shd w:val="clear" w:color="auto" w:fill="F2DBDB" w:themeFill="accent2" w:themeFillTint="33"/>
          </w:tcPr>
          <w:p w14:paraId="4BD87C17" w14:textId="6D405494" w:rsidR="0014172A" w:rsidRDefault="0014172A" w:rsidP="00B71A86">
            <w:pPr>
              <w:pStyle w:val="ListParagraph"/>
              <w:numPr>
                <w:ilvl w:val="0"/>
                <w:numId w:val="62"/>
              </w:numPr>
              <w:ind w:left="357" w:hanging="357"/>
            </w:pPr>
            <w:r>
              <w:t>Despite my best endeavours, naming is a bit of a mess.</w:t>
            </w:r>
          </w:p>
          <w:p w14:paraId="1F951B35" w14:textId="78AD44A2" w:rsidR="0014172A" w:rsidRDefault="0014172A" w:rsidP="00B71A86">
            <w:pPr>
              <w:pStyle w:val="ListParagraph"/>
              <w:numPr>
                <w:ilvl w:val="0"/>
                <w:numId w:val="62"/>
              </w:numPr>
              <w:ind w:left="357" w:hanging="357"/>
            </w:pPr>
            <w:r>
              <w:t>Most parameters have names starting with ‘step’.</w:t>
            </w:r>
          </w:p>
          <w:p w14:paraId="655CB11C" w14:textId="43C67E5F" w:rsidR="0014172A" w:rsidRDefault="0014172A" w:rsidP="00B71A86">
            <w:pPr>
              <w:pStyle w:val="ListParagraph"/>
              <w:numPr>
                <w:ilvl w:val="0"/>
                <w:numId w:val="62"/>
              </w:numPr>
              <w:ind w:left="357" w:hanging="357"/>
            </w:pPr>
            <w:r>
              <w:t>A few, which turn directly into Sword configuration parameters and are not subject to internal processing</w:t>
            </w:r>
            <w:r w:rsidR="00454F90">
              <w:t>,</w:t>
            </w:r>
            <w:r>
              <w:t xml:space="preserve"> have names starting ‘sword’.</w:t>
            </w:r>
          </w:p>
          <w:p w14:paraId="62B1BD8B" w14:textId="7F296EB5" w:rsidR="0014172A" w:rsidRDefault="0014172A" w:rsidP="0014172A">
            <w:pPr>
              <w:pStyle w:val="ListParagraph"/>
              <w:numPr>
                <w:ilvl w:val="0"/>
                <w:numId w:val="62"/>
              </w:numPr>
              <w:ind w:left="357" w:hanging="357"/>
            </w:pPr>
            <w:r>
              <w:t>Ones which are assigned fixed values internally and are never subsequently changed have names starting ‘</w:t>
            </w:r>
            <w:proofErr w:type="spellStart"/>
            <w:r>
              <w:t>const</w:t>
            </w:r>
            <w:proofErr w:type="spellEnd"/>
            <w:r>
              <w:t>’.</w:t>
            </w:r>
          </w:p>
          <w:p w14:paraId="668F6DB0" w14:textId="258C5477" w:rsidR="0014172A" w:rsidRDefault="0014172A" w:rsidP="0014172A">
            <w:pPr>
              <w:pStyle w:val="ListParagraph"/>
              <w:numPr>
                <w:ilvl w:val="0"/>
                <w:numId w:val="62"/>
              </w:numPr>
              <w:ind w:left="357" w:hanging="357"/>
            </w:pPr>
            <w:r>
              <w:t>Ones whose values are normally assigned as a result of internal calculations have names starting ‘calc’.  However, this convention may be of only limited value, because, for example, a parameter which can be calculated from the supplied metadata on DBL texts may have to be supplied by the user on non-DBL texts</w:t>
            </w:r>
            <w:r w:rsidR="00A97C5C">
              <w:t>, and I probably haven’t named these very consistently.</w:t>
            </w:r>
          </w:p>
          <w:p w14:paraId="6CD72CDA" w14:textId="653A6D59" w:rsidR="0014172A" w:rsidRDefault="0014172A" w:rsidP="0014172A">
            <w:pPr>
              <w:jc w:val="center"/>
            </w:pPr>
            <w:r>
              <w:t>*</w:t>
            </w:r>
          </w:p>
          <w:p w14:paraId="76A3D127" w14:textId="703950BA" w:rsidR="00352EBB" w:rsidRDefault="00B71A86" w:rsidP="00114F6B">
            <w:pPr>
              <w:pStyle w:val="ListParagraph"/>
              <w:numPr>
                <w:ilvl w:val="0"/>
                <w:numId w:val="62"/>
              </w:numPr>
              <w:ind w:left="357" w:hanging="357"/>
            </w:pPr>
            <w:r>
              <w:t xml:space="preserve">In general there is very little point in making up your own parameter names, because the processing is set up to make use only of parameters which it already </w:t>
            </w:r>
            <w:r w:rsidR="00A97C5C">
              <w:t>knows about</w:t>
            </w:r>
            <w:r>
              <w:t xml:space="preserve">.  Occasionally, though, you may be </w:t>
            </w:r>
            <w:r w:rsidR="0014172A">
              <w:t xml:space="preserve">assigning a complex value to something, and may </w:t>
            </w:r>
            <w:r>
              <w:t xml:space="preserve">find it useful to store intermediate values.  Give these </w:t>
            </w:r>
            <w:r w:rsidR="0014172A">
              <w:t>intermediate values name</w:t>
            </w:r>
            <w:r>
              <w:t xml:space="preserve"> starting with underscores – such names are guaranteed not to clash with anything else. </w:t>
            </w:r>
          </w:p>
        </w:tc>
      </w:tr>
    </w:tbl>
    <w:p w14:paraId="5E9DFA23" w14:textId="46BEE94A" w:rsidR="005F57A9" w:rsidRDefault="005F57A9" w:rsidP="005F57A9">
      <w:pPr>
        <w:pStyle w:val="Heading2"/>
        <w:ind w:left="578" w:hanging="578"/>
      </w:pPr>
      <w:bookmarkStart w:id="8" w:name="_Ref200359800"/>
      <w:bookmarkStart w:id="9" w:name="_Toc201142716"/>
      <w:r>
        <w:lastRenderedPageBreak/>
        <w:t>Command-line parameters</w:t>
      </w:r>
      <w:bookmarkEnd w:id="8"/>
      <w:bookmarkEnd w:id="9"/>
    </w:p>
    <w:tbl>
      <w:tblPr>
        <w:tblStyle w:val="TableGrid"/>
        <w:tblW w:w="0" w:type="auto"/>
        <w:shd w:val="clear" w:color="auto" w:fill="F2DBDB" w:themeFill="accent2" w:themeFillTint="33"/>
        <w:tblLook w:val="04A0" w:firstRow="1" w:lastRow="0" w:firstColumn="1" w:lastColumn="0" w:noHBand="0" w:noVBand="1"/>
      </w:tblPr>
      <w:tblGrid>
        <w:gridCol w:w="9017"/>
      </w:tblGrid>
      <w:tr w:rsidR="005F57A9" w14:paraId="71B098EE" w14:textId="77777777" w:rsidTr="005F57A9">
        <w:tc>
          <w:tcPr>
            <w:tcW w:w="9017" w:type="dxa"/>
            <w:shd w:val="clear" w:color="auto" w:fill="F2DBDB" w:themeFill="accent2" w:themeFillTint="33"/>
          </w:tcPr>
          <w:p w14:paraId="722DF7A5" w14:textId="1953DE40" w:rsidR="005F57A9" w:rsidRDefault="005F57A9" w:rsidP="000876D9">
            <w:pPr>
              <w:keepNext/>
            </w:pPr>
            <w:r>
              <w:t>A few configuration parameters can be – or must be – supplied on the command line</w:t>
            </w:r>
            <w:r w:rsidR="00B461FD">
              <w:t xml:space="preserve">: things like </w:t>
            </w:r>
            <w:proofErr w:type="spellStart"/>
            <w:r w:rsidRPr="000876D9">
              <w:rPr>
                <w:i/>
                <w:iCs/>
              </w:rPr>
              <w:t>rootFolder</w:t>
            </w:r>
            <w:proofErr w:type="spellEnd"/>
            <w:r>
              <w:t>, which tells the converter which text it is to process</w:t>
            </w:r>
            <w:r w:rsidR="000876D9">
              <w:t xml:space="preserve">, </w:t>
            </w:r>
            <w:proofErr w:type="spellStart"/>
            <w:r w:rsidRPr="000876D9">
              <w:rPr>
                <w:i/>
                <w:iCs/>
              </w:rPr>
              <w:t>releaseNumber</w:t>
            </w:r>
            <w:proofErr w:type="spellEnd"/>
            <w:r w:rsidR="000876D9">
              <w:rPr>
                <w:b/>
                <w:bCs/>
              </w:rPr>
              <w:t xml:space="preserve"> </w:t>
            </w:r>
            <w:r w:rsidR="000876D9">
              <w:t xml:space="preserve">and </w:t>
            </w:r>
            <w:r w:rsidRPr="000876D9">
              <w:rPr>
                <w:i/>
                <w:iCs/>
              </w:rPr>
              <w:t>history</w:t>
            </w:r>
            <w:r w:rsidR="000876D9">
              <w:t>.  (The full list is documented elsewhere, and can also be obtained by giving the parameter -help on the converter command line.)</w:t>
            </w:r>
          </w:p>
          <w:p w14:paraId="4A8BD67F" w14:textId="700B4BCE" w:rsidR="005F57A9" w:rsidRDefault="000876D9" w:rsidP="005F57A9">
            <w:r>
              <w:t xml:space="preserve">It is just possible you may want to refer to the values </w:t>
            </w:r>
            <w:r w:rsidR="00A97C5C">
              <w:t>of</w:t>
            </w:r>
            <w:r>
              <w:t xml:space="preserve"> these when assigning values to parameters (we discuss how to base one parameter upon another in section </w:t>
            </w:r>
            <w:r>
              <w:fldChar w:fldCharType="begin"/>
            </w:r>
            <w:r>
              <w:instrText xml:space="preserve"> REF _Ref200363350 \r \h </w:instrText>
            </w:r>
            <w:r>
              <w:fldChar w:fldCharType="separate"/>
            </w:r>
            <w:r w:rsidR="00F4461C">
              <w:t>4.2</w:t>
            </w:r>
            <w:r>
              <w:fldChar w:fldCharType="end"/>
            </w:r>
            <w:r>
              <w:t xml:space="preserve">).  When you do that, you need to add ‘step’ on to the name and change the capitalisation.  For example, there is a command-line parameter </w:t>
            </w:r>
            <w:proofErr w:type="spellStart"/>
            <w:r w:rsidRPr="000876D9">
              <w:rPr>
                <w:i/>
                <w:iCs/>
              </w:rPr>
              <w:t>targetAudience</w:t>
            </w:r>
            <w:proofErr w:type="spellEnd"/>
            <w:r>
              <w:t xml:space="preserve">, which says whether a given run is to produce a STEPBible-only module or a public one.  If you need to refer to this, you use the name </w:t>
            </w:r>
            <w:proofErr w:type="spellStart"/>
            <w:r w:rsidRPr="000876D9">
              <w:rPr>
                <w:i/>
                <w:iCs/>
              </w:rPr>
              <w:t>stepTargetAudience</w:t>
            </w:r>
            <w:proofErr w:type="spellEnd"/>
            <w:r>
              <w:t>.</w:t>
            </w:r>
          </w:p>
        </w:tc>
      </w:tr>
    </w:tbl>
    <w:p w14:paraId="4BD13116" w14:textId="65467CE8" w:rsidR="00921CD6" w:rsidRDefault="00921CD6" w:rsidP="00921CD6">
      <w:pPr>
        <w:pStyle w:val="Heading1"/>
      </w:pPr>
      <w:bookmarkStart w:id="10" w:name="_Toc201142717"/>
      <w:r>
        <w:lastRenderedPageBreak/>
        <w:t>Not-so-essentials</w:t>
      </w:r>
      <w:bookmarkEnd w:id="10"/>
    </w:p>
    <w:p w14:paraId="2676354C" w14:textId="77777777" w:rsidR="00921CD6" w:rsidRDefault="00921CD6" w:rsidP="00921CD6">
      <w:pPr>
        <w:pStyle w:val="Heading2"/>
        <w:spacing w:before="0"/>
        <w:ind w:left="578" w:hanging="578"/>
      </w:pPr>
      <w:bookmarkStart w:id="11" w:name="_Ref200356760"/>
      <w:bookmarkStart w:id="12" w:name="_Toc201142718"/>
      <w:r>
        <w:t>Include statements</w:t>
      </w:r>
      <w:bookmarkEnd w:id="11"/>
      <w:bookmarkEnd w:id="12"/>
    </w:p>
    <w:tbl>
      <w:tblPr>
        <w:tblStyle w:val="TableGrid"/>
        <w:tblW w:w="0" w:type="auto"/>
        <w:tblLook w:val="04A0" w:firstRow="1" w:lastRow="0" w:firstColumn="1" w:lastColumn="0" w:noHBand="0" w:noVBand="1"/>
      </w:tblPr>
      <w:tblGrid>
        <w:gridCol w:w="9017"/>
      </w:tblGrid>
      <w:tr w:rsidR="00921CD6" w14:paraId="69770CD5" w14:textId="77777777" w:rsidTr="00AE617E">
        <w:tc>
          <w:tcPr>
            <w:tcW w:w="9017" w:type="dxa"/>
            <w:shd w:val="clear" w:color="auto" w:fill="D6E3BC" w:themeFill="accent3" w:themeFillTint="66"/>
          </w:tcPr>
          <w:p w14:paraId="1FE76859" w14:textId="77777777" w:rsidR="00921CD6" w:rsidRDefault="00921CD6" w:rsidP="00AE617E">
            <w:r>
              <w:t>There are two flavours of include statement –</w:t>
            </w:r>
          </w:p>
          <w:p w14:paraId="0B9AD99B" w14:textId="77777777" w:rsidR="00921CD6" w:rsidRPr="00FD1968" w:rsidRDefault="00921CD6" w:rsidP="00AE617E">
            <w:pPr>
              <w:spacing w:after="0"/>
              <w:rPr>
                <w:rFonts w:ascii="Courier New" w:hAnsi="Courier New" w:cs="Courier New"/>
                <w:b/>
                <w:bCs/>
                <w:sz w:val="16"/>
                <w:szCs w:val="16"/>
              </w:rPr>
            </w:pPr>
            <w:r w:rsidRPr="00FD1968">
              <w:rPr>
                <w:rFonts w:ascii="Courier New" w:hAnsi="Courier New" w:cs="Courier New"/>
                <w:b/>
                <w:bCs/>
                <w:sz w:val="16"/>
                <w:szCs w:val="16"/>
              </w:rPr>
              <w:t xml:space="preserve">   $include &lt;path&gt;</w:t>
            </w:r>
          </w:p>
          <w:p w14:paraId="4E9AB66C" w14:textId="77777777" w:rsidR="00921CD6" w:rsidRPr="00FD1968" w:rsidRDefault="00921CD6" w:rsidP="00AE617E">
            <w:pPr>
              <w:rPr>
                <w:rFonts w:ascii="Courier New" w:hAnsi="Courier New" w:cs="Courier New"/>
                <w:b/>
                <w:bCs/>
                <w:sz w:val="16"/>
                <w:szCs w:val="16"/>
              </w:rPr>
            </w:pPr>
            <w:r w:rsidRPr="00FD1968">
              <w:rPr>
                <w:rFonts w:ascii="Courier New" w:hAnsi="Courier New" w:cs="Courier New"/>
                <w:b/>
                <w:bCs/>
                <w:sz w:val="16"/>
                <w:szCs w:val="16"/>
              </w:rPr>
              <w:t xml:space="preserve">   $</w:t>
            </w:r>
            <w:proofErr w:type="spellStart"/>
            <w:r w:rsidRPr="00FD1968">
              <w:rPr>
                <w:rFonts w:ascii="Courier New" w:hAnsi="Courier New" w:cs="Courier New"/>
                <w:b/>
                <w:bCs/>
                <w:sz w:val="16"/>
                <w:szCs w:val="16"/>
              </w:rPr>
              <w:t>includeIfExists</w:t>
            </w:r>
            <w:proofErr w:type="spellEnd"/>
            <w:r w:rsidRPr="00FD1968">
              <w:rPr>
                <w:rFonts w:ascii="Courier New" w:hAnsi="Courier New" w:cs="Courier New"/>
                <w:b/>
                <w:bCs/>
                <w:sz w:val="16"/>
                <w:szCs w:val="16"/>
              </w:rPr>
              <w:t xml:space="preserve"> &lt;path&gt;</w:t>
            </w:r>
          </w:p>
          <w:p w14:paraId="600309FE" w14:textId="7C14CD40" w:rsidR="00B71A86" w:rsidRDefault="00921CD6" w:rsidP="00AE617E">
            <w:r>
              <w:t>They differ only in that the former aborts processing if the file it is looking for does not exist.</w:t>
            </w:r>
          </w:p>
          <w:p w14:paraId="7CBAA1BA" w14:textId="77777777" w:rsidR="00921CD6" w:rsidRDefault="00921CD6" w:rsidP="00AE617E">
            <w:pPr>
              <w:jc w:val="center"/>
            </w:pPr>
            <w:r>
              <w:t>*</w:t>
            </w:r>
          </w:p>
          <w:p w14:paraId="1EDB6012" w14:textId="2894C796" w:rsidR="00921CD6" w:rsidRDefault="00921CD6" w:rsidP="00AE617E">
            <w:r>
              <w:t xml:space="preserve">I recommend using .conf as the extension for configuration </w:t>
            </w:r>
            <w:r w:rsidR="00B71A86">
              <w:t>text files</w:t>
            </w:r>
            <w:r>
              <w:t xml:space="preserve">, although nothing relies upon this.  Paths should be in Linux format – ie separators should be ‘/’, and you can, to a limited extent, use ‘.’ and </w:t>
            </w:r>
            <w:proofErr w:type="gramStart"/>
            <w:r>
              <w:t>‘..’  You</w:t>
            </w:r>
            <w:proofErr w:type="gramEnd"/>
            <w:r>
              <w:t xml:space="preserve"> should assume that paths are case-sensitive.</w:t>
            </w:r>
          </w:p>
          <w:p w14:paraId="067C6E8D" w14:textId="3D3C3403" w:rsidR="00B71A86" w:rsidRDefault="00B71A86" w:rsidP="00AE617E">
            <w:r>
              <w:t xml:space="preserve">Note that ‘include’ statements can </w:t>
            </w:r>
            <w:r w:rsidRPr="00B71A86">
              <w:rPr>
                <w:i/>
                <w:iCs/>
              </w:rPr>
              <w:t>only</w:t>
            </w:r>
            <w:r>
              <w:t xml:space="preserve"> be used to include text files – you can’t </w:t>
            </w:r>
            <w:r w:rsidR="00A97C5C">
              <w:t>‘</w:t>
            </w:r>
            <w:r>
              <w:t>include</w:t>
            </w:r>
            <w:r w:rsidR="00A97C5C">
              <w:t>’</w:t>
            </w:r>
            <w:r>
              <w:t xml:space="preserve"> spreadsheet files.</w:t>
            </w:r>
            <w:r w:rsidR="000876D9">
              <w:t xml:space="preserve">  (The only spreadsheet file supported is step.xlsx, and the converter looks for that one automatically, so there is no need to include it from anywhere.)</w:t>
            </w:r>
          </w:p>
          <w:p w14:paraId="5E00EB6E" w14:textId="6454CBA7" w:rsidR="00B71A86" w:rsidRDefault="00B71A86" w:rsidP="00B71A86">
            <w:pPr>
              <w:jc w:val="center"/>
            </w:pPr>
            <w:r>
              <w:t>*</w:t>
            </w:r>
          </w:p>
          <w:p w14:paraId="610163FC" w14:textId="22F0235D" w:rsidR="00921CD6" w:rsidRDefault="000876D9" w:rsidP="00AE617E">
            <w:r>
              <w:t>The file path</w:t>
            </w:r>
            <w:r w:rsidR="00921CD6">
              <w:t xml:space="preserve"> can be specified in a number of different ways:</w:t>
            </w:r>
          </w:p>
          <w:p w14:paraId="0D65A566" w14:textId="3E4A1A27" w:rsidR="00921CD6" w:rsidRDefault="00921CD6" w:rsidP="00AE617E">
            <w:pPr>
              <w:spacing w:after="0"/>
              <w:rPr>
                <w:b/>
                <w:bCs/>
              </w:rPr>
            </w:pPr>
            <w:r w:rsidRPr="00FD1968">
              <w:rPr>
                <w:b/>
                <w:bCs/>
              </w:rPr>
              <w:t>Starting with the string ‘</w:t>
            </w:r>
            <w:r w:rsidR="000876D9">
              <w:rPr>
                <w:b/>
                <w:bCs/>
                <w:color w:val="EE0000"/>
              </w:rPr>
              <w:t>@</w:t>
            </w:r>
            <w:r w:rsidRPr="00F05D65">
              <w:rPr>
                <w:b/>
                <w:bCs/>
                <w:color w:val="EE0000"/>
              </w:rPr>
              <w:t>find</w:t>
            </w:r>
            <w:r w:rsidRPr="00FD1968">
              <w:rPr>
                <w:b/>
                <w:bCs/>
              </w:rPr>
              <w:t>’ (eg $find/</w:t>
            </w:r>
            <w:proofErr w:type="spellStart"/>
            <w:r w:rsidRPr="00FD1968">
              <w:rPr>
                <w:b/>
                <w:bCs/>
              </w:rPr>
              <w:t>theFile.conf</w:t>
            </w:r>
            <w:proofErr w:type="spellEnd"/>
            <w:r w:rsidRPr="00FD1968">
              <w:rPr>
                <w:b/>
                <w:bCs/>
              </w:rPr>
              <w:t>)</w:t>
            </w:r>
            <w:r>
              <w:rPr>
                <w:b/>
                <w:bCs/>
              </w:rPr>
              <w:t>:</w:t>
            </w:r>
          </w:p>
          <w:p w14:paraId="0F86EE48" w14:textId="422FAD8D" w:rsidR="00921CD6" w:rsidRPr="00FD1968" w:rsidRDefault="00921CD6" w:rsidP="00AE617E">
            <w:pPr>
              <w:spacing w:after="240"/>
              <w:ind w:left="284"/>
              <w:rPr>
                <w:b/>
                <w:bCs/>
              </w:rPr>
            </w:pPr>
            <w:r>
              <w:t>You should always use this option unless you have very strong grounds for not doing so.  This looks for ‘</w:t>
            </w:r>
            <w:proofErr w:type="spellStart"/>
            <w:r>
              <w:t>theFile.conf</w:t>
            </w:r>
            <w:proofErr w:type="spellEnd"/>
            <w:r>
              <w:t xml:space="preserve">’ in each of the following folders, in this order: the text’s root folder; the Metadata folder; and any folders defined in the environment variable </w:t>
            </w:r>
            <w:proofErr w:type="spellStart"/>
            <w:r w:rsidRPr="00D436F2">
              <w:rPr>
                <w:i/>
                <w:iCs/>
              </w:rPr>
              <w:t>stepTextConverterParameters</w:t>
            </w:r>
            <w:proofErr w:type="spellEnd"/>
            <w:r>
              <w:t xml:space="preserve"> against </w:t>
            </w:r>
            <w:proofErr w:type="spellStart"/>
            <w:r w:rsidRPr="00D436F2">
              <w:rPr>
                <w:i/>
                <w:iCs/>
              </w:rPr>
              <w:t>stepConfigFolderPaths</w:t>
            </w:r>
            <w:proofErr w:type="spellEnd"/>
            <w:r>
              <w:t xml:space="preserve"> (see section</w:t>
            </w:r>
            <w:r w:rsidR="00D436F2">
              <w:t xml:space="preserve"> </w:t>
            </w:r>
            <w:r w:rsidR="00D436F2">
              <w:fldChar w:fldCharType="begin"/>
            </w:r>
            <w:r w:rsidR="00D436F2">
              <w:instrText xml:space="preserve"> REF _Ref200363380 \r \h </w:instrText>
            </w:r>
            <w:r w:rsidR="00D436F2">
              <w:fldChar w:fldCharType="separate"/>
            </w:r>
            <w:r w:rsidR="00F4461C">
              <w:t>4.4</w:t>
            </w:r>
            <w:r w:rsidR="00D436F2">
              <w:fldChar w:fldCharType="end"/>
            </w:r>
            <w:r>
              <w:t>).</w:t>
            </w:r>
          </w:p>
          <w:p w14:paraId="46700AC9" w14:textId="3917843F" w:rsidR="00921CD6" w:rsidRDefault="00921CD6" w:rsidP="00AE617E">
            <w:pPr>
              <w:spacing w:after="0"/>
            </w:pPr>
            <w:r w:rsidRPr="00FD1968">
              <w:rPr>
                <w:b/>
                <w:bCs/>
              </w:rPr>
              <w:t>Starting with the string ‘</w:t>
            </w:r>
            <w:r w:rsidR="000876D9">
              <w:rPr>
                <w:b/>
                <w:bCs/>
                <w:color w:val="EE0000"/>
              </w:rPr>
              <w:t>@</w:t>
            </w:r>
            <w:proofErr w:type="spellStart"/>
            <w:r w:rsidRPr="00F05D65">
              <w:rPr>
                <w:b/>
                <w:bCs/>
                <w:color w:val="EE0000"/>
              </w:rPr>
              <w:t>jarResources</w:t>
            </w:r>
            <w:proofErr w:type="spellEnd"/>
            <w:r w:rsidRPr="00FD1968">
              <w:rPr>
                <w:b/>
                <w:bCs/>
              </w:rPr>
              <w:t>’ (eg $</w:t>
            </w:r>
            <w:proofErr w:type="spellStart"/>
            <w:r w:rsidRPr="00FD1968">
              <w:rPr>
                <w:b/>
                <w:bCs/>
              </w:rPr>
              <w:t>jarResources</w:t>
            </w:r>
            <w:proofErr w:type="spellEnd"/>
            <w:r w:rsidRPr="00FD1968">
              <w:rPr>
                <w:b/>
                <w:bCs/>
              </w:rPr>
              <w:t>/</w:t>
            </w:r>
            <w:proofErr w:type="spellStart"/>
            <w:r w:rsidRPr="00FD1968">
              <w:rPr>
                <w:b/>
                <w:bCs/>
              </w:rPr>
              <w:t>theFile.conf</w:t>
            </w:r>
            <w:proofErr w:type="spellEnd"/>
            <w:r w:rsidRPr="00FD1968">
              <w:rPr>
                <w:b/>
                <w:bCs/>
              </w:rPr>
              <w:t>).</w:t>
            </w:r>
          </w:p>
          <w:p w14:paraId="535A9790" w14:textId="49A42FA8" w:rsidR="00921CD6" w:rsidRDefault="00921CD6" w:rsidP="00AE617E">
            <w:pPr>
              <w:spacing w:after="240"/>
              <w:ind w:left="284"/>
            </w:pPr>
            <w:r>
              <w:t>This is really reserved for internal use.  It says that the file resides in the Resources section of the converter JAR file.  In the normal course of events you won’t need to use this option, because these files are picked up automatically.</w:t>
            </w:r>
          </w:p>
          <w:p w14:paraId="55754148" w14:textId="3CC32D3E" w:rsidR="00921CD6" w:rsidRPr="00FD1968" w:rsidRDefault="00921CD6" w:rsidP="00AE617E">
            <w:pPr>
              <w:spacing w:after="0"/>
              <w:rPr>
                <w:b/>
                <w:bCs/>
              </w:rPr>
            </w:pPr>
            <w:r w:rsidRPr="00FD1968">
              <w:rPr>
                <w:b/>
                <w:bCs/>
              </w:rPr>
              <w:t xml:space="preserve">Starting with any absolute path (eg </w:t>
            </w:r>
            <w:proofErr w:type="spellStart"/>
            <w:r w:rsidR="00A97C5C">
              <w:rPr>
                <w:b/>
                <w:bCs/>
              </w:rPr>
              <w:t>somethingOrOther</w:t>
            </w:r>
            <w:proofErr w:type="spellEnd"/>
            <w:r w:rsidRPr="00FD1968">
              <w:rPr>
                <w:b/>
                <w:bCs/>
              </w:rPr>
              <w:t>/</w:t>
            </w:r>
            <w:proofErr w:type="spellStart"/>
            <w:r w:rsidRPr="00FD1968">
              <w:rPr>
                <w:b/>
                <w:bCs/>
              </w:rPr>
              <w:t>theFile.conf</w:t>
            </w:r>
            <w:proofErr w:type="spellEnd"/>
            <w:r w:rsidRPr="00FD1968">
              <w:rPr>
                <w:b/>
                <w:bCs/>
              </w:rPr>
              <w:t>).</w:t>
            </w:r>
          </w:p>
          <w:p w14:paraId="0E565C6C" w14:textId="56393788" w:rsidR="00921CD6" w:rsidRDefault="00921CD6" w:rsidP="00AE617E">
            <w:pPr>
              <w:spacing w:after="240"/>
              <w:ind w:left="284"/>
            </w:pPr>
            <w:r>
              <w:t xml:space="preserve">This lets you specify an absolute path.  Don’t leave this lying around in your data, because it </w:t>
            </w:r>
            <w:r w:rsidR="00F05D65">
              <w:t>make</w:t>
            </w:r>
            <w:r w:rsidR="000876D9">
              <w:t>s</w:t>
            </w:r>
            <w:r w:rsidR="00F05D65">
              <w:t xml:space="preserve"> it non-portable</w:t>
            </w:r>
            <w:r>
              <w:t>.  But you may occasionally find it useful for debugging purposes.</w:t>
            </w:r>
          </w:p>
          <w:p w14:paraId="222458FA" w14:textId="60746968" w:rsidR="00921CD6" w:rsidRDefault="00921CD6" w:rsidP="00AE617E">
            <w:r>
              <w:t xml:space="preserve">In all cases, you can add further levels below the bit in red above, so you can have eg </w:t>
            </w:r>
            <w:r w:rsidR="000876D9">
              <w:t>@</w:t>
            </w:r>
            <w:r>
              <w:t>find/FolderA/FolderB/theFile.conf.</w:t>
            </w:r>
          </w:p>
          <w:p w14:paraId="67763C12" w14:textId="3EDCBAF8" w:rsidR="00921CD6" w:rsidRDefault="00921CD6" w:rsidP="00AE617E">
            <w:r>
              <w:t xml:space="preserve">You can also assemble paths out of other configuration parameters – eg </w:t>
            </w:r>
            <w:r w:rsidR="000876D9">
              <w:t>@</w:t>
            </w:r>
            <w:r>
              <w:t xml:space="preserve">aParm/theFile_$anotherParm.conf.  See </w:t>
            </w:r>
            <w:r w:rsidR="00D436F2">
              <w:t xml:space="preserve">section </w:t>
            </w:r>
            <w:r w:rsidR="00D436F2">
              <w:fldChar w:fldCharType="begin"/>
            </w:r>
            <w:r w:rsidR="00D436F2">
              <w:instrText xml:space="preserve"> REF _Ref200363350 \r \h </w:instrText>
            </w:r>
            <w:r w:rsidR="00D436F2">
              <w:fldChar w:fldCharType="separate"/>
            </w:r>
            <w:r w:rsidR="00F4461C">
              <w:t>4.2</w:t>
            </w:r>
            <w:r w:rsidR="00D436F2">
              <w:fldChar w:fldCharType="end"/>
            </w:r>
            <w:r>
              <w:t>.</w:t>
            </w:r>
          </w:p>
          <w:p w14:paraId="3DEB62CB" w14:textId="77777777" w:rsidR="00921CD6" w:rsidRDefault="00921CD6" w:rsidP="00AE617E">
            <w:pPr>
              <w:jc w:val="center"/>
            </w:pPr>
            <w:r>
              <w:t>*</w:t>
            </w:r>
          </w:p>
          <w:p w14:paraId="0A39E0F0" w14:textId="77777777" w:rsidR="00921CD6" w:rsidRDefault="00921CD6" w:rsidP="00AE617E">
            <w:r>
              <w:t>Include statements can be nested to any reasonable depth.  Processing proceeds as though each statement were replaced by the content of the file to which it points.  The resulting flat text is then processed in order.</w:t>
            </w:r>
          </w:p>
        </w:tc>
      </w:tr>
    </w:tbl>
    <w:p w14:paraId="24247A58" w14:textId="77777777" w:rsidR="00921CD6" w:rsidRPr="00921CD6" w:rsidRDefault="00921CD6" w:rsidP="00921CD6"/>
    <w:p w14:paraId="25728842" w14:textId="2CE8375C" w:rsidR="00D436F2" w:rsidRDefault="00D436F2" w:rsidP="005F57A9">
      <w:pPr>
        <w:pStyle w:val="Heading2"/>
        <w:ind w:left="578" w:hanging="578"/>
      </w:pPr>
      <w:bookmarkStart w:id="13" w:name="_Ref200363350"/>
      <w:bookmarkStart w:id="14" w:name="_Toc201142719"/>
      <w:r>
        <w:lastRenderedPageBreak/>
        <w:t>Defining parameters in terms of one another</w:t>
      </w:r>
      <w:bookmarkEnd w:id="13"/>
      <w:bookmarkEnd w:id="14"/>
    </w:p>
    <w:tbl>
      <w:tblPr>
        <w:tblStyle w:val="TableGrid"/>
        <w:tblW w:w="0" w:type="auto"/>
        <w:shd w:val="clear" w:color="auto" w:fill="D6E3BC" w:themeFill="accent3" w:themeFillTint="66"/>
        <w:tblLook w:val="04A0" w:firstRow="1" w:lastRow="0" w:firstColumn="1" w:lastColumn="0" w:noHBand="0" w:noVBand="1"/>
      </w:tblPr>
      <w:tblGrid>
        <w:gridCol w:w="9017"/>
      </w:tblGrid>
      <w:tr w:rsidR="00D436F2" w14:paraId="6A45AB26" w14:textId="77777777" w:rsidTr="00D436F2">
        <w:tc>
          <w:tcPr>
            <w:tcW w:w="9017" w:type="dxa"/>
            <w:shd w:val="clear" w:color="auto" w:fill="D6E3BC" w:themeFill="accent3" w:themeFillTint="66"/>
          </w:tcPr>
          <w:p w14:paraId="10D4E079" w14:textId="52F114C5" w:rsidR="00D436F2" w:rsidRDefault="00D436F2" w:rsidP="00D436F2">
            <w:pPr>
              <w:keepNext/>
            </w:pPr>
            <w:r>
              <w:t>The assignment statements discussed above assign a fixed value to a parameter.  Sometimes it is convenient to build one parameter out of others.</w:t>
            </w:r>
          </w:p>
          <w:p w14:paraId="09F12F4F" w14:textId="57AC8524" w:rsidR="00D436F2" w:rsidRDefault="00D436F2" w:rsidP="00D436F2">
            <w:pPr>
              <w:keepNext/>
            </w:pPr>
            <w:r>
              <w:t>The simplest way to do this is to include something like $</w:t>
            </w:r>
            <w:proofErr w:type="spellStart"/>
            <w:r>
              <w:t>myParm</w:t>
            </w:r>
            <w:proofErr w:type="spellEnd"/>
            <w:r>
              <w:t xml:space="preserve"> on the </w:t>
            </w:r>
            <w:proofErr w:type="gramStart"/>
            <w:r>
              <w:t>right hand</w:t>
            </w:r>
            <w:proofErr w:type="gramEnd"/>
            <w:r>
              <w:t xml:space="preserve"> side of a definition.  If you have:</w:t>
            </w:r>
          </w:p>
          <w:p w14:paraId="080BC7B2" w14:textId="5EC4F212" w:rsidR="00D436F2" w:rsidRPr="00D436F2" w:rsidRDefault="00D436F2" w:rsidP="00D436F2">
            <w:pPr>
              <w:spacing w:after="0"/>
              <w:rPr>
                <w:rFonts w:ascii="Courier New" w:hAnsi="Courier New" w:cs="Courier New"/>
                <w:b/>
                <w:bCs/>
                <w:sz w:val="16"/>
                <w:szCs w:val="16"/>
              </w:rPr>
            </w:pPr>
            <w:r w:rsidRPr="00D436F2">
              <w:rPr>
                <w:rFonts w:ascii="Courier New" w:hAnsi="Courier New" w:cs="Courier New"/>
                <w:b/>
                <w:bCs/>
                <w:sz w:val="16"/>
                <w:szCs w:val="16"/>
              </w:rPr>
              <w:t xml:space="preserve">   </w:t>
            </w:r>
            <w:proofErr w:type="spellStart"/>
            <w:r w:rsidRPr="00D436F2">
              <w:rPr>
                <w:rFonts w:ascii="Courier New" w:hAnsi="Courier New" w:cs="Courier New"/>
                <w:b/>
                <w:bCs/>
                <w:sz w:val="16"/>
                <w:szCs w:val="16"/>
              </w:rPr>
              <w:t>stepName</w:t>
            </w:r>
            <w:proofErr w:type="spellEnd"/>
            <w:r w:rsidRPr="00D436F2">
              <w:rPr>
                <w:rFonts w:ascii="Courier New" w:hAnsi="Courier New" w:cs="Courier New"/>
                <w:b/>
                <w:bCs/>
                <w:sz w:val="16"/>
                <w:szCs w:val="16"/>
              </w:rPr>
              <w:t>#=Ethelred</w:t>
            </w:r>
          </w:p>
          <w:p w14:paraId="46F89B8E" w14:textId="448789C9" w:rsidR="00D436F2" w:rsidRPr="00D436F2" w:rsidRDefault="00D436F2" w:rsidP="00D436F2">
            <w:pPr>
              <w:spacing w:after="240"/>
              <w:rPr>
                <w:rFonts w:ascii="Courier New" w:hAnsi="Courier New" w:cs="Courier New"/>
                <w:b/>
                <w:bCs/>
                <w:sz w:val="16"/>
                <w:szCs w:val="16"/>
              </w:rPr>
            </w:pPr>
            <w:r w:rsidRPr="00D436F2">
              <w:rPr>
                <w:rFonts w:ascii="Courier New" w:hAnsi="Courier New" w:cs="Courier New"/>
                <w:b/>
                <w:bCs/>
                <w:sz w:val="16"/>
                <w:szCs w:val="16"/>
              </w:rPr>
              <w:t xml:space="preserve">   </w:t>
            </w:r>
            <w:proofErr w:type="spellStart"/>
            <w:r w:rsidRPr="00D436F2">
              <w:rPr>
                <w:rFonts w:ascii="Courier New" w:hAnsi="Courier New" w:cs="Courier New"/>
                <w:b/>
                <w:bCs/>
                <w:sz w:val="16"/>
                <w:szCs w:val="16"/>
              </w:rPr>
              <w:t>stepHi</w:t>
            </w:r>
            <w:proofErr w:type="spellEnd"/>
            <w:r w:rsidRPr="00D436F2">
              <w:rPr>
                <w:rFonts w:ascii="Courier New" w:hAnsi="Courier New" w:cs="Courier New"/>
                <w:b/>
                <w:bCs/>
                <w:sz w:val="16"/>
                <w:szCs w:val="16"/>
              </w:rPr>
              <w:t>#=Hi $</w:t>
            </w:r>
            <w:proofErr w:type="spellStart"/>
            <w:r w:rsidRPr="00D436F2">
              <w:rPr>
                <w:rFonts w:ascii="Courier New" w:hAnsi="Courier New" w:cs="Courier New"/>
                <w:b/>
                <w:bCs/>
                <w:sz w:val="16"/>
                <w:szCs w:val="16"/>
              </w:rPr>
              <w:t>stepName</w:t>
            </w:r>
            <w:proofErr w:type="spellEnd"/>
          </w:p>
          <w:p w14:paraId="701276E1" w14:textId="29ACDE39" w:rsidR="00D436F2" w:rsidRDefault="00D436F2" w:rsidP="00D436F2">
            <w:r>
              <w:t xml:space="preserve">the effect is to assign to </w:t>
            </w:r>
            <w:proofErr w:type="spellStart"/>
            <w:r w:rsidRPr="00D436F2">
              <w:rPr>
                <w:i/>
                <w:iCs/>
              </w:rPr>
              <w:t>stepHi</w:t>
            </w:r>
            <w:proofErr w:type="spellEnd"/>
            <w:r>
              <w:t xml:space="preserve"> the value ‘Hi Ethelred’.</w:t>
            </w:r>
          </w:p>
          <w:p w14:paraId="1603F534" w14:textId="30E2837D" w:rsidR="00D436F2" w:rsidRDefault="00D436F2" w:rsidP="00D436F2">
            <w:pPr>
              <w:jc w:val="center"/>
            </w:pPr>
            <w:r>
              <w:t>*</w:t>
            </w:r>
          </w:p>
          <w:p w14:paraId="12048657" w14:textId="77777777" w:rsidR="00D436F2" w:rsidRDefault="00D436F2" w:rsidP="00D436F2">
            <w:r>
              <w:t xml:space="preserve">You can also use </w:t>
            </w:r>
            <w:r w:rsidRPr="00D436F2">
              <w:rPr>
                <w:i/>
                <w:iCs/>
              </w:rPr>
              <w:t>$choose</w:t>
            </w:r>
            <w:r>
              <w:t xml:space="preserve"> to select the first non-blank value from a list:</w:t>
            </w:r>
          </w:p>
          <w:p w14:paraId="3E00DEA2" w14:textId="77777777" w:rsidR="00D436F2" w:rsidRPr="00D436F2" w:rsidRDefault="00D436F2" w:rsidP="00D436F2">
            <w:pPr>
              <w:spacing w:after="240"/>
              <w:rPr>
                <w:rFonts w:ascii="Courier New" w:hAnsi="Courier New" w:cs="Courier New"/>
                <w:b/>
                <w:bCs/>
                <w:sz w:val="16"/>
                <w:szCs w:val="16"/>
              </w:rPr>
            </w:pPr>
            <w:r w:rsidRPr="00D436F2">
              <w:rPr>
                <w:rFonts w:ascii="Courier New" w:hAnsi="Courier New" w:cs="Courier New"/>
                <w:b/>
                <w:bCs/>
                <w:sz w:val="16"/>
                <w:szCs w:val="16"/>
              </w:rPr>
              <w:t xml:space="preserve">   </w:t>
            </w:r>
            <w:proofErr w:type="spellStart"/>
            <w:r w:rsidRPr="00D436F2">
              <w:rPr>
                <w:rFonts w:ascii="Courier New" w:hAnsi="Courier New" w:cs="Courier New"/>
                <w:b/>
                <w:bCs/>
                <w:sz w:val="16"/>
                <w:szCs w:val="16"/>
              </w:rPr>
              <w:t>stepHi</w:t>
            </w:r>
            <w:proofErr w:type="spellEnd"/>
            <w:r w:rsidRPr="00D436F2">
              <w:rPr>
                <w:rFonts w:ascii="Courier New" w:hAnsi="Courier New" w:cs="Courier New"/>
                <w:b/>
                <w:bCs/>
                <w:sz w:val="16"/>
                <w:szCs w:val="16"/>
              </w:rPr>
              <w:t>#=Hi, $</w:t>
            </w:r>
            <w:proofErr w:type="gramStart"/>
            <w:r w:rsidRPr="00D436F2">
              <w:rPr>
                <w:rFonts w:ascii="Courier New" w:hAnsi="Courier New" w:cs="Courier New"/>
                <w:b/>
                <w:bCs/>
                <w:sz w:val="16"/>
                <w:szCs w:val="16"/>
              </w:rPr>
              <w:t>choose(</w:t>
            </w:r>
            <w:proofErr w:type="gramEnd"/>
            <w:r w:rsidRPr="00D436F2">
              <w:rPr>
                <w:rFonts w:ascii="Courier New" w:hAnsi="Courier New" w:cs="Courier New"/>
                <w:b/>
                <w:bCs/>
                <w:sz w:val="16"/>
                <w:szCs w:val="16"/>
              </w:rPr>
              <w:t>$</w:t>
            </w:r>
            <w:proofErr w:type="spellStart"/>
            <w:r w:rsidRPr="00D436F2">
              <w:rPr>
                <w:rFonts w:ascii="Courier New" w:hAnsi="Courier New" w:cs="Courier New"/>
                <w:b/>
                <w:bCs/>
                <w:sz w:val="16"/>
                <w:szCs w:val="16"/>
              </w:rPr>
              <w:t>stepFriendA</w:t>
            </w:r>
            <w:proofErr w:type="spellEnd"/>
            <w:r w:rsidRPr="00D436F2">
              <w:rPr>
                <w:rFonts w:ascii="Courier New" w:hAnsi="Courier New" w:cs="Courier New"/>
                <w:b/>
                <w:bCs/>
                <w:sz w:val="16"/>
                <w:szCs w:val="16"/>
              </w:rPr>
              <w:t>, $</w:t>
            </w:r>
            <w:proofErr w:type="spellStart"/>
            <w:r w:rsidRPr="00D436F2">
              <w:rPr>
                <w:rFonts w:ascii="Courier New" w:hAnsi="Courier New" w:cs="Courier New"/>
                <w:b/>
                <w:bCs/>
                <w:sz w:val="16"/>
                <w:szCs w:val="16"/>
              </w:rPr>
              <w:t>stepFriendB</w:t>
            </w:r>
            <w:proofErr w:type="spellEnd"/>
            <w:r w:rsidRPr="00D436F2">
              <w:rPr>
                <w:rFonts w:ascii="Courier New" w:hAnsi="Courier New" w:cs="Courier New"/>
                <w:b/>
                <w:bCs/>
                <w:sz w:val="16"/>
                <w:szCs w:val="16"/>
              </w:rPr>
              <w:t>, …)</w:t>
            </w:r>
          </w:p>
          <w:p w14:paraId="70DE101D" w14:textId="77777777" w:rsidR="00D436F2" w:rsidRDefault="00D436F2" w:rsidP="00D436F2">
            <w:r>
              <w:t xml:space="preserve">will assign to </w:t>
            </w:r>
            <w:proofErr w:type="spellStart"/>
            <w:r w:rsidRPr="00D436F2">
              <w:rPr>
                <w:i/>
                <w:iCs/>
              </w:rPr>
              <w:t>stepHi</w:t>
            </w:r>
            <w:proofErr w:type="spellEnd"/>
            <w:r>
              <w:t xml:space="preserve"> a welcome message to the first non-blank friend.</w:t>
            </w:r>
          </w:p>
          <w:p w14:paraId="02BC577B" w14:textId="77777777" w:rsidR="00D436F2" w:rsidRDefault="00D436F2" w:rsidP="00D436F2">
            <w:r>
              <w:t xml:space="preserve">And you can optionally supply a default value, which will be returned if the other arguments are all blank / </w:t>
            </w:r>
            <w:proofErr w:type="gramStart"/>
            <w:r>
              <w:t>undefined :</w:t>
            </w:r>
            <w:proofErr w:type="gramEnd"/>
          </w:p>
          <w:p w14:paraId="2C8FE1D7" w14:textId="1A96FB47" w:rsidR="00D436F2" w:rsidRPr="00D436F2" w:rsidRDefault="00D436F2" w:rsidP="00D436F2">
            <w:pPr>
              <w:spacing w:after="240"/>
              <w:rPr>
                <w:rFonts w:ascii="Courier New" w:hAnsi="Courier New" w:cs="Courier New"/>
                <w:b/>
                <w:bCs/>
                <w:sz w:val="16"/>
                <w:szCs w:val="16"/>
              </w:rPr>
            </w:pPr>
            <w:r w:rsidRPr="00D436F2">
              <w:rPr>
                <w:rFonts w:ascii="Courier New" w:hAnsi="Courier New" w:cs="Courier New"/>
                <w:b/>
                <w:bCs/>
                <w:sz w:val="16"/>
                <w:szCs w:val="16"/>
              </w:rPr>
              <w:t xml:space="preserve">  $</w:t>
            </w:r>
            <w:proofErr w:type="gramStart"/>
            <w:r w:rsidRPr="00D436F2">
              <w:rPr>
                <w:rFonts w:ascii="Courier New" w:hAnsi="Courier New" w:cs="Courier New"/>
                <w:b/>
                <w:bCs/>
                <w:sz w:val="16"/>
                <w:szCs w:val="16"/>
              </w:rPr>
              <w:t>choose(</w:t>
            </w:r>
            <w:proofErr w:type="gramEnd"/>
            <w:r w:rsidRPr="00D436F2">
              <w:rPr>
                <w:rFonts w:ascii="Courier New" w:hAnsi="Courier New" w:cs="Courier New"/>
                <w:b/>
                <w:bCs/>
                <w:sz w:val="16"/>
                <w:szCs w:val="16"/>
              </w:rPr>
              <w:t>$</w:t>
            </w:r>
            <w:proofErr w:type="spellStart"/>
            <w:r w:rsidRPr="00D436F2">
              <w:rPr>
                <w:rFonts w:ascii="Courier New" w:hAnsi="Courier New" w:cs="Courier New"/>
                <w:b/>
                <w:bCs/>
                <w:sz w:val="16"/>
                <w:szCs w:val="16"/>
              </w:rPr>
              <w:t>stepFriendA</w:t>
            </w:r>
            <w:proofErr w:type="spellEnd"/>
            <w:r w:rsidRPr="00D436F2">
              <w:rPr>
                <w:rFonts w:ascii="Courier New" w:hAnsi="Courier New" w:cs="Courier New"/>
                <w:b/>
                <w:bCs/>
                <w:sz w:val="16"/>
                <w:szCs w:val="16"/>
              </w:rPr>
              <w:t>, $</w:t>
            </w:r>
            <w:proofErr w:type="spellStart"/>
            <w:r w:rsidRPr="00D436F2">
              <w:rPr>
                <w:rFonts w:ascii="Courier New" w:hAnsi="Courier New" w:cs="Courier New"/>
                <w:b/>
                <w:bCs/>
                <w:sz w:val="16"/>
                <w:szCs w:val="16"/>
              </w:rPr>
              <w:t>stepFriendB</w:t>
            </w:r>
            <w:proofErr w:type="spellEnd"/>
            <w:r w:rsidRPr="00D436F2">
              <w:rPr>
                <w:rFonts w:ascii="Courier New" w:hAnsi="Courier New" w:cs="Courier New"/>
                <w:b/>
                <w:bCs/>
                <w:sz w:val="16"/>
                <w:szCs w:val="16"/>
              </w:rPr>
              <w:t xml:space="preserve">, </w:t>
            </w:r>
            <w:r w:rsidR="000876D9">
              <w:rPr>
                <w:rFonts w:ascii="Courier New" w:hAnsi="Courier New" w:cs="Courier New"/>
                <w:b/>
                <w:bCs/>
                <w:sz w:val="16"/>
                <w:szCs w:val="16"/>
              </w:rPr>
              <w:t>"</w:t>
            </w:r>
            <w:r w:rsidRPr="00D436F2">
              <w:rPr>
                <w:rFonts w:ascii="Courier New" w:hAnsi="Courier New" w:cs="Courier New"/>
                <w:b/>
                <w:bCs/>
                <w:sz w:val="16"/>
                <w:szCs w:val="16"/>
              </w:rPr>
              <w:t>Sob! No friends</w:t>
            </w:r>
            <w:r w:rsidR="000876D9">
              <w:rPr>
                <w:rFonts w:ascii="Courier New" w:hAnsi="Courier New" w:cs="Courier New"/>
                <w:b/>
                <w:bCs/>
                <w:sz w:val="16"/>
                <w:szCs w:val="16"/>
              </w:rPr>
              <w:t>"</w:t>
            </w:r>
            <w:r w:rsidRPr="00D436F2">
              <w:rPr>
                <w:rFonts w:ascii="Courier New" w:hAnsi="Courier New" w:cs="Courier New"/>
                <w:b/>
                <w:bCs/>
                <w:sz w:val="16"/>
                <w:szCs w:val="16"/>
              </w:rPr>
              <w:t>)</w:t>
            </w:r>
          </w:p>
          <w:p w14:paraId="407B67F7" w14:textId="25011CB1" w:rsidR="00D436F2" w:rsidRDefault="00D436F2" w:rsidP="00D436F2">
            <w:pPr>
              <w:jc w:val="center"/>
            </w:pPr>
            <w:r>
              <w:t>*</w:t>
            </w:r>
          </w:p>
          <w:p w14:paraId="005649EA" w14:textId="145F34A5" w:rsidR="000876D9" w:rsidRDefault="001E4F29" w:rsidP="00D436F2">
            <w:r>
              <w:t>$ references</w:t>
            </w:r>
            <w:r w:rsidR="00D436F2">
              <w:t xml:space="preserve"> may be nested to any depth</w:t>
            </w:r>
            <w:r w:rsidR="006E2665">
              <w:t xml:space="preserve"> – ie you can have a statement containing a $ </w:t>
            </w:r>
            <w:r>
              <w:t>reference</w:t>
            </w:r>
            <w:r w:rsidR="006E2665">
              <w:t xml:space="preserve">, which expands to another statement containing a $ </w:t>
            </w:r>
            <w:r>
              <w:t>reference</w:t>
            </w:r>
            <w:r w:rsidR="006E2665">
              <w:t>, and so on</w:t>
            </w:r>
            <w:r w:rsidR="00D436F2">
              <w:t>.</w:t>
            </w:r>
          </w:p>
          <w:p w14:paraId="5C277080" w14:textId="0EAEB121" w:rsidR="001E4F29" w:rsidRDefault="000876D9" w:rsidP="00D436F2">
            <w:r>
              <w:t>The values of parameters</w:t>
            </w:r>
            <w:r w:rsidR="00D436F2">
              <w:t xml:space="preserve"> are not evaluated until the processing actually requires them</w:t>
            </w:r>
            <w:r>
              <w:t xml:space="preserve">.  In the first example above, </w:t>
            </w:r>
            <w:proofErr w:type="spellStart"/>
            <w:r w:rsidR="001E4F29">
              <w:t>stepHi</w:t>
            </w:r>
            <w:proofErr w:type="spellEnd"/>
            <w:r w:rsidR="001E4F29">
              <w:t xml:space="preserve"> will be assigned ‘Hi Ethelred’ if </w:t>
            </w:r>
            <w:proofErr w:type="spellStart"/>
            <w:r w:rsidR="001E4F29">
              <w:t>stepName</w:t>
            </w:r>
            <w:proofErr w:type="spellEnd"/>
            <w:r w:rsidR="001E4F29">
              <w:t xml:space="preserve"> has the value Ethelred at the point </w:t>
            </w:r>
            <w:proofErr w:type="spellStart"/>
            <w:r w:rsidR="001E4F29">
              <w:t>stepHi</w:t>
            </w:r>
            <w:proofErr w:type="spellEnd"/>
            <w:r w:rsidR="001E4F29">
              <w:t xml:space="preserve"> is requested, even if </w:t>
            </w:r>
            <w:proofErr w:type="spellStart"/>
            <w:r w:rsidR="001E4F29">
              <w:t>stepName</w:t>
            </w:r>
            <w:proofErr w:type="spellEnd"/>
            <w:r w:rsidR="001E4F29">
              <w:t xml:space="preserve"> has already been assigned various different values up to that point.</w:t>
            </w:r>
          </w:p>
          <w:p w14:paraId="1CBEFDB5" w14:textId="5394BC62" w:rsidR="001E4F29" w:rsidRDefault="001E4F29" w:rsidP="00D436F2">
            <w:r>
              <w:t xml:space="preserve">Moreover, once a value has been requested, that value is permanently assigned to that parameter.  </w:t>
            </w:r>
            <w:r w:rsidR="00A97C5C">
              <w:t xml:space="preserve">After accessing </w:t>
            </w:r>
            <w:proofErr w:type="spellStart"/>
            <w:r>
              <w:t>stepHi</w:t>
            </w:r>
            <w:proofErr w:type="spellEnd"/>
            <w:r w:rsidR="00A97C5C">
              <w:t>, it</w:t>
            </w:r>
            <w:r>
              <w:t xml:space="preserve"> would continue to be ‘Hi Ethelred’ even if </w:t>
            </w:r>
            <w:proofErr w:type="spellStart"/>
            <w:r>
              <w:t>stepName</w:t>
            </w:r>
            <w:proofErr w:type="spellEnd"/>
            <w:r>
              <w:t xml:space="preserve"> were changed again subsequently.</w:t>
            </w:r>
          </w:p>
          <w:p w14:paraId="2408377E" w14:textId="144A2D8A" w:rsidR="00D436F2" w:rsidRDefault="001E4F29" w:rsidP="00D436F2">
            <w:r>
              <w:t>Note, incidentally</w:t>
            </w:r>
            <w:r w:rsidR="00D436F2">
              <w:t>,</w:t>
            </w:r>
            <w:r>
              <w:t xml:space="preserve"> that</w:t>
            </w:r>
            <w:r w:rsidR="00D436F2">
              <w:t xml:space="preserve"> </w:t>
            </w:r>
            <w:r w:rsidR="00D436F2" w:rsidRPr="00D436F2">
              <w:rPr>
                <w:i/>
                <w:iCs/>
              </w:rPr>
              <w:t>$choose</w:t>
            </w:r>
            <w:r w:rsidR="00D436F2">
              <w:t xml:space="preserve"> uses short-circuit evaluation: in the example above, if </w:t>
            </w:r>
            <w:r w:rsidR="00D436F2" w:rsidRPr="00D436F2">
              <w:rPr>
                <w:i/>
                <w:iCs/>
              </w:rPr>
              <w:t>$</w:t>
            </w:r>
            <w:proofErr w:type="spellStart"/>
            <w:r w:rsidR="00D436F2" w:rsidRPr="00D436F2">
              <w:rPr>
                <w:i/>
                <w:iCs/>
              </w:rPr>
              <w:t>stepFriendA</w:t>
            </w:r>
            <w:proofErr w:type="spellEnd"/>
            <w:r w:rsidR="00D436F2">
              <w:t xml:space="preserve"> returns a value, </w:t>
            </w:r>
            <w:r w:rsidR="00D436F2" w:rsidRPr="00D436F2">
              <w:rPr>
                <w:i/>
                <w:iCs/>
              </w:rPr>
              <w:t>$choose</w:t>
            </w:r>
            <w:r w:rsidR="00D436F2">
              <w:t xml:space="preserve"> will not evaluate </w:t>
            </w:r>
            <w:r w:rsidR="00D436F2" w:rsidRPr="00D436F2">
              <w:rPr>
                <w:i/>
                <w:iCs/>
              </w:rPr>
              <w:t>$</w:t>
            </w:r>
            <w:proofErr w:type="spellStart"/>
            <w:r w:rsidR="00D436F2" w:rsidRPr="00D436F2">
              <w:rPr>
                <w:i/>
                <w:iCs/>
              </w:rPr>
              <w:t>stepFriendB</w:t>
            </w:r>
            <w:proofErr w:type="spellEnd"/>
            <w:r w:rsidR="00D436F2">
              <w:t>.</w:t>
            </w:r>
          </w:p>
        </w:tc>
      </w:tr>
    </w:tbl>
    <w:p w14:paraId="23E44204" w14:textId="77777777" w:rsidR="00D436F2" w:rsidRPr="00D436F2" w:rsidRDefault="00D436F2" w:rsidP="00D436F2"/>
    <w:p w14:paraId="455DD513" w14:textId="68051138" w:rsidR="005F57A9" w:rsidRDefault="005F57A9" w:rsidP="005F57A9">
      <w:pPr>
        <w:pStyle w:val="Heading2"/>
        <w:ind w:left="578" w:hanging="578"/>
      </w:pPr>
      <w:bookmarkStart w:id="15" w:name="_Toc201142720"/>
      <w:r>
        <w:lastRenderedPageBreak/>
        <w:t>As-is lines</w:t>
      </w:r>
      <w:bookmarkEnd w:id="15"/>
    </w:p>
    <w:tbl>
      <w:tblPr>
        <w:tblStyle w:val="TableGrid"/>
        <w:tblW w:w="0" w:type="auto"/>
        <w:shd w:val="clear" w:color="auto" w:fill="D6E3BC" w:themeFill="accent3" w:themeFillTint="66"/>
        <w:tblLook w:val="04A0" w:firstRow="1" w:lastRow="0" w:firstColumn="1" w:lastColumn="0" w:noHBand="0" w:noVBand="1"/>
      </w:tblPr>
      <w:tblGrid>
        <w:gridCol w:w="9017"/>
      </w:tblGrid>
      <w:tr w:rsidR="005F57A9" w14:paraId="185FC3AC" w14:textId="77777777" w:rsidTr="005F57A9">
        <w:tc>
          <w:tcPr>
            <w:tcW w:w="9017" w:type="dxa"/>
            <w:shd w:val="clear" w:color="auto" w:fill="D6E3BC" w:themeFill="accent3" w:themeFillTint="66"/>
          </w:tcPr>
          <w:p w14:paraId="77EFCAFE" w14:textId="21C142AD" w:rsidR="006E2665" w:rsidRDefault="005F57A9" w:rsidP="005F57A9">
            <w:pPr>
              <w:keepNext/>
            </w:pPr>
            <w:r>
              <w:t xml:space="preserve">All of the directives discussed to date </w:t>
            </w:r>
            <w:r w:rsidR="002C3E40">
              <w:t>feed into the converter’s processing, and it is the converter which decides how they are used.</w:t>
            </w:r>
          </w:p>
          <w:p w14:paraId="34780458" w14:textId="325DC79D" w:rsidR="005F57A9" w:rsidRDefault="002C3E40" w:rsidP="002C3E40">
            <w:pPr>
              <w:keepNext/>
            </w:pPr>
            <w:r>
              <w:t xml:space="preserve">Sometimes, though, you may need to pass some information directly through to the Sword configuration file unchanged.  </w:t>
            </w:r>
            <w:r w:rsidR="005F57A9">
              <w:t>(A particular example of this arises from the need to specify what previous modules a given revised module may render obsolete.)</w:t>
            </w:r>
          </w:p>
          <w:p w14:paraId="16CDA66A" w14:textId="77777777" w:rsidR="005F57A9" w:rsidRDefault="005F57A9" w:rsidP="005F57A9">
            <w:pPr>
              <w:keepNext/>
            </w:pPr>
            <w:r>
              <w:t>For this you use:</w:t>
            </w:r>
          </w:p>
          <w:p w14:paraId="47B80C38" w14:textId="52BF8E20" w:rsidR="005F57A9" w:rsidRPr="005F57A9" w:rsidRDefault="005F57A9" w:rsidP="005F57A9">
            <w:pPr>
              <w:keepNext/>
              <w:spacing w:after="240"/>
              <w:rPr>
                <w:rFonts w:ascii="Courier New" w:hAnsi="Courier New" w:cs="Courier New"/>
                <w:b/>
                <w:bCs/>
                <w:sz w:val="16"/>
                <w:szCs w:val="16"/>
              </w:rPr>
            </w:pPr>
            <w:r>
              <w:t xml:space="preserve">   </w:t>
            </w:r>
            <w:proofErr w:type="spellStart"/>
            <w:r w:rsidRPr="005F57A9">
              <w:rPr>
                <w:rFonts w:ascii="Courier New" w:hAnsi="Courier New" w:cs="Courier New"/>
                <w:b/>
                <w:bCs/>
                <w:sz w:val="16"/>
                <w:szCs w:val="16"/>
              </w:rPr>
              <w:t>CopyAsIs</w:t>
            </w:r>
            <w:proofErr w:type="spellEnd"/>
            <w:r w:rsidRPr="005F57A9">
              <w:rPr>
                <w:rFonts w:ascii="Courier New" w:hAnsi="Courier New" w:cs="Courier New"/>
                <w:b/>
                <w:bCs/>
                <w:sz w:val="16"/>
                <w:szCs w:val="16"/>
              </w:rPr>
              <w:t>=</w:t>
            </w:r>
            <w:r w:rsidR="006E2665">
              <w:rPr>
                <w:rFonts w:ascii="Courier New" w:hAnsi="Courier New" w:cs="Courier New"/>
                <w:b/>
                <w:bCs/>
                <w:sz w:val="16"/>
                <w:szCs w:val="16"/>
              </w:rPr>
              <w:t>Some Sword config directive or other</w:t>
            </w:r>
          </w:p>
          <w:p w14:paraId="1D4C6F8A" w14:textId="3D4B8F86" w:rsidR="005F57A9" w:rsidRDefault="005F57A9" w:rsidP="005F57A9">
            <w:r>
              <w:t>You can have as many of these lines as necessary.</w:t>
            </w:r>
          </w:p>
        </w:tc>
      </w:tr>
    </w:tbl>
    <w:p w14:paraId="4523BD8E" w14:textId="4CA51061" w:rsidR="00921CD6" w:rsidRDefault="00921CD6" w:rsidP="00921CD6">
      <w:pPr>
        <w:pStyle w:val="Heading2"/>
        <w:ind w:left="578" w:hanging="578"/>
      </w:pPr>
      <w:bookmarkStart w:id="16" w:name="_Ref200363380"/>
      <w:bookmarkStart w:id="17" w:name="_Toc201142721"/>
      <w:r>
        <w:t>The text converter environment variable</w:t>
      </w:r>
      <w:bookmarkEnd w:id="16"/>
      <w:bookmarkEnd w:id="17"/>
    </w:p>
    <w:tbl>
      <w:tblPr>
        <w:tblStyle w:val="TableGrid"/>
        <w:tblW w:w="0" w:type="auto"/>
        <w:shd w:val="clear" w:color="auto" w:fill="D6E3BC" w:themeFill="accent3" w:themeFillTint="66"/>
        <w:tblLook w:val="04A0" w:firstRow="1" w:lastRow="0" w:firstColumn="1" w:lastColumn="0" w:noHBand="0" w:noVBand="1"/>
      </w:tblPr>
      <w:tblGrid>
        <w:gridCol w:w="9017"/>
      </w:tblGrid>
      <w:tr w:rsidR="00921CD6" w14:paraId="1FFB1BF1" w14:textId="77777777" w:rsidTr="00921CD6">
        <w:tc>
          <w:tcPr>
            <w:tcW w:w="9017" w:type="dxa"/>
            <w:shd w:val="clear" w:color="auto" w:fill="D6E3BC" w:themeFill="accent3" w:themeFillTint="66"/>
          </w:tcPr>
          <w:p w14:paraId="1B42FF10" w14:textId="53268DF4" w:rsidR="00921CD6" w:rsidRDefault="00921CD6" w:rsidP="00921CD6">
            <w:r>
              <w:t xml:space="preserve">You can, if you wish, set up an environment variable – </w:t>
            </w:r>
            <w:proofErr w:type="spellStart"/>
            <w:r>
              <w:t>stepTextConverterParameters</w:t>
            </w:r>
            <w:proofErr w:type="spellEnd"/>
            <w:r>
              <w:t xml:space="preserve"> – to hold configuration data, although there is no </w:t>
            </w:r>
            <w:r w:rsidRPr="00921CD6">
              <w:rPr>
                <w:i/>
                <w:iCs/>
              </w:rPr>
              <w:t>requirement</w:t>
            </w:r>
            <w:r>
              <w:t xml:space="preserve"> to do so.</w:t>
            </w:r>
          </w:p>
          <w:p w14:paraId="44C1F0A1" w14:textId="391951CE" w:rsidR="00921CD6" w:rsidRDefault="00921CD6" w:rsidP="00921CD6">
            <w:r>
              <w:t xml:space="preserve">The content of the variable is simply a standard set of assignment statements, </w:t>
            </w:r>
            <w:r w:rsidR="002C3E40">
              <w:t xml:space="preserve">as discussed above, </w:t>
            </w:r>
            <w:r>
              <w:t xml:space="preserve">separated by semicolons.  If you wish a value to </w:t>
            </w:r>
            <w:r w:rsidRPr="00921CD6">
              <w:rPr>
                <w:i/>
                <w:iCs/>
              </w:rPr>
              <w:t>contain</w:t>
            </w:r>
            <w:r>
              <w:t xml:space="preserve"> a semicolon, give it as \;</w:t>
            </w:r>
          </w:p>
          <w:p w14:paraId="503AA59C" w14:textId="77777777" w:rsidR="00921CD6" w:rsidRDefault="00921CD6" w:rsidP="00921CD6">
            <w:r>
              <w:t>You can define anything you want here, but the following are likely to be the most relevant:</w:t>
            </w:r>
          </w:p>
          <w:p w14:paraId="59E6151E" w14:textId="423BF0ED" w:rsidR="00921CD6" w:rsidRDefault="00921CD6" w:rsidP="00921CD6">
            <w:pPr>
              <w:pStyle w:val="ListParagraph"/>
              <w:numPr>
                <w:ilvl w:val="0"/>
                <w:numId w:val="58"/>
              </w:numPr>
              <w:ind w:left="357" w:hanging="357"/>
            </w:pPr>
            <w:proofErr w:type="spellStart"/>
            <w:r w:rsidRPr="00921CD6">
              <w:rPr>
                <w:b/>
                <w:bCs/>
              </w:rPr>
              <w:t>stepTextConverterOverallDataRoot</w:t>
            </w:r>
            <w:proofErr w:type="spellEnd"/>
            <w:r>
              <w:t>: The -</w:t>
            </w:r>
            <w:proofErr w:type="spellStart"/>
            <w:r>
              <w:t>rootFolder</w:t>
            </w:r>
            <w:proofErr w:type="spellEnd"/>
            <w:r>
              <w:t xml:space="preserve"> parameter you give on the command line </w:t>
            </w:r>
            <w:r w:rsidR="002C3E40">
              <w:t xml:space="preserve">to say which text to process </w:t>
            </w:r>
            <w:r>
              <w:t xml:space="preserve">can give either an absolute path or a relative one.  Relative paths are taken as being relative to the value of </w:t>
            </w:r>
            <w:proofErr w:type="spellStart"/>
            <w:r w:rsidRPr="00921CD6">
              <w:rPr>
                <w:b/>
                <w:bCs/>
              </w:rPr>
              <w:t>stepTextConverterOverallDataRoot</w:t>
            </w:r>
            <w:proofErr w:type="spellEnd"/>
            <w:r>
              <w:t xml:space="preserve">.  Using this setting may make it easier to move data </w:t>
            </w:r>
            <w:proofErr w:type="spellStart"/>
            <w:r>
              <w:t>en</w:t>
            </w:r>
            <w:proofErr w:type="spellEnd"/>
            <w:r>
              <w:t xml:space="preserve"> masse</w:t>
            </w:r>
            <w:r w:rsidR="006025A8">
              <w:t xml:space="preserve"> – if you move your texts, you need only change the setting to point to the new location, and the existing command lines need not change.</w:t>
            </w:r>
          </w:p>
          <w:p w14:paraId="7B0C295A" w14:textId="0FBB6405" w:rsidR="006025A8" w:rsidRDefault="00921CD6" w:rsidP="001F6715">
            <w:pPr>
              <w:pStyle w:val="ListParagraph"/>
              <w:numPr>
                <w:ilvl w:val="0"/>
                <w:numId w:val="58"/>
              </w:numPr>
              <w:ind w:left="357" w:hanging="357"/>
            </w:pPr>
            <w:r w:rsidRPr="006025A8">
              <w:rPr>
                <w:b/>
                <w:bCs/>
              </w:rPr>
              <w:t>stepOsis2ModFilePath</w:t>
            </w:r>
            <w:r>
              <w:t>: The path to the osis2mod executable.</w:t>
            </w:r>
            <w:r w:rsidR="006025A8">
              <w:t xml:space="preserve">  You have to supply this </w:t>
            </w:r>
            <w:r w:rsidR="006025A8" w:rsidRPr="006025A8">
              <w:rPr>
                <w:i/>
                <w:iCs/>
              </w:rPr>
              <w:t>somewhere</w:t>
            </w:r>
            <w:r w:rsidR="006025A8">
              <w:t xml:space="preserve">; putting it into the environment variable is probably as good a </w:t>
            </w:r>
            <w:r w:rsidR="006E2665">
              <w:t>place</w:t>
            </w:r>
            <w:r w:rsidR="006025A8">
              <w:t xml:space="preserve"> as any.</w:t>
            </w:r>
          </w:p>
          <w:p w14:paraId="0BDC5D7C" w14:textId="78FB76F0" w:rsidR="00921CD6" w:rsidRDefault="00921CD6" w:rsidP="00921CD6">
            <w:pPr>
              <w:pStyle w:val="ListParagraph"/>
              <w:numPr>
                <w:ilvl w:val="0"/>
                <w:numId w:val="58"/>
              </w:numPr>
              <w:ind w:left="357" w:hanging="357"/>
            </w:pPr>
            <w:proofErr w:type="spellStart"/>
            <w:r w:rsidRPr="006025A8">
              <w:rPr>
                <w:b/>
                <w:bCs/>
              </w:rPr>
              <w:t>stepConfigFolderPaths</w:t>
            </w:r>
            <w:proofErr w:type="spellEnd"/>
            <w:r>
              <w:t xml:space="preserve">: A comma-separated list of paths to folders which may hold shared configuration information.  When trying to resolve </w:t>
            </w:r>
            <w:r w:rsidR="002C3E40">
              <w:t>@</w:t>
            </w:r>
            <w:r>
              <w:t>find on include statements, these folders are examined in order, looking for the target file.</w:t>
            </w:r>
          </w:p>
        </w:tc>
      </w:tr>
    </w:tbl>
    <w:p w14:paraId="7937D673" w14:textId="2479F134" w:rsidR="006025A8" w:rsidRDefault="006025A8" w:rsidP="006025A8">
      <w:pPr>
        <w:pStyle w:val="Heading2"/>
        <w:ind w:left="578" w:hanging="578"/>
      </w:pPr>
      <w:bookmarkStart w:id="18" w:name="_Ref200363640"/>
      <w:bookmarkStart w:id="19" w:name="_Toc201142722"/>
      <w:r>
        <w:t>Externally-supplied configuration data</w:t>
      </w:r>
      <w:bookmarkEnd w:id="18"/>
      <w:bookmarkEnd w:id="19"/>
    </w:p>
    <w:tbl>
      <w:tblPr>
        <w:tblStyle w:val="TableGrid"/>
        <w:tblW w:w="0" w:type="auto"/>
        <w:shd w:val="clear" w:color="auto" w:fill="D6E3BC" w:themeFill="accent3" w:themeFillTint="66"/>
        <w:tblLook w:val="04A0" w:firstRow="1" w:lastRow="0" w:firstColumn="1" w:lastColumn="0" w:noHBand="0" w:noVBand="1"/>
      </w:tblPr>
      <w:tblGrid>
        <w:gridCol w:w="9017"/>
      </w:tblGrid>
      <w:tr w:rsidR="006025A8" w14:paraId="23C8A07F" w14:textId="77777777" w:rsidTr="006025A8">
        <w:tc>
          <w:tcPr>
            <w:tcW w:w="9017" w:type="dxa"/>
            <w:shd w:val="clear" w:color="auto" w:fill="D6E3BC" w:themeFill="accent3" w:themeFillTint="66"/>
          </w:tcPr>
          <w:p w14:paraId="44F41698" w14:textId="77777777" w:rsidR="006025A8" w:rsidRDefault="006025A8" w:rsidP="006025A8">
            <w:r>
              <w:t>There are some text repositories which we deal with very commonly – notably DBL at the time of writing.</w:t>
            </w:r>
          </w:p>
          <w:p w14:paraId="02F21251" w14:textId="0B805C8A" w:rsidR="006025A8" w:rsidRDefault="006025A8" w:rsidP="006025A8">
            <w:r>
              <w:t xml:space="preserve">For DBL (and currently </w:t>
            </w:r>
            <w:r w:rsidRPr="006025A8">
              <w:rPr>
                <w:i/>
                <w:iCs/>
              </w:rPr>
              <w:t>only</w:t>
            </w:r>
            <w:r>
              <w:t xml:space="preserve"> for DBL) we have processing which – at least in theory – can take configuration and licensing information for the metadata and licence files which they supply.  This means you may not have to fill in all of the data </w:t>
            </w:r>
            <w:r w:rsidR="002C3E40">
              <w:t>which would be required for non-DBL texts.</w:t>
            </w:r>
          </w:p>
          <w:p w14:paraId="5CBD300E" w14:textId="62FAE04E" w:rsidR="00324C2B" w:rsidRDefault="00324C2B" w:rsidP="006025A8">
            <w:r>
              <w:t xml:space="preserve">For these, you simply indicate that this is indeed a DBL text, which you do by setting </w:t>
            </w:r>
            <w:proofErr w:type="spellStart"/>
            <w:r w:rsidRPr="00324C2B">
              <w:t>stepExternalDataFormat</w:t>
            </w:r>
            <w:proofErr w:type="spellEnd"/>
            <w:r>
              <w:t xml:space="preserve"> to DBL; and you ensure that metadata.xml and license.xml are placed in the Metadata folder.</w:t>
            </w:r>
          </w:p>
          <w:p w14:paraId="155C71BD" w14:textId="6C20C3AA" w:rsidR="006025A8" w:rsidRDefault="00324C2B" w:rsidP="00324C2B">
            <w:pPr>
              <w:keepNext/>
            </w:pPr>
            <w:r>
              <w:lastRenderedPageBreak/>
              <w:t>A few caveats though:</w:t>
            </w:r>
          </w:p>
          <w:p w14:paraId="1684111E" w14:textId="7C500D72" w:rsidR="006025A8" w:rsidRDefault="00324C2B" w:rsidP="00324C2B">
            <w:pPr>
              <w:pStyle w:val="ListParagraph"/>
              <w:numPr>
                <w:ilvl w:val="0"/>
                <w:numId w:val="64"/>
              </w:numPr>
              <w:ind w:left="357" w:hanging="357"/>
            </w:pPr>
            <w:r>
              <w:t>In quite a number of cases we have chosen to override the values available in the DBL metadata.</w:t>
            </w:r>
          </w:p>
          <w:p w14:paraId="5147B04E" w14:textId="5E7A53D6" w:rsidR="00324C2B" w:rsidRDefault="00324C2B" w:rsidP="00324C2B">
            <w:pPr>
              <w:pStyle w:val="ListParagraph"/>
              <w:numPr>
                <w:ilvl w:val="0"/>
                <w:numId w:val="64"/>
              </w:numPr>
              <w:ind w:left="357" w:hanging="357"/>
            </w:pPr>
            <w:r>
              <w:t>The supplied metadata tends not to be used in a very consistent manner.  It is probably a good idea to check the results of any run which depends upon supplied metadata.</w:t>
            </w:r>
          </w:p>
          <w:p w14:paraId="256B632E" w14:textId="6F1742CA" w:rsidR="006025A8" w:rsidRDefault="00324C2B" w:rsidP="00324C2B">
            <w:r>
              <w:t xml:space="preserve">You may occasionally want to check to see which metadata fields are being accessed in order to furnish the various configuration parameters.  </w:t>
            </w:r>
            <w:r w:rsidR="006025A8">
              <w:t xml:space="preserve">The file </w:t>
            </w:r>
            <w:proofErr w:type="spellStart"/>
            <w:r w:rsidR="006025A8">
              <w:t>PerTextRepositoryOrganisation</w:t>
            </w:r>
            <w:proofErr w:type="spellEnd"/>
            <w:r w:rsidR="006025A8">
              <w:t xml:space="preserve"> / </w:t>
            </w:r>
            <w:proofErr w:type="spellStart"/>
            <w:r w:rsidR="006025A8">
              <w:t>Dbl.conf</w:t>
            </w:r>
            <w:proofErr w:type="spellEnd"/>
            <w:r w:rsidR="006025A8">
              <w:t xml:space="preserve"> in the Resources section of the JAR file gives details.</w:t>
            </w:r>
            <w:r w:rsidR="009E7B29">
              <w:t xml:space="preserve">  This relies upon another $-function ($</w:t>
            </w:r>
            <w:proofErr w:type="spellStart"/>
            <w:r w:rsidR="009E7B29">
              <w:t>getExternalXml</w:t>
            </w:r>
            <w:proofErr w:type="spellEnd"/>
            <w:r w:rsidR="009E7B29">
              <w:t>) to extract data from the supplied XML files.</w:t>
            </w:r>
          </w:p>
        </w:tc>
      </w:tr>
    </w:tbl>
    <w:p w14:paraId="09537354" w14:textId="769B93BE" w:rsidR="007404F8" w:rsidRDefault="007404F8" w:rsidP="007404F8">
      <w:pPr>
        <w:pStyle w:val="Heading2"/>
        <w:ind w:left="578" w:hanging="578"/>
      </w:pPr>
      <w:bookmarkStart w:id="20" w:name="_Toc201142723"/>
      <w:r>
        <w:lastRenderedPageBreak/>
        <w:t>Special cases and caveats</w:t>
      </w:r>
      <w:bookmarkEnd w:id="20"/>
    </w:p>
    <w:tbl>
      <w:tblPr>
        <w:tblStyle w:val="TableGrid"/>
        <w:tblW w:w="0" w:type="auto"/>
        <w:shd w:val="clear" w:color="auto" w:fill="D6E3BC" w:themeFill="accent3" w:themeFillTint="66"/>
        <w:tblLook w:val="04A0" w:firstRow="1" w:lastRow="0" w:firstColumn="1" w:lastColumn="0" w:noHBand="0" w:noVBand="1"/>
      </w:tblPr>
      <w:tblGrid>
        <w:gridCol w:w="9017"/>
      </w:tblGrid>
      <w:tr w:rsidR="007404F8" w14:paraId="45EF42EC" w14:textId="77777777" w:rsidTr="007404F8">
        <w:tc>
          <w:tcPr>
            <w:tcW w:w="9017" w:type="dxa"/>
            <w:shd w:val="clear" w:color="auto" w:fill="D6E3BC" w:themeFill="accent3" w:themeFillTint="66"/>
          </w:tcPr>
          <w:p w14:paraId="3609E610" w14:textId="6DF316FA" w:rsidR="007404F8" w:rsidRDefault="007404F8" w:rsidP="007404F8">
            <w:r>
              <w:t>When you reference another parameter using $</w:t>
            </w:r>
            <w:proofErr w:type="spellStart"/>
            <w:r>
              <w:t>myVar</w:t>
            </w:r>
            <w:proofErr w:type="spellEnd"/>
            <w:r>
              <w:t xml:space="preserve"> as described above, the name of the parameter is taken as all of the ‘word’ characters (letters, numbers, digits and underscores) </w:t>
            </w:r>
            <w:r w:rsidR="00324C2B">
              <w:t xml:space="preserve">from the $ </w:t>
            </w:r>
            <w:r>
              <w:t xml:space="preserve">up </w:t>
            </w:r>
            <w:r w:rsidR="00324C2B">
              <w:t>to</w:t>
            </w:r>
            <w:r>
              <w:t xml:space="preserve"> the first non-word character.</w:t>
            </w:r>
          </w:p>
          <w:p w14:paraId="34CBD512" w14:textId="1523F6D2" w:rsidR="007404F8" w:rsidRDefault="007404F8" w:rsidP="007404F8">
            <w:r>
              <w:t xml:space="preserve">Sometimes this does not quite work.  Suppose you have a variable </w:t>
            </w:r>
            <w:r w:rsidRPr="007404F8">
              <w:rPr>
                <w:i/>
                <w:iCs/>
              </w:rPr>
              <w:t>abbrev</w:t>
            </w:r>
            <w:r>
              <w:t xml:space="preserve"> which can have the values Sun, Mon or Tues, and you want to use this to generate Sunday, Monday or Tuesday.  The obvious approach would seem to be to use $</w:t>
            </w:r>
            <w:proofErr w:type="spellStart"/>
            <w:r>
              <w:t>abbrevday</w:t>
            </w:r>
            <w:proofErr w:type="spellEnd"/>
            <w:r>
              <w:t xml:space="preserve">, but that won’t work, because </w:t>
            </w:r>
            <w:proofErr w:type="spellStart"/>
            <w:r>
              <w:t>abbrevday</w:t>
            </w:r>
            <w:proofErr w:type="spellEnd"/>
            <w:r>
              <w:t xml:space="preserve"> will be taken as a parameter name.  You need some way of marking the end of the actual name.  To achieve this, end the variable name with a double dollar sign – $abbrev$$day.  (This is needed only in cases like this, although there is no harm in using it even where it is not needed.)</w:t>
            </w:r>
          </w:p>
          <w:p w14:paraId="1881432C" w14:textId="1FC080C7" w:rsidR="007404F8" w:rsidRDefault="007404F8" w:rsidP="007404F8">
            <w:r>
              <w:t>There are also a couple of caveats to be taken into account:</w:t>
            </w:r>
          </w:p>
          <w:p w14:paraId="6954179C" w14:textId="55601864" w:rsidR="007404F8" w:rsidRDefault="007404F8" w:rsidP="00021773">
            <w:pPr>
              <w:pStyle w:val="ListParagraph"/>
              <w:numPr>
                <w:ilvl w:val="0"/>
                <w:numId w:val="59"/>
              </w:numPr>
              <w:ind w:left="357" w:hanging="357"/>
            </w:pPr>
            <w:r>
              <w:t>Any printer’s curly double quotes you may include in the configuration data are converted to straight quotes</w:t>
            </w:r>
            <w:r w:rsidR="009E7B29">
              <w:t xml:space="preserve"> (ie there is no point in using printer’s double quotes and hoping they will end up in the output: they won’t)</w:t>
            </w:r>
            <w:r>
              <w:t>.</w:t>
            </w:r>
          </w:p>
          <w:p w14:paraId="4CD5ECEE" w14:textId="3A63EC60" w:rsidR="007404F8" w:rsidRDefault="007404F8" w:rsidP="007404F8">
            <w:pPr>
              <w:pStyle w:val="ListParagraph"/>
              <w:numPr>
                <w:ilvl w:val="0"/>
                <w:numId w:val="59"/>
              </w:numPr>
              <w:ind w:left="357" w:hanging="357"/>
            </w:pPr>
            <w:r>
              <w:t>You can’t have standalone $-signs within any text values</w:t>
            </w:r>
            <w:r w:rsidR="009E7B29">
              <w:t xml:space="preserve"> (or you </w:t>
            </w:r>
            <w:r w:rsidR="009E7B29" w:rsidRPr="009E7B29">
              <w:rPr>
                <w:i/>
                <w:iCs/>
              </w:rPr>
              <w:t>probably</w:t>
            </w:r>
            <w:r w:rsidR="009E7B29">
              <w:t xml:space="preserve"> can’t – I haven’t checked this)</w:t>
            </w:r>
            <w:r>
              <w:t>.  $-signs are always taken as signifying that we have a parameter which needs to have some kind of processing applied to it.</w:t>
            </w:r>
          </w:p>
        </w:tc>
      </w:tr>
    </w:tbl>
    <w:p w14:paraId="41B9D8E1" w14:textId="77777777" w:rsidR="005F57A9" w:rsidRPr="005F57A9" w:rsidRDefault="005F57A9" w:rsidP="005F57A9"/>
    <w:p w14:paraId="0748DFA5" w14:textId="01985D33" w:rsidR="005555E1" w:rsidRDefault="00654A83" w:rsidP="00654A83">
      <w:pPr>
        <w:pStyle w:val="Heading1"/>
      </w:pPr>
      <w:bookmarkStart w:id="21" w:name="_Toc201142724"/>
      <w:r>
        <w:lastRenderedPageBreak/>
        <w:t>Built-in configuration</w:t>
      </w:r>
      <w:bookmarkEnd w:id="21"/>
    </w:p>
    <w:p w14:paraId="16A2B6DA" w14:textId="52A3CD3D" w:rsidR="00654A83" w:rsidRDefault="00654A83" w:rsidP="00654A83">
      <w:pPr>
        <w:pStyle w:val="Heading2"/>
        <w:spacing w:before="0"/>
        <w:ind w:left="578" w:hanging="578"/>
      </w:pPr>
      <w:bookmarkStart w:id="22" w:name="_Toc201142725"/>
      <w:r>
        <w:t>Overview</w:t>
      </w:r>
      <w:bookmarkEnd w:id="22"/>
    </w:p>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527CD5CC" w14:textId="77777777" w:rsidTr="00F20B11">
        <w:tc>
          <w:tcPr>
            <w:tcW w:w="9017" w:type="dxa"/>
            <w:shd w:val="clear" w:color="auto" w:fill="D6E3BC" w:themeFill="accent3" w:themeFillTint="66"/>
          </w:tcPr>
          <w:p w14:paraId="24894548" w14:textId="6444B8FB" w:rsidR="00F20B11" w:rsidRDefault="00F20B11" w:rsidP="00F20B11">
            <w:r>
              <w:t>The converter is very highly configurable.  Much of the configuration data is given over to default settings which you will hardly, if ever, need to change, and this information resides in files stored in the Resources section of the converter JAR file.</w:t>
            </w:r>
          </w:p>
          <w:p w14:paraId="74FF6712" w14:textId="7C0C9C7C" w:rsidR="00F20B11" w:rsidRDefault="00F20B11" w:rsidP="00F20B11">
            <w:r>
              <w:t xml:space="preserve">Just occasionally, you may need to override </w:t>
            </w:r>
            <w:r w:rsidR="009E7B29">
              <w:t xml:space="preserve">one or two </w:t>
            </w:r>
            <w:proofErr w:type="spellStart"/>
            <w:r w:rsidR="009E7B29">
              <w:t>deefinitions</w:t>
            </w:r>
            <w:proofErr w:type="spellEnd"/>
            <w:r>
              <w:t>, however, so it may be useful to know what i</w:t>
            </w:r>
            <w:r w:rsidR="00324C2B">
              <w:t>s</w:t>
            </w:r>
            <w:r>
              <w:t xml:space="preserve"> where.  </w:t>
            </w:r>
            <w:r w:rsidR="00324C2B">
              <w:t>The various files are listed below.  Most contain extensive head-of-file documentation.</w:t>
            </w:r>
          </w:p>
          <w:p w14:paraId="25809FBD" w14:textId="48A6000D" w:rsidR="00F20B11" w:rsidRDefault="00F20B11" w:rsidP="00F20B11">
            <w:r>
              <w:t xml:space="preserve">Files with names ending .conf are in our proprietary configuration format.  Files ending </w:t>
            </w:r>
            <w:proofErr w:type="gramStart"/>
            <w:r>
              <w:t>in .</w:t>
            </w:r>
            <w:proofErr w:type="spellStart"/>
            <w:r>
              <w:t>tsv</w:t>
            </w:r>
            <w:proofErr w:type="spellEnd"/>
            <w:proofErr w:type="gramEnd"/>
            <w:r>
              <w:t xml:space="preserve"> are tab-separated variable</w:t>
            </w:r>
            <w:r w:rsidR="009E7B29">
              <w:t xml:space="preserve"> format</w:t>
            </w:r>
            <w:r>
              <w:t>.  Files ending .txt are plain text.</w:t>
            </w:r>
          </w:p>
        </w:tc>
      </w:tr>
    </w:tbl>
    <w:p w14:paraId="44326A46" w14:textId="2BEA96DA" w:rsidR="00F20B11" w:rsidRDefault="00F20B11" w:rsidP="00F20B11">
      <w:pPr>
        <w:pStyle w:val="Heading2"/>
      </w:pPr>
      <w:bookmarkStart w:id="23" w:name="_Toc201142726"/>
      <w:r>
        <w:t>Detail</w:t>
      </w:r>
      <w:bookmarkEnd w:id="23"/>
    </w:p>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293CB417" w14:textId="77777777" w:rsidTr="00F20B11">
        <w:tc>
          <w:tcPr>
            <w:tcW w:w="9017" w:type="dxa"/>
            <w:shd w:val="clear" w:color="auto" w:fill="D6E3BC" w:themeFill="accent3" w:themeFillTint="66"/>
          </w:tcPr>
          <w:p w14:paraId="4B21781A" w14:textId="4505216F" w:rsidR="00F20B11" w:rsidRPr="00F20B11" w:rsidRDefault="00F20B11" w:rsidP="00F20B11">
            <w:pPr>
              <w:rPr>
                <w:b/>
                <w:bCs/>
              </w:rPr>
            </w:pPr>
            <w:proofErr w:type="spellStart"/>
            <w:r w:rsidRPr="00F20B11">
              <w:rPr>
                <w:b/>
                <w:bCs/>
              </w:rPr>
              <w:t>PerTextRepositoryOrganisation</w:t>
            </w:r>
            <w:proofErr w:type="spellEnd"/>
            <w:r w:rsidRPr="00F20B11">
              <w:rPr>
                <w:b/>
                <w:bCs/>
              </w:rPr>
              <w:t xml:space="preserve"> / </w:t>
            </w:r>
            <w:proofErr w:type="spellStart"/>
            <w:r w:rsidRPr="00F20B11">
              <w:rPr>
                <w:b/>
                <w:bCs/>
              </w:rPr>
              <w:t>Dbl.conf</w:t>
            </w:r>
            <w:proofErr w:type="spellEnd"/>
          </w:p>
          <w:p w14:paraId="031073F2" w14:textId="0FB5C3B4" w:rsidR="00F20B11" w:rsidRDefault="00F20B11" w:rsidP="00F20B11">
            <w:r w:rsidRPr="00F20B11">
              <w:t>Information which describes how to extract configuration data from the DBL metadata and licence files.</w:t>
            </w:r>
          </w:p>
        </w:tc>
      </w:tr>
    </w:tbl>
    <w:p w14:paraId="5237C275"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3F30BA14" w14:textId="77777777" w:rsidTr="00AE617E">
        <w:tc>
          <w:tcPr>
            <w:tcW w:w="9017" w:type="dxa"/>
            <w:shd w:val="clear" w:color="auto" w:fill="D6E3BC" w:themeFill="accent3" w:themeFillTint="66"/>
          </w:tcPr>
          <w:p w14:paraId="209203C0" w14:textId="77777777" w:rsidR="00F20B11" w:rsidRPr="00F11538" w:rsidRDefault="00F20B11" w:rsidP="00AE617E">
            <w:pPr>
              <w:rPr>
                <w:b/>
                <w:bCs/>
              </w:rPr>
            </w:pPr>
            <w:proofErr w:type="spellStart"/>
            <w:r w:rsidRPr="00F11538">
              <w:rPr>
                <w:b/>
                <w:bCs/>
              </w:rPr>
              <w:t>ReferenceFormats</w:t>
            </w:r>
            <w:proofErr w:type="spellEnd"/>
            <w:r w:rsidRPr="00F11538">
              <w:rPr>
                <w:b/>
                <w:bCs/>
              </w:rPr>
              <w:t xml:space="preserve"> / </w:t>
            </w:r>
            <w:proofErr w:type="spellStart"/>
            <w:r w:rsidRPr="00F11538">
              <w:rPr>
                <w:b/>
                <w:bCs/>
              </w:rPr>
              <w:t>referenceFormatVernacularDefaults.conf</w:t>
            </w:r>
            <w:proofErr w:type="spellEnd"/>
          </w:p>
          <w:p w14:paraId="2EDF14E1" w14:textId="5C90A7C5" w:rsidR="00F20B11" w:rsidRDefault="00F20B11" w:rsidP="00AE617E">
            <w:r w:rsidRPr="00F20B11">
              <w:t>Describes how vernacular references are formatted.  By default we assume they simply follow the UBS English scheme.  It may occasionally be useful to override this if we wish to output our own references.  In practice, though, it will be painful enough to obtain the necessary information that we are unlikely to do it very often.</w:t>
            </w:r>
          </w:p>
        </w:tc>
      </w:tr>
    </w:tbl>
    <w:p w14:paraId="4B5F6FE6"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76A5C6F9" w14:textId="77777777" w:rsidTr="00AE617E">
        <w:tc>
          <w:tcPr>
            <w:tcW w:w="9017" w:type="dxa"/>
            <w:shd w:val="clear" w:color="auto" w:fill="D6E3BC" w:themeFill="accent3" w:themeFillTint="66"/>
          </w:tcPr>
          <w:p w14:paraId="25295E1F" w14:textId="77777777" w:rsidR="00F20B11" w:rsidRPr="00F11538" w:rsidRDefault="00F20B11" w:rsidP="00AE617E">
            <w:pPr>
              <w:rPr>
                <w:b/>
                <w:bCs/>
              </w:rPr>
            </w:pPr>
            <w:proofErr w:type="spellStart"/>
            <w:r w:rsidRPr="00F11538">
              <w:rPr>
                <w:b/>
                <w:bCs/>
              </w:rPr>
              <w:t>basicDefinitions.conf</w:t>
            </w:r>
            <w:proofErr w:type="spellEnd"/>
          </w:p>
          <w:p w14:paraId="41911A2B" w14:textId="38AFF8EF" w:rsidR="00F20B11" w:rsidRDefault="00F20B11" w:rsidP="00AE617E">
            <w:r w:rsidRPr="00F20B11">
              <w:t>Simple common definitions – things like standard rubric for CC licensing.  Saves having to come up with the same material repeatedly.</w:t>
            </w:r>
          </w:p>
        </w:tc>
      </w:tr>
    </w:tbl>
    <w:p w14:paraId="50CF391D"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35C51149" w14:textId="77777777" w:rsidTr="00AE617E">
        <w:tc>
          <w:tcPr>
            <w:tcW w:w="9017" w:type="dxa"/>
            <w:shd w:val="clear" w:color="auto" w:fill="D6E3BC" w:themeFill="accent3" w:themeFillTint="66"/>
          </w:tcPr>
          <w:p w14:paraId="7289236F" w14:textId="77777777" w:rsidR="00F20B11" w:rsidRPr="00F11538" w:rsidRDefault="00F20B11" w:rsidP="00AE617E">
            <w:pPr>
              <w:rPr>
                <w:b/>
                <w:bCs/>
              </w:rPr>
            </w:pPr>
            <w:proofErr w:type="spellStart"/>
            <w:r w:rsidRPr="00F11538">
              <w:rPr>
                <w:b/>
                <w:bCs/>
              </w:rPr>
              <w:t>bookNames.tsv</w:t>
            </w:r>
            <w:proofErr w:type="spellEnd"/>
          </w:p>
          <w:p w14:paraId="41535A89" w14:textId="4D0515AC" w:rsidR="00F20B11" w:rsidRDefault="00F20B11" w:rsidP="00AE617E">
            <w:r w:rsidRPr="00F20B11">
              <w:t>Book names and abbreviations as used in various different naming schemes.  Tab-separated variable format.</w:t>
            </w:r>
          </w:p>
        </w:tc>
      </w:tr>
    </w:tbl>
    <w:p w14:paraId="6434FD5A"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294996C8" w14:textId="77777777" w:rsidTr="00AE617E">
        <w:tc>
          <w:tcPr>
            <w:tcW w:w="9017" w:type="dxa"/>
            <w:shd w:val="clear" w:color="auto" w:fill="D6E3BC" w:themeFill="accent3" w:themeFillTint="66"/>
          </w:tcPr>
          <w:p w14:paraId="3B584D3A" w14:textId="77777777" w:rsidR="00F20B11" w:rsidRPr="00F11538" w:rsidRDefault="00F20B11" w:rsidP="00AE617E">
            <w:pPr>
              <w:rPr>
                <w:b/>
                <w:bCs/>
              </w:rPr>
            </w:pPr>
            <w:proofErr w:type="spellStart"/>
            <w:r w:rsidRPr="00F11538">
              <w:rPr>
                <w:b/>
                <w:bCs/>
              </w:rPr>
              <w:t>commonRoot.conf</w:t>
            </w:r>
            <w:proofErr w:type="spellEnd"/>
          </w:p>
          <w:p w14:paraId="27920EAC" w14:textId="686010CF" w:rsidR="00F20B11" w:rsidRDefault="00F20B11" w:rsidP="00AE617E">
            <w:r w:rsidRPr="00F20B11">
              <w:t>Every configuration scheme sooner or later must include this file.  It arranges things so that if vital configuration information is missing, errors will be generated; and it arranges to include the appropriate files from the Resources section, so as to ensure we have all the necessary defaults.</w:t>
            </w:r>
          </w:p>
        </w:tc>
      </w:tr>
    </w:tbl>
    <w:p w14:paraId="072A3646"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7A0CE799" w14:textId="77777777" w:rsidTr="00AE617E">
        <w:tc>
          <w:tcPr>
            <w:tcW w:w="9017" w:type="dxa"/>
            <w:shd w:val="clear" w:color="auto" w:fill="D6E3BC" w:themeFill="accent3" w:themeFillTint="66"/>
          </w:tcPr>
          <w:p w14:paraId="1185772C" w14:textId="77777777" w:rsidR="00F20B11" w:rsidRPr="00F11538" w:rsidRDefault="00F20B11" w:rsidP="00F11538">
            <w:pPr>
              <w:keepNext/>
              <w:rPr>
                <w:b/>
                <w:bCs/>
              </w:rPr>
            </w:pPr>
            <w:proofErr w:type="spellStart"/>
            <w:r w:rsidRPr="00F11538">
              <w:rPr>
                <w:b/>
                <w:bCs/>
              </w:rPr>
              <w:lastRenderedPageBreak/>
              <w:t>configDataDescriptors.tsv</w:t>
            </w:r>
            <w:proofErr w:type="spellEnd"/>
          </w:p>
          <w:p w14:paraId="401829EB" w14:textId="798BCC84" w:rsidR="00F20B11" w:rsidRDefault="00F20B11" w:rsidP="00AE617E">
            <w:r w:rsidRPr="00F20B11">
              <w:t xml:space="preserve">Describes all the various different kinds of configuration data we may use, partly for </w:t>
            </w:r>
            <w:proofErr w:type="spellStart"/>
            <w:r w:rsidRPr="00F20B11">
              <w:t>documention</w:t>
            </w:r>
            <w:proofErr w:type="spellEnd"/>
            <w:r w:rsidRPr="00F20B11">
              <w:t xml:space="preserve"> purpose, and partly for checking and debugging.  This data</w:t>
            </w:r>
            <w:r w:rsidR="00F11538">
              <w:t xml:space="preserve"> </w:t>
            </w:r>
            <w:r w:rsidRPr="00F20B11">
              <w:t>comes from a separately-maintained spreadsheet</w:t>
            </w:r>
            <w:r w:rsidR="00324C2B">
              <w:t xml:space="preserve"> – configDescriptions.xlsm.</w:t>
            </w:r>
          </w:p>
        </w:tc>
      </w:tr>
    </w:tbl>
    <w:p w14:paraId="5C1DC082"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1BE57470" w14:textId="77777777" w:rsidTr="00AE617E">
        <w:tc>
          <w:tcPr>
            <w:tcW w:w="9017" w:type="dxa"/>
            <w:shd w:val="clear" w:color="auto" w:fill="D6E3BC" w:themeFill="accent3" w:themeFillTint="66"/>
          </w:tcPr>
          <w:p w14:paraId="5EA8B53E" w14:textId="77777777" w:rsidR="00F20B11" w:rsidRPr="00F11538" w:rsidRDefault="00F20B11" w:rsidP="00AE617E">
            <w:pPr>
              <w:rPr>
                <w:b/>
                <w:bCs/>
              </w:rPr>
            </w:pPr>
            <w:proofErr w:type="spellStart"/>
            <w:r w:rsidRPr="00F11538">
              <w:rPr>
                <w:b/>
                <w:bCs/>
              </w:rPr>
              <w:t>countryNamesToShortenedForm.tsv</w:t>
            </w:r>
            <w:proofErr w:type="spellEnd"/>
          </w:p>
          <w:p w14:paraId="418B666E" w14:textId="0E00006F" w:rsidR="00F20B11" w:rsidRDefault="00F20B11" w:rsidP="00AE617E">
            <w:r w:rsidRPr="00F20B11">
              <w:t>There are a few countries which have long official names, but for which a shorter form is commonly used.  This file maps long to short.</w:t>
            </w:r>
          </w:p>
        </w:tc>
      </w:tr>
    </w:tbl>
    <w:p w14:paraId="4CB0A46F"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1E77F4B5" w14:textId="77777777" w:rsidTr="00AE617E">
        <w:tc>
          <w:tcPr>
            <w:tcW w:w="9017" w:type="dxa"/>
            <w:shd w:val="clear" w:color="auto" w:fill="D6E3BC" w:themeFill="accent3" w:themeFillTint="66"/>
          </w:tcPr>
          <w:p w14:paraId="38BE4EFF" w14:textId="77777777" w:rsidR="00F20B11" w:rsidRPr="00F11538" w:rsidRDefault="00F20B11" w:rsidP="00AE617E">
            <w:pPr>
              <w:rPr>
                <w:b/>
                <w:bCs/>
              </w:rPr>
            </w:pPr>
            <w:proofErr w:type="spellStart"/>
            <w:r w:rsidRPr="00F11538">
              <w:rPr>
                <w:b/>
                <w:bCs/>
              </w:rPr>
              <w:t>externalDataPaths.conf</w:t>
            </w:r>
            <w:proofErr w:type="spellEnd"/>
          </w:p>
          <w:p w14:paraId="1DC15F76" w14:textId="0310DB5C" w:rsidR="00F20B11" w:rsidRDefault="00F20B11" w:rsidP="00AE617E">
            <w:r w:rsidRPr="00F20B11">
              <w:t>URLs of various external sites upon which the converter relies or of which it may need to make mention.</w:t>
            </w:r>
          </w:p>
        </w:tc>
      </w:tr>
    </w:tbl>
    <w:p w14:paraId="7AF37820"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755582DE" w14:textId="77777777" w:rsidTr="00AE617E">
        <w:tc>
          <w:tcPr>
            <w:tcW w:w="9017" w:type="dxa"/>
            <w:shd w:val="clear" w:color="auto" w:fill="D6E3BC" w:themeFill="accent3" w:themeFillTint="66"/>
          </w:tcPr>
          <w:p w14:paraId="0C934AC6" w14:textId="77777777" w:rsidR="00F20B11" w:rsidRPr="00F11538" w:rsidRDefault="00F20B11" w:rsidP="00AE617E">
            <w:pPr>
              <w:rPr>
                <w:b/>
                <w:bCs/>
              </w:rPr>
            </w:pPr>
            <w:proofErr w:type="spellStart"/>
            <w:r w:rsidRPr="00F11538">
              <w:rPr>
                <w:b/>
                <w:bCs/>
              </w:rPr>
              <w:t>isoLanguageCodes.tsv</w:t>
            </w:r>
            <w:proofErr w:type="spellEnd"/>
          </w:p>
          <w:p w14:paraId="7DBDCC5A" w14:textId="5D7B4A63" w:rsidR="00F20B11" w:rsidRDefault="00F20B11" w:rsidP="00AE617E">
            <w:r w:rsidRPr="00F20B11">
              <w:t>Maps between 2-character codes, 3-character codes, language names, etc.</w:t>
            </w:r>
          </w:p>
        </w:tc>
      </w:tr>
    </w:tbl>
    <w:p w14:paraId="6C8A6752"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7F1BD1AA" w14:textId="77777777" w:rsidTr="00AE617E">
        <w:tc>
          <w:tcPr>
            <w:tcW w:w="9017" w:type="dxa"/>
            <w:shd w:val="clear" w:color="auto" w:fill="D6E3BC" w:themeFill="accent3" w:themeFillTint="66"/>
          </w:tcPr>
          <w:p w14:paraId="392013B6" w14:textId="77777777" w:rsidR="00F20B11" w:rsidRPr="00F11538" w:rsidRDefault="00F20B11" w:rsidP="00AE617E">
            <w:pPr>
              <w:rPr>
                <w:b/>
                <w:bCs/>
              </w:rPr>
            </w:pPr>
            <w:r w:rsidRPr="00F11538">
              <w:rPr>
                <w:b/>
                <w:bCs/>
              </w:rPr>
              <w:t>osis2modVersification.txt</w:t>
            </w:r>
          </w:p>
          <w:p w14:paraId="77FB4F3D" w14:textId="04AB529E" w:rsidR="00F20B11" w:rsidRDefault="00F20B11" w:rsidP="00AE617E">
            <w:r>
              <w:t>D</w:t>
            </w:r>
            <w:r w:rsidRPr="00F20B11">
              <w:t xml:space="preserve">etails of the various </w:t>
            </w:r>
            <w:r w:rsidR="00324C2B">
              <w:t xml:space="preserve">Crosswire </w:t>
            </w:r>
            <w:r w:rsidRPr="00F20B11">
              <w:t>osis2mod versification schemes.</w:t>
            </w:r>
          </w:p>
        </w:tc>
      </w:tr>
    </w:tbl>
    <w:p w14:paraId="6947665C"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25F4CA9A" w14:textId="77777777" w:rsidTr="00AE617E">
        <w:tc>
          <w:tcPr>
            <w:tcW w:w="9017" w:type="dxa"/>
            <w:shd w:val="clear" w:color="auto" w:fill="D6E3BC" w:themeFill="accent3" w:themeFillTint="66"/>
          </w:tcPr>
          <w:p w14:paraId="49A6D2B2" w14:textId="77777777" w:rsidR="00F20B11" w:rsidRPr="00F11538" w:rsidRDefault="00F20B11" w:rsidP="00AE617E">
            <w:pPr>
              <w:rPr>
                <w:b/>
                <w:bCs/>
              </w:rPr>
            </w:pPr>
            <w:proofErr w:type="spellStart"/>
            <w:r w:rsidRPr="00F11538">
              <w:rPr>
                <w:b/>
                <w:bCs/>
              </w:rPr>
              <w:t>standardBookNames.conf</w:t>
            </w:r>
            <w:proofErr w:type="spellEnd"/>
          </w:p>
          <w:p w14:paraId="2495E812" w14:textId="30D067E9" w:rsidR="00F20B11" w:rsidRDefault="00F20B11" w:rsidP="00AE617E">
            <w:r w:rsidRPr="00F20B11">
              <w:t>UBS long, short and abbreviated book names.</w:t>
            </w:r>
          </w:p>
        </w:tc>
      </w:tr>
    </w:tbl>
    <w:p w14:paraId="3B0D3FCA"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7C69B4F8" w14:textId="77777777" w:rsidTr="00AE617E">
        <w:tc>
          <w:tcPr>
            <w:tcW w:w="9017" w:type="dxa"/>
            <w:shd w:val="clear" w:color="auto" w:fill="D6E3BC" w:themeFill="accent3" w:themeFillTint="66"/>
          </w:tcPr>
          <w:p w14:paraId="424020CA" w14:textId="77777777" w:rsidR="00F20B11" w:rsidRPr="00F11538" w:rsidRDefault="00A304E5" w:rsidP="00AE617E">
            <w:pPr>
              <w:rPr>
                <w:b/>
                <w:bCs/>
              </w:rPr>
            </w:pPr>
            <w:r w:rsidRPr="00F11538">
              <w:rPr>
                <w:b/>
                <w:bCs/>
              </w:rPr>
              <w:t>strongsCorrections.txt</w:t>
            </w:r>
          </w:p>
          <w:p w14:paraId="367688C5" w14:textId="7E6110B8" w:rsidR="00A304E5" w:rsidRDefault="00A304E5" w:rsidP="00AE617E">
            <w:r w:rsidRPr="00A304E5">
              <w:t>Maps from commonly used incorrect Strong’s numbers to the corrected form.</w:t>
            </w:r>
          </w:p>
        </w:tc>
      </w:tr>
    </w:tbl>
    <w:p w14:paraId="7E509244"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4BA2DDF4" w14:textId="77777777" w:rsidTr="00AE617E">
        <w:tc>
          <w:tcPr>
            <w:tcW w:w="9017" w:type="dxa"/>
            <w:shd w:val="clear" w:color="auto" w:fill="D6E3BC" w:themeFill="accent3" w:themeFillTint="66"/>
          </w:tcPr>
          <w:p w14:paraId="361698A7" w14:textId="77777777" w:rsidR="00F20B11" w:rsidRPr="00F11538" w:rsidRDefault="00A304E5" w:rsidP="00AE617E">
            <w:pPr>
              <w:rPr>
                <w:b/>
                <w:bCs/>
              </w:rPr>
            </w:pPr>
            <w:proofErr w:type="spellStart"/>
            <w:r w:rsidRPr="00F11538">
              <w:rPr>
                <w:b/>
                <w:bCs/>
              </w:rPr>
              <w:t>swordTemplateFile.conf</w:t>
            </w:r>
            <w:proofErr w:type="spellEnd"/>
          </w:p>
          <w:p w14:paraId="5F8D5280" w14:textId="45AD6EB4" w:rsidR="00A304E5" w:rsidRDefault="00A304E5" w:rsidP="00AE617E">
            <w:r w:rsidRPr="00A304E5">
              <w:t>A template used to create Sword configuration files.</w:t>
            </w:r>
          </w:p>
        </w:tc>
      </w:tr>
    </w:tbl>
    <w:p w14:paraId="4229B13B" w14:textId="77777777" w:rsidR="00F20B11" w:rsidRDefault="00F20B11" w:rsidP="00F20B11"/>
    <w:tbl>
      <w:tblPr>
        <w:tblStyle w:val="TableGrid"/>
        <w:tblW w:w="0" w:type="auto"/>
        <w:shd w:val="clear" w:color="auto" w:fill="D6E3BC" w:themeFill="accent3" w:themeFillTint="66"/>
        <w:tblLook w:val="04A0" w:firstRow="1" w:lastRow="0" w:firstColumn="1" w:lastColumn="0" w:noHBand="0" w:noVBand="1"/>
      </w:tblPr>
      <w:tblGrid>
        <w:gridCol w:w="9017"/>
      </w:tblGrid>
      <w:tr w:rsidR="00F20B11" w14:paraId="2B588881" w14:textId="77777777" w:rsidTr="00AE617E">
        <w:tc>
          <w:tcPr>
            <w:tcW w:w="9017" w:type="dxa"/>
            <w:shd w:val="clear" w:color="auto" w:fill="D6E3BC" w:themeFill="accent3" w:themeFillTint="66"/>
          </w:tcPr>
          <w:p w14:paraId="19581226" w14:textId="77777777" w:rsidR="00F20B11" w:rsidRPr="00F11538" w:rsidRDefault="00A304E5" w:rsidP="00AE617E">
            <w:pPr>
              <w:rPr>
                <w:b/>
                <w:bCs/>
              </w:rPr>
            </w:pPr>
            <w:proofErr w:type="spellStart"/>
            <w:r w:rsidRPr="00F11538">
              <w:rPr>
                <w:b/>
                <w:bCs/>
              </w:rPr>
              <w:t>usxToOsisTagConversionsEtc.conf</w:t>
            </w:r>
            <w:proofErr w:type="spellEnd"/>
          </w:p>
          <w:p w14:paraId="24C8184A" w14:textId="7F0A8581" w:rsidR="00A304E5" w:rsidRDefault="00A304E5" w:rsidP="00AE617E">
            <w:r w:rsidRPr="00A304E5">
              <w:t>Pretty much what it says on the tin.</w:t>
            </w:r>
          </w:p>
        </w:tc>
      </w:tr>
    </w:tbl>
    <w:p w14:paraId="7DA11F68" w14:textId="0856177E" w:rsidR="00654A83" w:rsidRDefault="00F11538" w:rsidP="00F11538">
      <w:pPr>
        <w:pStyle w:val="Heading1"/>
      </w:pPr>
      <w:bookmarkStart w:id="24" w:name="_Toc201142727"/>
      <w:r>
        <w:lastRenderedPageBreak/>
        <w:t>Discussion</w:t>
      </w:r>
      <w:bookmarkEnd w:id="24"/>
    </w:p>
    <w:p w14:paraId="032A9E16" w14:textId="77777777" w:rsidR="00F11538" w:rsidRDefault="00F11538" w:rsidP="00F11538">
      <w:r>
        <w:t>One of the more complicated things to wrap your mind around at present is the matter of how the copyright status of a text interacts with various aspects of its processing.</w:t>
      </w:r>
    </w:p>
    <w:p w14:paraId="7AD7DEFB" w14:textId="3B8D349E" w:rsidR="00F11538" w:rsidRDefault="00F11538" w:rsidP="00F11538">
      <w:r>
        <w:t xml:space="preserve">Until recently, this was driven entirely by the </w:t>
      </w:r>
      <w:proofErr w:type="spellStart"/>
      <w:r>
        <w:t>stepIsCopyrightText</w:t>
      </w:r>
      <w:proofErr w:type="spellEnd"/>
      <w:r>
        <w:t xml:space="preserve"> parameter.  However, it turned out that this could no longer cope with all of the things we needed to do, so the processing has been revised as discus</w:t>
      </w:r>
      <w:r w:rsidR="00324C2B">
        <w:t>s</w:t>
      </w:r>
      <w:r>
        <w:t>ed below.</w:t>
      </w:r>
    </w:p>
    <w:p w14:paraId="0C6B8E67" w14:textId="6756751E" w:rsidR="00F11538" w:rsidRDefault="00F11538" w:rsidP="00F11538">
      <w:r>
        <w:t>The things we need to control are:</w:t>
      </w:r>
    </w:p>
    <w:p w14:paraId="3A74499B" w14:textId="3688140C" w:rsidR="00F11538" w:rsidRDefault="00F11538" w:rsidP="00F11538">
      <w:pPr>
        <w:pStyle w:val="ListParagraph"/>
        <w:numPr>
          <w:ilvl w:val="0"/>
          <w:numId w:val="59"/>
        </w:numPr>
        <w:ind w:left="357" w:hanging="357"/>
      </w:pPr>
      <w:r>
        <w:t>Are we permitted to make a public version of the module?</w:t>
      </w:r>
    </w:p>
    <w:p w14:paraId="09B108F6" w14:textId="6678E16B" w:rsidR="00F11538" w:rsidRDefault="00F11538" w:rsidP="00F11538">
      <w:pPr>
        <w:pStyle w:val="ListParagraph"/>
        <w:numPr>
          <w:ilvl w:val="0"/>
          <w:numId w:val="59"/>
        </w:numPr>
        <w:ind w:left="357" w:hanging="357"/>
      </w:pPr>
      <w:r>
        <w:t>Do we need to apply versification processing?</w:t>
      </w:r>
    </w:p>
    <w:p w14:paraId="1F0581AD" w14:textId="385CADB5" w:rsidR="00F11538" w:rsidRDefault="00F11538" w:rsidP="00F11538">
      <w:pPr>
        <w:pStyle w:val="ListParagraph"/>
        <w:numPr>
          <w:ilvl w:val="0"/>
          <w:numId w:val="59"/>
        </w:numPr>
        <w:ind w:left="357" w:hanging="357"/>
      </w:pPr>
      <w:r>
        <w:t>Can we add versification-related footnotes?</w:t>
      </w:r>
    </w:p>
    <w:p w14:paraId="61FD01F5" w14:textId="03E29F95" w:rsidR="00F11538" w:rsidRDefault="00F11538" w:rsidP="00F11538">
      <w:pPr>
        <w:pStyle w:val="ListParagraph"/>
        <w:numPr>
          <w:ilvl w:val="0"/>
          <w:numId w:val="59"/>
        </w:numPr>
        <w:spacing w:after="240"/>
        <w:ind w:left="357" w:hanging="357"/>
      </w:pPr>
      <w:r>
        <w:t>Do we admit to the possibility that the text may have been changed slightly during processing?</w:t>
      </w:r>
    </w:p>
    <w:p w14:paraId="2BDDA79D" w14:textId="1FCF41EC" w:rsidR="009E7B29" w:rsidRDefault="009E7B29" w:rsidP="009E7B29">
      <w:pPr>
        <w:pStyle w:val="Heading2"/>
      </w:pPr>
      <w:bookmarkStart w:id="25" w:name="_Toc201142728"/>
      <w:r>
        <w:t xml:space="preserve">What copyright </w:t>
      </w:r>
      <w:r w:rsidR="00351C51">
        <w:t xml:space="preserve">definitely </w:t>
      </w:r>
      <w:r>
        <w:t>doesn’t affect</w:t>
      </w:r>
      <w:bookmarkEnd w:id="25"/>
    </w:p>
    <w:p w14:paraId="55ABAC04" w14:textId="77777777" w:rsidR="009E7B29" w:rsidRDefault="009E7B29" w:rsidP="00596507">
      <w:pPr>
        <w:pStyle w:val="ListParagraph"/>
        <w:numPr>
          <w:ilvl w:val="0"/>
          <w:numId w:val="65"/>
        </w:numPr>
        <w:ind w:left="357" w:hanging="357"/>
      </w:pPr>
      <w:r>
        <w:t xml:space="preserve">We </w:t>
      </w:r>
      <w:r w:rsidRPr="00351C51">
        <w:rPr>
          <w:i/>
          <w:iCs/>
        </w:rPr>
        <w:t>always</w:t>
      </w:r>
      <w:r>
        <w:t xml:space="preserve"> make a STEPBible version of each module.</w:t>
      </w:r>
    </w:p>
    <w:p w14:paraId="3CAFE480" w14:textId="63D0A08A" w:rsidR="009E7B29" w:rsidRDefault="009E7B29" w:rsidP="00596507">
      <w:pPr>
        <w:pStyle w:val="ListParagraph"/>
        <w:numPr>
          <w:ilvl w:val="0"/>
          <w:numId w:val="65"/>
        </w:numPr>
        <w:ind w:left="357" w:hanging="357"/>
      </w:pPr>
      <w:r>
        <w:t xml:space="preserve">STEPBible versions are </w:t>
      </w:r>
      <w:r w:rsidRPr="00351C51">
        <w:rPr>
          <w:i/>
          <w:iCs/>
        </w:rPr>
        <w:t>always</w:t>
      </w:r>
      <w:r>
        <w:t xml:space="preserve"> subject to versification processing.</w:t>
      </w:r>
    </w:p>
    <w:p w14:paraId="5E35E758" w14:textId="0698B2AC" w:rsidR="00351C51" w:rsidRDefault="00351C51" w:rsidP="00351C51">
      <w:pPr>
        <w:pStyle w:val="Heading2"/>
      </w:pPr>
      <w:bookmarkStart w:id="26" w:name="_Toc201142729"/>
      <w:r>
        <w:t xml:space="preserve">What copyright may </w:t>
      </w:r>
      <w:r w:rsidR="00A01B4C">
        <w:t xml:space="preserve">or may not </w:t>
      </w:r>
      <w:r>
        <w:t>affect</w:t>
      </w:r>
      <w:bookmarkEnd w:id="26"/>
    </w:p>
    <w:p w14:paraId="427EE050" w14:textId="77777777" w:rsidR="00351C51" w:rsidRDefault="009E7B29" w:rsidP="00596507">
      <w:pPr>
        <w:pStyle w:val="ListParagraph"/>
        <w:numPr>
          <w:ilvl w:val="0"/>
          <w:numId w:val="65"/>
        </w:numPr>
        <w:ind w:left="357" w:hanging="357"/>
      </w:pPr>
      <w:r>
        <w:t xml:space="preserve">We may </w:t>
      </w:r>
      <w:r w:rsidR="00351C51">
        <w:t xml:space="preserve">or may not </w:t>
      </w:r>
      <w:r>
        <w:t xml:space="preserve">make a public </w:t>
      </w:r>
      <w:r w:rsidR="00351C51">
        <w:t>module</w:t>
      </w:r>
      <w:r>
        <w:t>.</w:t>
      </w:r>
    </w:p>
    <w:p w14:paraId="728B7BA9" w14:textId="77777777" w:rsidR="00351C51" w:rsidRDefault="00351C51" w:rsidP="00596507">
      <w:pPr>
        <w:pStyle w:val="ListParagraph"/>
        <w:numPr>
          <w:ilvl w:val="0"/>
          <w:numId w:val="65"/>
        </w:numPr>
        <w:ind w:left="357" w:hanging="357"/>
      </w:pPr>
      <w:r>
        <w:t>We always do so for non-copyright texts.</w:t>
      </w:r>
    </w:p>
    <w:p w14:paraId="473F9A79" w14:textId="377464AD" w:rsidR="009E7B29" w:rsidRDefault="00351C51" w:rsidP="00596507">
      <w:pPr>
        <w:pStyle w:val="ListParagraph"/>
        <w:numPr>
          <w:ilvl w:val="0"/>
          <w:numId w:val="65"/>
        </w:numPr>
        <w:ind w:left="357" w:hanging="357"/>
      </w:pPr>
      <w:r>
        <w:t xml:space="preserve">And we may sometimes make a public module </w:t>
      </w:r>
      <w:r w:rsidR="00A01B4C">
        <w:t xml:space="preserve">even </w:t>
      </w:r>
      <w:r>
        <w:t xml:space="preserve">for copyright texts.  This may seem odd, </w:t>
      </w:r>
      <w:r w:rsidR="009E7B29">
        <w:t>but at least one text owner has given us permission to make a public module</w:t>
      </w:r>
      <w:r>
        <w:t xml:space="preserve"> from a copyright text</w:t>
      </w:r>
      <w:r w:rsidR="009E7B29">
        <w:t>, and we are hoping that others will too.</w:t>
      </w:r>
      <w:r>
        <w:t xml:space="preserve">  In view of this, the decision as to whether to create one or not cannot be driven directly by the copyright status of a text.</w:t>
      </w:r>
    </w:p>
    <w:p w14:paraId="202698D9" w14:textId="15427CCD" w:rsidR="00351C51" w:rsidRDefault="00351C51" w:rsidP="00351C51">
      <w:pPr>
        <w:pStyle w:val="Heading2"/>
      </w:pPr>
      <w:bookmarkStart w:id="27" w:name="_Toc201142730"/>
      <w:r>
        <w:t>What copyright definitely does affect</w:t>
      </w:r>
      <w:bookmarkEnd w:id="27"/>
    </w:p>
    <w:p w14:paraId="352E473F" w14:textId="3825BAA5" w:rsidR="00351C51" w:rsidRDefault="00351C51" w:rsidP="00351C51">
      <w:pPr>
        <w:pStyle w:val="ListParagraph"/>
        <w:numPr>
          <w:ilvl w:val="0"/>
          <w:numId w:val="66"/>
        </w:numPr>
        <w:ind w:left="357" w:hanging="357"/>
      </w:pPr>
      <w:r>
        <w:t xml:space="preserve">We work on the assumption that the licence conditions for copyright texts normally preclude </w:t>
      </w:r>
      <w:r w:rsidR="00A01B4C">
        <w:t>the addition of footnotes, so we never add any.</w:t>
      </w:r>
    </w:p>
    <w:p w14:paraId="3F3E563A" w14:textId="30D01D03" w:rsidR="00A01B4C" w:rsidRDefault="00A01B4C" w:rsidP="00351C51">
      <w:pPr>
        <w:pStyle w:val="ListParagraph"/>
        <w:numPr>
          <w:ilvl w:val="0"/>
          <w:numId w:val="66"/>
        </w:numPr>
        <w:ind w:left="357" w:hanging="357"/>
      </w:pPr>
      <w:r>
        <w:t>On non-copyright texts, we add to the copyright page a brief note explaining that we may have had to make minor changes to the text in order to handle it.</w:t>
      </w:r>
    </w:p>
    <w:p w14:paraId="045EFA2A" w14:textId="04C5C1F5" w:rsidR="00A01B4C" w:rsidRDefault="00A01B4C" w:rsidP="00351C51">
      <w:pPr>
        <w:pStyle w:val="ListParagraph"/>
        <w:numPr>
          <w:ilvl w:val="0"/>
          <w:numId w:val="66"/>
        </w:numPr>
        <w:ind w:left="357" w:hanging="357"/>
      </w:pPr>
      <w:r>
        <w:t xml:space="preserve">We don’t do this on copyright texts.  The changes we make are hopefully indeed </w:t>
      </w:r>
      <w:r w:rsidRPr="00A01B4C">
        <w:rPr>
          <w:i/>
          <w:iCs/>
        </w:rPr>
        <w:t>very</w:t>
      </w:r>
      <w:r>
        <w:t xml:space="preserve"> minor, and it would seem unfortunate to draw attention to possible minor changes on copyright texts.</w:t>
      </w:r>
    </w:p>
    <w:p w14:paraId="6B4321C5" w14:textId="31AE8BD4" w:rsidR="00F11538" w:rsidRDefault="00F11538" w:rsidP="00AC7086"/>
    <w:p w14:paraId="55D44561" w14:textId="6EDA5651" w:rsidR="00F11538" w:rsidRDefault="00AC7086" w:rsidP="00BD074C">
      <w:pPr>
        <w:pStyle w:val="Heading1"/>
      </w:pPr>
      <w:bookmarkStart w:id="28" w:name="_Toc201142731"/>
      <w:r>
        <w:lastRenderedPageBreak/>
        <w:t>The step.xlsx template</w:t>
      </w:r>
      <w:bookmarkEnd w:id="28"/>
    </w:p>
    <w:p w14:paraId="2638AA15" w14:textId="3AC3D572" w:rsidR="00E011FF" w:rsidRDefault="00E011FF" w:rsidP="00BD074C">
      <w:r>
        <w:t>You can obtain a copy of the step.xlsx template from the Resources section of the converter JAR file.  (JAR files can be opened using standard zip software.)</w:t>
      </w:r>
    </w:p>
    <w:p w14:paraId="0945A15C" w14:textId="5DB8744F" w:rsidR="00E011FF" w:rsidRDefault="00E011FF" w:rsidP="00BD074C">
      <w:r>
        <w:t>Simply fill in the appropriate details and save it in the Metadata folder under the root folder for the text.</w:t>
      </w:r>
    </w:p>
    <w:p w14:paraId="7067F8FF" w14:textId="35AFAF71" w:rsidR="00E011FF" w:rsidRDefault="00E011FF" w:rsidP="00BD074C">
      <w:r>
        <w:t>Fields are colour-coded as an aid to identifying those which must be filled in, those which often might be filled in, and those which can probably be left to be defaulted by the processing.</w:t>
      </w:r>
    </w:p>
    <w:p w14:paraId="15BAD207" w14:textId="57431836" w:rsidR="0070717E" w:rsidRDefault="0070717E" w:rsidP="00BD074C">
      <w:r>
        <w:t>The colour-coding should not be taken as definitive, because it is difficult to cater for all possibilities.  For example, a field may be mandatory on texts of a certain kind, but optional or not required at all on different kinds of texts</w:t>
      </w:r>
      <w:r w:rsidR="00E011FF">
        <w:t xml:space="preserve"> (eg those originating from DBL)</w:t>
      </w:r>
      <w:r>
        <w:t xml:space="preserve"> – and it is difficult to show these kinds of nuances when all you can do is colour the cell.</w:t>
      </w:r>
    </w:p>
    <w:p w14:paraId="6DA1DF8D" w14:textId="36DBD957" w:rsidR="0070717E" w:rsidRDefault="00E011FF" w:rsidP="00BD074C">
      <w:r>
        <w:t xml:space="preserve">Some of the cells can be filled in from DBL, and the spreadsheet indicates where this is the case.  </w:t>
      </w:r>
      <w:r w:rsidR="0070717E">
        <w:t>If you opt to take data from the DBL metadata files, do check the result – different translators interpret the rules for metadata files differently, so processing which picks up the correct information for one text may fail to do so on another.</w:t>
      </w:r>
    </w:p>
    <w:p w14:paraId="23E94A9A" w14:textId="41150D2B" w:rsidR="00D762F9" w:rsidRDefault="00D762F9" w:rsidP="00D762F9">
      <w:pPr>
        <w:pStyle w:val="Heading1"/>
      </w:pPr>
      <w:bookmarkStart w:id="29" w:name="_Toc201142732"/>
      <w:r>
        <w:lastRenderedPageBreak/>
        <w:t>Maintenance</w:t>
      </w:r>
      <w:bookmarkEnd w:id="29"/>
    </w:p>
    <w:p w14:paraId="6615571C" w14:textId="1CF1F187" w:rsidR="00E011FF" w:rsidRDefault="00E011FF" w:rsidP="00D762F9">
      <w:r>
        <w:t xml:space="preserve">The configuration data is administered using a file configDescriptions.xlsm (and yes, sorry about that, but this one is definitely an </w:t>
      </w:r>
      <w:r w:rsidRPr="00E011FF">
        <w:rPr>
          <w:i/>
          <w:iCs/>
        </w:rPr>
        <w:t>Excel</w:t>
      </w:r>
      <w:r>
        <w:t xml:space="preserve"> spreadsheet).</w:t>
      </w:r>
    </w:p>
    <w:p w14:paraId="5A3D0AE2" w14:textId="7CBE1179" w:rsidR="00E011FF" w:rsidRDefault="00E011FF" w:rsidP="00D762F9">
      <w:r>
        <w:t xml:space="preserve">The sheet </w:t>
      </w:r>
      <w:proofErr w:type="spellStart"/>
      <w:r w:rsidRPr="00E011FF">
        <w:rPr>
          <w:i/>
          <w:iCs/>
        </w:rPr>
        <w:t>AllConfigurationParameters</w:t>
      </w:r>
      <w:proofErr w:type="spellEnd"/>
      <w:r>
        <w:t xml:space="preserve"> in this file contains a full list of all of the configuration parameters used by the converter.  You need to change this to reflect any changes to the parameters which the converter uses.  If you make any changes, you need to copy the content of the named range </w:t>
      </w:r>
      <w:proofErr w:type="spellStart"/>
      <w:r w:rsidRPr="00E011FF">
        <w:rPr>
          <w:i/>
          <w:iCs/>
        </w:rPr>
        <w:t>ForUseInConverter</w:t>
      </w:r>
      <w:proofErr w:type="spellEnd"/>
      <w:r>
        <w:t xml:space="preserve">, and use it to replace the contents of </w:t>
      </w:r>
      <w:proofErr w:type="spellStart"/>
      <w:r>
        <w:t>configDataDescriptors.tsv</w:t>
      </w:r>
      <w:proofErr w:type="spellEnd"/>
      <w:r>
        <w:t xml:space="preserve"> in the Resources section of the converter JAR file.</w:t>
      </w:r>
    </w:p>
    <w:p w14:paraId="07E04217" w14:textId="01CD4CBB" w:rsidR="00E011FF" w:rsidRDefault="00E011FF" w:rsidP="00D762F9">
      <w:r>
        <w:t xml:space="preserve">Also if you make changes to </w:t>
      </w:r>
      <w:proofErr w:type="spellStart"/>
      <w:r w:rsidRPr="00E011FF">
        <w:rPr>
          <w:i/>
          <w:iCs/>
        </w:rPr>
        <w:t>AllConfigurationParameters</w:t>
      </w:r>
      <w:proofErr w:type="spellEnd"/>
      <w:r>
        <w:t xml:space="preserve"> you need to generate a new step.xlsx.  There is a button on </w:t>
      </w:r>
      <w:proofErr w:type="spellStart"/>
      <w:r w:rsidRPr="00E011FF">
        <w:rPr>
          <w:i/>
          <w:iCs/>
        </w:rPr>
        <w:t>AllConfigurationParameters</w:t>
      </w:r>
      <w:proofErr w:type="spellEnd"/>
      <w:r>
        <w:t xml:space="preserve"> which generates a suitable worksheet for the purpose, and stores it in configDescriptions.xlsm as </w:t>
      </w:r>
      <w:proofErr w:type="spellStart"/>
      <w:r w:rsidRPr="00E011FF">
        <w:rPr>
          <w:i/>
          <w:iCs/>
        </w:rPr>
        <w:t>ForStepConfig</w:t>
      </w:r>
      <w:proofErr w:type="spellEnd"/>
      <w:r>
        <w:t>.</w:t>
      </w:r>
    </w:p>
    <w:p w14:paraId="47DFB004" w14:textId="327C60D8" w:rsidR="00D762F9" w:rsidRDefault="00F4461C" w:rsidP="00D762F9">
      <w:r>
        <w:t xml:space="preserve">You need to copy </w:t>
      </w:r>
      <w:proofErr w:type="spellStart"/>
      <w:r w:rsidRPr="00F4461C">
        <w:rPr>
          <w:i/>
          <w:iCs/>
        </w:rPr>
        <w:t>ForStepConfig</w:t>
      </w:r>
      <w:proofErr w:type="spellEnd"/>
      <w:r>
        <w:t xml:space="preserve"> to a new file, save it as step.xlsx, and store it in the Resources section of the JAR file.  (Note that this is an .xlsx file, not .</w:t>
      </w:r>
      <w:proofErr w:type="spellStart"/>
      <w:r>
        <w:t>xlsm</w:t>
      </w:r>
      <w:proofErr w:type="spellEnd"/>
      <w:r>
        <w:t>, so hopefully it should work in tools other than Excel – for example Google Sheets or LibreOffice Calc.</w:t>
      </w:r>
    </w:p>
    <w:p w14:paraId="5817CB90" w14:textId="77777777" w:rsidR="00D762F9" w:rsidRDefault="00D762F9" w:rsidP="00BD074C"/>
    <w:p w14:paraId="634AACEF" w14:textId="77777777" w:rsidR="0070717E" w:rsidRDefault="0070717E" w:rsidP="00BD074C"/>
    <w:p w14:paraId="197BA8B8" w14:textId="3112B584" w:rsidR="00BD074C" w:rsidRPr="00BD074C" w:rsidRDefault="00BD074C" w:rsidP="00BD074C">
      <w:pPr>
        <w:jc w:val="center"/>
        <w:rPr>
          <w:b/>
          <w:bCs/>
        </w:rPr>
      </w:pPr>
      <w:r w:rsidRPr="00BD074C">
        <w:rPr>
          <w:b/>
          <w:bCs/>
        </w:rPr>
        <w:t>* End of document *</w:t>
      </w:r>
    </w:p>
    <w:sectPr w:rsidR="00BD074C" w:rsidRPr="00BD074C" w:rsidSect="00131995">
      <w:headerReference w:type="default" r:id="rId9"/>
      <w:footerReference w:type="default" r:id="rId10"/>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040DF" w14:textId="77777777" w:rsidR="007000E7" w:rsidRDefault="007000E7" w:rsidP="00590066">
      <w:r>
        <w:separator/>
      </w:r>
    </w:p>
    <w:p w14:paraId="54D580A7" w14:textId="77777777" w:rsidR="007000E7" w:rsidRDefault="007000E7" w:rsidP="00590066"/>
    <w:p w14:paraId="1DB5781D" w14:textId="77777777" w:rsidR="007000E7" w:rsidRDefault="007000E7"/>
    <w:p w14:paraId="55CDA429" w14:textId="77777777" w:rsidR="007000E7" w:rsidRDefault="007000E7" w:rsidP="0028266A"/>
  </w:endnote>
  <w:endnote w:type="continuationSeparator" w:id="0">
    <w:p w14:paraId="502A5E03" w14:textId="77777777" w:rsidR="007000E7" w:rsidRDefault="007000E7" w:rsidP="00590066">
      <w:r>
        <w:continuationSeparator/>
      </w:r>
    </w:p>
    <w:p w14:paraId="04656811" w14:textId="77777777" w:rsidR="007000E7" w:rsidRDefault="007000E7" w:rsidP="00590066"/>
    <w:p w14:paraId="415618E3" w14:textId="77777777" w:rsidR="007000E7" w:rsidRDefault="007000E7"/>
    <w:p w14:paraId="1F058599" w14:textId="77777777" w:rsidR="007000E7" w:rsidRDefault="007000E7"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6F6E1" w14:textId="55C7779F" w:rsidR="00772ABF" w:rsidRPr="00F3703F" w:rsidRDefault="00A1751E" w:rsidP="00F3703F">
    <w:pPr>
      <w:pStyle w:val="Footer"/>
      <w:pBdr>
        <w:top w:val="single" w:sz="4" w:space="0" w:color="auto"/>
      </w:pBdr>
      <w:tabs>
        <w:tab w:val="clear" w:pos="8640"/>
        <w:tab w:val="right" w:pos="9027"/>
      </w:tabs>
      <w:spacing w:before="300"/>
      <w:rPr>
        <w:i/>
        <w:iCs/>
        <w:sz w:val="18"/>
        <w:szCs w:val="18"/>
      </w:rPr>
    </w:pPr>
    <w:r>
      <w:rPr>
        <w:i/>
        <w:iCs/>
        <w:sz w:val="18"/>
        <w:szCs w:val="18"/>
      </w:rPr>
      <w:t>09-Jun-25</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72E2E" w14:textId="77777777" w:rsidR="007000E7" w:rsidRDefault="007000E7" w:rsidP="00590066">
      <w:r>
        <w:separator/>
      </w:r>
    </w:p>
  </w:footnote>
  <w:footnote w:type="continuationSeparator" w:id="0">
    <w:p w14:paraId="741F0563" w14:textId="77777777" w:rsidR="007000E7" w:rsidRDefault="007000E7" w:rsidP="00590066">
      <w:r>
        <w:continuationSeparator/>
      </w:r>
    </w:p>
    <w:p w14:paraId="651E9C60" w14:textId="77777777" w:rsidR="007000E7" w:rsidRDefault="007000E7" w:rsidP="00590066"/>
    <w:p w14:paraId="626200FD" w14:textId="77777777" w:rsidR="007000E7" w:rsidRDefault="007000E7"/>
    <w:p w14:paraId="64CCDC40" w14:textId="77777777" w:rsidR="007000E7" w:rsidRDefault="007000E7" w:rsidP="0028266A"/>
  </w:footnote>
  <w:footnote w:id="1">
    <w:p w14:paraId="0C852823" w14:textId="4BAA9B75" w:rsidR="004F14EA" w:rsidRDefault="004F14EA">
      <w:pPr>
        <w:pStyle w:val="FootnoteText"/>
      </w:pPr>
      <w:r>
        <w:rPr>
          <w:rStyle w:val="FootnoteReference"/>
        </w:rPr>
        <w:footnoteRef/>
      </w:r>
      <w:r>
        <w:t xml:space="preserve"> If you have both, step.xlsx is used in preference, and step.conf is ignored.  However, I strongly recommend </w:t>
      </w:r>
      <w:r w:rsidRPr="004F14EA">
        <w:rPr>
          <w:i/>
          <w:iCs/>
        </w:rPr>
        <w:t>not</w:t>
      </w:r>
      <w:r>
        <w:t xml:space="preserve"> having both – it will be confusing.</w:t>
      </w:r>
    </w:p>
  </w:footnote>
  <w:footnote w:id="2">
    <w:p w14:paraId="1C0ECF89" w14:textId="4493C210" w:rsidR="00BB4FCC" w:rsidRDefault="00BB4FCC">
      <w:pPr>
        <w:pStyle w:val="FootnoteText"/>
      </w:pPr>
      <w:r>
        <w:rPr>
          <w:rStyle w:val="FootnoteReference"/>
        </w:rPr>
        <w:footnoteRef/>
      </w:r>
      <w:r>
        <w:t xml:space="preserve"> This is how defaulting is handled, in fact.  Files in the Resources section of the converter JAR file contain default settings which take effect unless you override them, as described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564AD" w14:textId="63647829" w:rsidR="00772ABF" w:rsidRPr="00220F77" w:rsidRDefault="00772ABF" w:rsidP="00220F77">
    <w:pPr>
      <w:pStyle w:val="Header"/>
      <w:pBdr>
        <w:bottom w:val="single" w:sz="2" w:space="1" w:color="auto"/>
      </w:pBdr>
      <w:spacing w:after="300"/>
      <w:rPr>
        <w:szCs w:val="21"/>
      </w:rPr>
    </w:pPr>
    <w:r w:rsidRPr="005A1F2B">
      <w:rPr>
        <w:szCs w:val="21"/>
      </w:rPr>
      <w:t>STEP</w:t>
    </w:r>
    <w:r w:rsidR="009B0E4D">
      <w:rPr>
        <w:szCs w:val="21"/>
      </w:rPr>
      <w:t>Bible</w:t>
    </w:r>
    <w:r w:rsidRPr="005A1F2B">
      <w:rPr>
        <w:szCs w:val="21"/>
      </w:rPr>
      <w:t xml:space="preserve"> </w:t>
    </w:r>
    <w:r w:rsidR="004251DB">
      <w:rPr>
        <w:szCs w:val="21"/>
      </w:rPr>
      <w:t>module converter:</w:t>
    </w:r>
    <w:r w:rsidRPr="005A1F2B">
      <w:rPr>
        <w:szCs w:val="21"/>
      </w:rPr>
      <w:t xml:space="preserve"> </w:t>
    </w:r>
    <w:r w:rsidR="00A17919">
      <w:rPr>
        <w:szCs w:val="21"/>
      </w:rPr>
      <w:t>Configuration</w:t>
    </w:r>
    <w:r w:rsidR="003F5599">
      <w:rPr>
        <w:szCs w:val="21"/>
      </w:rPr>
      <w:t xml:space="preserve"> </w:t>
    </w:r>
    <w:r w:rsidRPr="005A1F2B">
      <w:rPr>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E7F"/>
    <w:multiLevelType w:val="hybridMultilevel"/>
    <w:tmpl w:val="F404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20AE9"/>
    <w:multiLevelType w:val="hybridMultilevel"/>
    <w:tmpl w:val="736C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54729B"/>
    <w:multiLevelType w:val="hybridMultilevel"/>
    <w:tmpl w:val="E9249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270CF"/>
    <w:multiLevelType w:val="multilevel"/>
    <w:tmpl w:val="F59E3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B02B1"/>
    <w:multiLevelType w:val="hybridMultilevel"/>
    <w:tmpl w:val="D166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4875A1"/>
    <w:multiLevelType w:val="hybridMultilevel"/>
    <w:tmpl w:val="01BE1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537A5D"/>
    <w:multiLevelType w:val="hybridMultilevel"/>
    <w:tmpl w:val="23B8A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CE2573"/>
    <w:multiLevelType w:val="hybridMultilevel"/>
    <w:tmpl w:val="ED5EB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3F1FFD"/>
    <w:multiLevelType w:val="multilevel"/>
    <w:tmpl w:val="CB2C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832CF2"/>
    <w:multiLevelType w:val="hybridMultilevel"/>
    <w:tmpl w:val="34A886AA"/>
    <w:lvl w:ilvl="0" w:tplc="C04A91AC">
      <w:start w:val="1"/>
      <w:numFmt w:val="decimal"/>
      <w:lvlText w:val="%1."/>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DE0B42"/>
    <w:multiLevelType w:val="hybridMultilevel"/>
    <w:tmpl w:val="1DA4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8E7673"/>
    <w:multiLevelType w:val="hybridMultilevel"/>
    <w:tmpl w:val="DB74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DD679F"/>
    <w:multiLevelType w:val="hybridMultilevel"/>
    <w:tmpl w:val="2C96C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9A4488"/>
    <w:multiLevelType w:val="multilevel"/>
    <w:tmpl w:val="CFE41E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41F3BC3"/>
    <w:multiLevelType w:val="hybridMultilevel"/>
    <w:tmpl w:val="DC400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2350CB"/>
    <w:multiLevelType w:val="hybridMultilevel"/>
    <w:tmpl w:val="144CE964"/>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CD471A"/>
    <w:multiLevelType w:val="hybridMultilevel"/>
    <w:tmpl w:val="0E16B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244BC8"/>
    <w:multiLevelType w:val="hybridMultilevel"/>
    <w:tmpl w:val="EBD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E2586C"/>
    <w:multiLevelType w:val="hybridMultilevel"/>
    <w:tmpl w:val="F2F8D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0D7EE1"/>
    <w:multiLevelType w:val="hybridMultilevel"/>
    <w:tmpl w:val="89E6E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6E4157A"/>
    <w:multiLevelType w:val="hybridMultilevel"/>
    <w:tmpl w:val="2BE8B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3030D2"/>
    <w:multiLevelType w:val="hybridMultilevel"/>
    <w:tmpl w:val="5A722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C74648A"/>
    <w:multiLevelType w:val="hybridMultilevel"/>
    <w:tmpl w:val="7A0A4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FC941AE"/>
    <w:multiLevelType w:val="hybridMultilevel"/>
    <w:tmpl w:val="C5A84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20"/>
  </w:num>
  <w:num w:numId="2" w16cid:durableId="113450927">
    <w:abstractNumId w:val="0"/>
  </w:num>
  <w:num w:numId="3" w16cid:durableId="1217886777">
    <w:abstractNumId w:val="27"/>
  </w:num>
  <w:num w:numId="4" w16cid:durableId="1075711275">
    <w:abstractNumId w:val="48"/>
  </w:num>
  <w:num w:numId="5" w16cid:durableId="1849707631">
    <w:abstractNumId w:val="30"/>
  </w:num>
  <w:num w:numId="6" w16cid:durableId="1124084087">
    <w:abstractNumId w:val="28"/>
  </w:num>
  <w:num w:numId="7" w16cid:durableId="2014647664">
    <w:abstractNumId w:val="24"/>
  </w:num>
  <w:num w:numId="8" w16cid:durableId="197397416">
    <w:abstractNumId w:val="37"/>
  </w:num>
  <w:num w:numId="9" w16cid:durableId="1164853820">
    <w:abstractNumId w:val="17"/>
  </w:num>
  <w:num w:numId="10" w16cid:durableId="83696829">
    <w:abstractNumId w:val="0"/>
  </w:num>
  <w:num w:numId="11" w16cid:durableId="169300793">
    <w:abstractNumId w:val="20"/>
  </w:num>
  <w:num w:numId="12" w16cid:durableId="1151754262">
    <w:abstractNumId w:val="46"/>
  </w:num>
  <w:num w:numId="13" w16cid:durableId="636380730">
    <w:abstractNumId w:val="15"/>
  </w:num>
  <w:num w:numId="14" w16cid:durableId="475685196">
    <w:abstractNumId w:val="44"/>
  </w:num>
  <w:num w:numId="15" w16cid:durableId="1642926779">
    <w:abstractNumId w:val="29"/>
  </w:num>
  <w:num w:numId="16" w16cid:durableId="1058556969">
    <w:abstractNumId w:val="8"/>
  </w:num>
  <w:num w:numId="17" w16cid:durableId="1615288040">
    <w:abstractNumId w:val="38"/>
  </w:num>
  <w:num w:numId="18" w16cid:durableId="931091007">
    <w:abstractNumId w:val="0"/>
  </w:num>
  <w:num w:numId="19" w16cid:durableId="923609894">
    <w:abstractNumId w:val="9"/>
  </w:num>
  <w:num w:numId="20" w16cid:durableId="1394617939">
    <w:abstractNumId w:val="27"/>
  </w:num>
  <w:num w:numId="21" w16cid:durableId="762846547">
    <w:abstractNumId w:val="27"/>
  </w:num>
  <w:num w:numId="22" w16cid:durableId="1527332271">
    <w:abstractNumId w:val="27"/>
  </w:num>
  <w:num w:numId="23" w16cid:durableId="1286624254">
    <w:abstractNumId w:val="27"/>
  </w:num>
  <w:num w:numId="24" w16cid:durableId="419179673">
    <w:abstractNumId w:val="3"/>
  </w:num>
  <w:num w:numId="25" w16cid:durableId="270623201">
    <w:abstractNumId w:val="26"/>
  </w:num>
  <w:num w:numId="26" w16cid:durableId="578096589">
    <w:abstractNumId w:val="27"/>
  </w:num>
  <w:num w:numId="27" w16cid:durableId="596258499">
    <w:abstractNumId w:val="27"/>
  </w:num>
  <w:num w:numId="28" w16cid:durableId="868373629">
    <w:abstractNumId w:val="47"/>
  </w:num>
  <w:num w:numId="29" w16cid:durableId="1818453924">
    <w:abstractNumId w:val="31"/>
  </w:num>
  <w:num w:numId="30" w16cid:durableId="33889563">
    <w:abstractNumId w:val="27"/>
  </w:num>
  <w:num w:numId="31" w16cid:durableId="334305242">
    <w:abstractNumId w:val="27"/>
  </w:num>
  <w:num w:numId="32" w16cid:durableId="2144695069">
    <w:abstractNumId w:val="27"/>
  </w:num>
  <w:num w:numId="33" w16cid:durableId="747187422">
    <w:abstractNumId w:val="27"/>
  </w:num>
  <w:num w:numId="34" w16cid:durableId="1402950846">
    <w:abstractNumId w:val="25"/>
  </w:num>
  <w:num w:numId="35" w16cid:durableId="903301578">
    <w:abstractNumId w:val="14"/>
  </w:num>
  <w:num w:numId="36" w16cid:durableId="1150245201">
    <w:abstractNumId w:val="33"/>
  </w:num>
  <w:num w:numId="37" w16cid:durableId="305161022">
    <w:abstractNumId w:val="27"/>
  </w:num>
  <w:num w:numId="38" w16cid:durableId="563368069">
    <w:abstractNumId w:val="27"/>
  </w:num>
  <w:num w:numId="39" w16cid:durableId="1939096994">
    <w:abstractNumId w:val="16"/>
  </w:num>
  <w:num w:numId="40" w16cid:durableId="289631526">
    <w:abstractNumId w:val="20"/>
  </w:num>
  <w:num w:numId="41" w16cid:durableId="1335263079">
    <w:abstractNumId w:val="39"/>
  </w:num>
  <w:num w:numId="42" w16cid:durableId="1394936825">
    <w:abstractNumId w:val="1"/>
  </w:num>
  <w:num w:numId="43" w16cid:durableId="1322848359">
    <w:abstractNumId w:val="45"/>
  </w:num>
  <w:num w:numId="44" w16cid:durableId="1473256570">
    <w:abstractNumId w:val="19"/>
  </w:num>
  <w:num w:numId="45" w16cid:durableId="1619484626">
    <w:abstractNumId w:val="34"/>
  </w:num>
  <w:num w:numId="46" w16cid:durableId="1095632827">
    <w:abstractNumId w:val="35"/>
  </w:num>
  <w:num w:numId="47" w16cid:durableId="841774169">
    <w:abstractNumId w:val="36"/>
  </w:num>
  <w:num w:numId="48" w16cid:durableId="70472139">
    <w:abstractNumId w:val="7"/>
  </w:num>
  <w:num w:numId="49" w16cid:durableId="823738357">
    <w:abstractNumId w:val="5"/>
  </w:num>
  <w:num w:numId="50" w16cid:durableId="1998072741">
    <w:abstractNumId w:val="12"/>
  </w:num>
  <w:num w:numId="51" w16cid:durableId="70591373">
    <w:abstractNumId w:val="20"/>
  </w:num>
  <w:num w:numId="52" w16cid:durableId="1190995177">
    <w:abstractNumId w:val="22"/>
  </w:num>
  <w:num w:numId="53" w16cid:durableId="490364990">
    <w:abstractNumId w:val="2"/>
  </w:num>
  <w:num w:numId="54" w16cid:durableId="1744257739">
    <w:abstractNumId w:val="18"/>
  </w:num>
  <w:num w:numId="55" w16cid:durableId="1766922712">
    <w:abstractNumId w:val="13"/>
  </w:num>
  <w:num w:numId="56" w16cid:durableId="1222523111">
    <w:abstractNumId w:val="23"/>
  </w:num>
  <w:num w:numId="57" w16cid:durableId="347099017">
    <w:abstractNumId w:val="4"/>
  </w:num>
  <w:num w:numId="58" w16cid:durableId="1048072022">
    <w:abstractNumId w:val="41"/>
  </w:num>
  <w:num w:numId="59" w16cid:durableId="1323191910">
    <w:abstractNumId w:val="42"/>
  </w:num>
  <w:num w:numId="60" w16cid:durableId="275600369">
    <w:abstractNumId w:val="6"/>
  </w:num>
  <w:num w:numId="61" w16cid:durableId="267543543">
    <w:abstractNumId w:val="21"/>
  </w:num>
  <w:num w:numId="62" w16cid:durableId="1555313202">
    <w:abstractNumId w:val="43"/>
  </w:num>
  <w:num w:numId="63" w16cid:durableId="2119597883">
    <w:abstractNumId w:val="32"/>
  </w:num>
  <w:num w:numId="64" w16cid:durableId="943072438">
    <w:abstractNumId w:val="10"/>
  </w:num>
  <w:num w:numId="65" w16cid:durableId="325978442">
    <w:abstractNumId w:val="11"/>
  </w:num>
  <w:num w:numId="66" w16cid:durableId="867329993">
    <w:abstractNumId w:val="4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0E30"/>
    <w:rsid w:val="00041306"/>
    <w:rsid w:val="000429F6"/>
    <w:rsid w:val="000435E5"/>
    <w:rsid w:val="00044BD6"/>
    <w:rsid w:val="00044D6A"/>
    <w:rsid w:val="000454C6"/>
    <w:rsid w:val="0005144B"/>
    <w:rsid w:val="000539E5"/>
    <w:rsid w:val="0005501B"/>
    <w:rsid w:val="000561E0"/>
    <w:rsid w:val="00057054"/>
    <w:rsid w:val="00060DC1"/>
    <w:rsid w:val="00061496"/>
    <w:rsid w:val="000624CD"/>
    <w:rsid w:val="0006273D"/>
    <w:rsid w:val="00063C0F"/>
    <w:rsid w:val="000645A0"/>
    <w:rsid w:val="000655D6"/>
    <w:rsid w:val="000666DE"/>
    <w:rsid w:val="00067BA1"/>
    <w:rsid w:val="00067DA3"/>
    <w:rsid w:val="000724EA"/>
    <w:rsid w:val="00073470"/>
    <w:rsid w:val="00074906"/>
    <w:rsid w:val="000755A8"/>
    <w:rsid w:val="00075668"/>
    <w:rsid w:val="0007689E"/>
    <w:rsid w:val="00077447"/>
    <w:rsid w:val="00081AC5"/>
    <w:rsid w:val="00084A9F"/>
    <w:rsid w:val="00085D33"/>
    <w:rsid w:val="00086AB5"/>
    <w:rsid w:val="000876D9"/>
    <w:rsid w:val="00087DF7"/>
    <w:rsid w:val="00087FB8"/>
    <w:rsid w:val="00090CB4"/>
    <w:rsid w:val="00091CD3"/>
    <w:rsid w:val="00092EC2"/>
    <w:rsid w:val="000936AE"/>
    <w:rsid w:val="00095246"/>
    <w:rsid w:val="000957CB"/>
    <w:rsid w:val="00095EA0"/>
    <w:rsid w:val="000976D4"/>
    <w:rsid w:val="00097ABC"/>
    <w:rsid w:val="000A06A0"/>
    <w:rsid w:val="000A2081"/>
    <w:rsid w:val="000A2F6A"/>
    <w:rsid w:val="000A3992"/>
    <w:rsid w:val="000A48AF"/>
    <w:rsid w:val="000A48C4"/>
    <w:rsid w:val="000A4ABD"/>
    <w:rsid w:val="000A5524"/>
    <w:rsid w:val="000A73D1"/>
    <w:rsid w:val="000B0429"/>
    <w:rsid w:val="000B26B8"/>
    <w:rsid w:val="000B28C0"/>
    <w:rsid w:val="000B2B95"/>
    <w:rsid w:val="000B30B0"/>
    <w:rsid w:val="000B3CFB"/>
    <w:rsid w:val="000B3FB2"/>
    <w:rsid w:val="000B4D64"/>
    <w:rsid w:val="000B57EF"/>
    <w:rsid w:val="000B5B74"/>
    <w:rsid w:val="000C0DA0"/>
    <w:rsid w:val="000C2E11"/>
    <w:rsid w:val="000C498F"/>
    <w:rsid w:val="000C5347"/>
    <w:rsid w:val="000C57EE"/>
    <w:rsid w:val="000C5E99"/>
    <w:rsid w:val="000C7857"/>
    <w:rsid w:val="000C7E02"/>
    <w:rsid w:val="000D090C"/>
    <w:rsid w:val="000D21F7"/>
    <w:rsid w:val="000D2B8F"/>
    <w:rsid w:val="000D33CF"/>
    <w:rsid w:val="000D3460"/>
    <w:rsid w:val="000D3733"/>
    <w:rsid w:val="000D3B29"/>
    <w:rsid w:val="000D5C66"/>
    <w:rsid w:val="000D7CF5"/>
    <w:rsid w:val="000E1816"/>
    <w:rsid w:val="000E23FE"/>
    <w:rsid w:val="000E41DA"/>
    <w:rsid w:val="000E524C"/>
    <w:rsid w:val="000E5D8C"/>
    <w:rsid w:val="000E6367"/>
    <w:rsid w:val="000E6EA4"/>
    <w:rsid w:val="000F0761"/>
    <w:rsid w:val="000F077E"/>
    <w:rsid w:val="000F53F5"/>
    <w:rsid w:val="000F67F1"/>
    <w:rsid w:val="00102883"/>
    <w:rsid w:val="00103AB8"/>
    <w:rsid w:val="0010408A"/>
    <w:rsid w:val="00104921"/>
    <w:rsid w:val="00107C87"/>
    <w:rsid w:val="00107F81"/>
    <w:rsid w:val="0011026C"/>
    <w:rsid w:val="00110831"/>
    <w:rsid w:val="00110936"/>
    <w:rsid w:val="0011243B"/>
    <w:rsid w:val="00112962"/>
    <w:rsid w:val="00114F6B"/>
    <w:rsid w:val="00116AB9"/>
    <w:rsid w:val="001204BB"/>
    <w:rsid w:val="0012422E"/>
    <w:rsid w:val="00124319"/>
    <w:rsid w:val="00125256"/>
    <w:rsid w:val="00125262"/>
    <w:rsid w:val="00127A2B"/>
    <w:rsid w:val="00130466"/>
    <w:rsid w:val="0013118C"/>
    <w:rsid w:val="0013132B"/>
    <w:rsid w:val="00131995"/>
    <w:rsid w:val="00131ECC"/>
    <w:rsid w:val="00131F55"/>
    <w:rsid w:val="001320BF"/>
    <w:rsid w:val="00133166"/>
    <w:rsid w:val="001343F4"/>
    <w:rsid w:val="001415BD"/>
    <w:rsid w:val="0014172A"/>
    <w:rsid w:val="001424A9"/>
    <w:rsid w:val="00143245"/>
    <w:rsid w:val="00144964"/>
    <w:rsid w:val="0014681C"/>
    <w:rsid w:val="00146FCC"/>
    <w:rsid w:val="001476BC"/>
    <w:rsid w:val="00147C74"/>
    <w:rsid w:val="001501C0"/>
    <w:rsid w:val="00152DBD"/>
    <w:rsid w:val="00153EEA"/>
    <w:rsid w:val="001549CA"/>
    <w:rsid w:val="00154B4B"/>
    <w:rsid w:val="00155BD2"/>
    <w:rsid w:val="00156B15"/>
    <w:rsid w:val="00156F40"/>
    <w:rsid w:val="00157813"/>
    <w:rsid w:val="00160A0A"/>
    <w:rsid w:val="001618BD"/>
    <w:rsid w:val="0017115E"/>
    <w:rsid w:val="001729FF"/>
    <w:rsid w:val="00173C6C"/>
    <w:rsid w:val="00175C5F"/>
    <w:rsid w:val="00177BEC"/>
    <w:rsid w:val="001804BB"/>
    <w:rsid w:val="00180969"/>
    <w:rsid w:val="00181E74"/>
    <w:rsid w:val="00186DB3"/>
    <w:rsid w:val="00187869"/>
    <w:rsid w:val="00190A0F"/>
    <w:rsid w:val="00192EA8"/>
    <w:rsid w:val="00193EF9"/>
    <w:rsid w:val="00194C2D"/>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5046"/>
    <w:rsid w:val="001B7653"/>
    <w:rsid w:val="001C05DD"/>
    <w:rsid w:val="001C2765"/>
    <w:rsid w:val="001C488E"/>
    <w:rsid w:val="001C5CBE"/>
    <w:rsid w:val="001C672C"/>
    <w:rsid w:val="001C6778"/>
    <w:rsid w:val="001C78DB"/>
    <w:rsid w:val="001D61D9"/>
    <w:rsid w:val="001D64ED"/>
    <w:rsid w:val="001D738C"/>
    <w:rsid w:val="001E1795"/>
    <w:rsid w:val="001E2636"/>
    <w:rsid w:val="001E32BA"/>
    <w:rsid w:val="001E39BC"/>
    <w:rsid w:val="001E4DB2"/>
    <w:rsid w:val="001E4F29"/>
    <w:rsid w:val="001E6821"/>
    <w:rsid w:val="001F428B"/>
    <w:rsid w:val="001F4A47"/>
    <w:rsid w:val="001F606D"/>
    <w:rsid w:val="001F6697"/>
    <w:rsid w:val="001F6FE5"/>
    <w:rsid w:val="001F7B24"/>
    <w:rsid w:val="00202F36"/>
    <w:rsid w:val="002042FE"/>
    <w:rsid w:val="00204D63"/>
    <w:rsid w:val="00204E75"/>
    <w:rsid w:val="00205D92"/>
    <w:rsid w:val="00210237"/>
    <w:rsid w:val="0021251D"/>
    <w:rsid w:val="0021257F"/>
    <w:rsid w:val="0021321E"/>
    <w:rsid w:val="00213758"/>
    <w:rsid w:val="002140EE"/>
    <w:rsid w:val="00214229"/>
    <w:rsid w:val="00220F77"/>
    <w:rsid w:val="002226F9"/>
    <w:rsid w:val="00223E65"/>
    <w:rsid w:val="00224CDA"/>
    <w:rsid w:val="0022521A"/>
    <w:rsid w:val="002310A5"/>
    <w:rsid w:val="00232B0D"/>
    <w:rsid w:val="00232DD9"/>
    <w:rsid w:val="002333FE"/>
    <w:rsid w:val="00234729"/>
    <w:rsid w:val="002371AD"/>
    <w:rsid w:val="00237439"/>
    <w:rsid w:val="00240017"/>
    <w:rsid w:val="002403F5"/>
    <w:rsid w:val="00242C8D"/>
    <w:rsid w:val="00245C04"/>
    <w:rsid w:val="0024693E"/>
    <w:rsid w:val="00247C7E"/>
    <w:rsid w:val="00247D29"/>
    <w:rsid w:val="00247E16"/>
    <w:rsid w:val="00250A8D"/>
    <w:rsid w:val="00251851"/>
    <w:rsid w:val="002535D4"/>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7710"/>
    <w:rsid w:val="002B1476"/>
    <w:rsid w:val="002B27EA"/>
    <w:rsid w:val="002B2AA6"/>
    <w:rsid w:val="002B3355"/>
    <w:rsid w:val="002B3891"/>
    <w:rsid w:val="002B3915"/>
    <w:rsid w:val="002B5CB4"/>
    <w:rsid w:val="002B69C6"/>
    <w:rsid w:val="002B706A"/>
    <w:rsid w:val="002C1F58"/>
    <w:rsid w:val="002C3604"/>
    <w:rsid w:val="002C3633"/>
    <w:rsid w:val="002C36D7"/>
    <w:rsid w:val="002C3E40"/>
    <w:rsid w:val="002C4F66"/>
    <w:rsid w:val="002C5937"/>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3AA"/>
    <w:rsid w:val="002E7927"/>
    <w:rsid w:val="002F09B9"/>
    <w:rsid w:val="002F0D76"/>
    <w:rsid w:val="002F3F87"/>
    <w:rsid w:val="002F5A9C"/>
    <w:rsid w:val="002F7B47"/>
    <w:rsid w:val="0030153D"/>
    <w:rsid w:val="0030770B"/>
    <w:rsid w:val="00315263"/>
    <w:rsid w:val="003174D2"/>
    <w:rsid w:val="00320AEF"/>
    <w:rsid w:val="003226C3"/>
    <w:rsid w:val="0032359A"/>
    <w:rsid w:val="0032424B"/>
    <w:rsid w:val="00324262"/>
    <w:rsid w:val="003248CB"/>
    <w:rsid w:val="00324C2B"/>
    <w:rsid w:val="003253FD"/>
    <w:rsid w:val="00330498"/>
    <w:rsid w:val="003306E0"/>
    <w:rsid w:val="00330E26"/>
    <w:rsid w:val="00333C6B"/>
    <w:rsid w:val="0034164C"/>
    <w:rsid w:val="0034165C"/>
    <w:rsid w:val="00341814"/>
    <w:rsid w:val="0034268F"/>
    <w:rsid w:val="00343F7D"/>
    <w:rsid w:val="00344CBC"/>
    <w:rsid w:val="00346F98"/>
    <w:rsid w:val="00350389"/>
    <w:rsid w:val="00350957"/>
    <w:rsid w:val="00351C51"/>
    <w:rsid w:val="00352EBB"/>
    <w:rsid w:val="0035359D"/>
    <w:rsid w:val="003544AC"/>
    <w:rsid w:val="003576C5"/>
    <w:rsid w:val="003610F4"/>
    <w:rsid w:val="003635DD"/>
    <w:rsid w:val="00363CAC"/>
    <w:rsid w:val="00366805"/>
    <w:rsid w:val="00367D09"/>
    <w:rsid w:val="00371F35"/>
    <w:rsid w:val="00380FF0"/>
    <w:rsid w:val="003810C0"/>
    <w:rsid w:val="003817E5"/>
    <w:rsid w:val="00381937"/>
    <w:rsid w:val="0038211C"/>
    <w:rsid w:val="00382511"/>
    <w:rsid w:val="00382760"/>
    <w:rsid w:val="00385AFB"/>
    <w:rsid w:val="003863D2"/>
    <w:rsid w:val="00390673"/>
    <w:rsid w:val="00390801"/>
    <w:rsid w:val="00392AB2"/>
    <w:rsid w:val="00396D36"/>
    <w:rsid w:val="00396F8A"/>
    <w:rsid w:val="003972D1"/>
    <w:rsid w:val="00397B82"/>
    <w:rsid w:val="003A0E09"/>
    <w:rsid w:val="003A101D"/>
    <w:rsid w:val="003A19B2"/>
    <w:rsid w:val="003A19CC"/>
    <w:rsid w:val="003A1CE3"/>
    <w:rsid w:val="003A39D5"/>
    <w:rsid w:val="003A4AFD"/>
    <w:rsid w:val="003A4F63"/>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51DB"/>
    <w:rsid w:val="00425581"/>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54F90"/>
    <w:rsid w:val="0045591A"/>
    <w:rsid w:val="00460464"/>
    <w:rsid w:val="004625FD"/>
    <w:rsid w:val="0046345D"/>
    <w:rsid w:val="00463B3E"/>
    <w:rsid w:val="00464A38"/>
    <w:rsid w:val="00464AB1"/>
    <w:rsid w:val="004652FF"/>
    <w:rsid w:val="00465DB2"/>
    <w:rsid w:val="00471A74"/>
    <w:rsid w:val="00474787"/>
    <w:rsid w:val="004749A0"/>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095F"/>
    <w:rsid w:val="004C11AA"/>
    <w:rsid w:val="004C1CF5"/>
    <w:rsid w:val="004C2C6C"/>
    <w:rsid w:val="004C3B0A"/>
    <w:rsid w:val="004C5C38"/>
    <w:rsid w:val="004C5C6C"/>
    <w:rsid w:val="004C7128"/>
    <w:rsid w:val="004C7A9D"/>
    <w:rsid w:val="004C7FC9"/>
    <w:rsid w:val="004D02F7"/>
    <w:rsid w:val="004D37AB"/>
    <w:rsid w:val="004D558C"/>
    <w:rsid w:val="004D69FF"/>
    <w:rsid w:val="004E0DBB"/>
    <w:rsid w:val="004E23E1"/>
    <w:rsid w:val="004E286C"/>
    <w:rsid w:val="004E48B7"/>
    <w:rsid w:val="004E641A"/>
    <w:rsid w:val="004E676C"/>
    <w:rsid w:val="004E6A8A"/>
    <w:rsid w:val="004F14EA"/>
    <w:rsid w:val="004F1969"/>
    <w:rsid w:val="004F1BD8"/>
    <w:rsid w:val="004F3E04"/>
    <w:rsid w:val="004F49FC"/>
    <w:rsid w:val="00500032"/>
    <w:rsid w:val="00500658"/>
    <w:rsid w:val="00500C17"/>
    <w:rsid w:val="00501205"/>
    <w:rsid w:val="005012C0"/>
    <w:rsid w:val="005035C0"/>
    <w:rsid w:val="005043D8"/>
    <w:rsid w:val="00506A59"/>
    <w:rsid w:val="005078B2"/>
    <w:rsid w:val="0051398C"/>
    <w:rsid w:val="00515618"/>
    <w:rsid w:val="005161AE"/>
    <w:rsid w:val="00517C77"/>
    <w:rsid w:val="0052076C"/>
    <w:rsid w:val="00520F68"/>
    <w:rsid w:val="00524032"/>
    <w:rsid w:val="00524BA2"/>
    <w:rsid w:val="005252E1"/>
    <w:rsid w:val="00525EB8"/>
    <w:rsid w:val="005279B4"/>
    <w:rsid w:val="0053036A"/>
    <w:rsid w:val="00530559"/>
    <w:rsid w:val="00530630"/>
    <w:rsid w:val="005320AC"/>
    <w:rsid w:val="00532C91"/>
    <w:rsid w:val="00534518"/>
    <w:rsid w:val="00543519"/>
    <w:rsid w:val="005456FF"/>
    <w:rsid w:val="00545A7C"/>
    <w:rsid w:val="00546DF7"/>
    <w:rsid w:val="00547A24"/>
    <w:rsid w:val="0055062F"/>
    <w:rsid w:val="00550A89"/>
    <w:rsid w:val="00552F5B"/>
    <w:rsid w:val="00553BD0"/>
    <w:rsid w:val="00554039"/>
    <w:rsid w:val="005555E1"/>
    <w:rsid w:val="00555E96"/>
    <w:rsid w:val="005602D0"/>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2FCA"/>
    <w:rsid w:val="005936A7"/>
    <w:rsid w:val="00594340"/>
    <w:rsid w:val="00594398"/>
    <w:rsid w:val="005952DA"/>
    <w:rsid w:val="0059597B"/>
    <w:rsid w:val="00596A29"/>
    <w:rsid w:val="005A1F2B"/>
    <w:rsid w:val="005A2363"/>
    <w:rsid w:val="005A2646"/>
    <w:rsid w:val="005A29FF"/>
    <w:rsid w:val="005A3567"/>
    <w:rsid w:val="005A40B2"/>
    <w:rsid w:val="005A4D5F"/>
    <w:rsid w:val="005A5E0F"/>
    <w:rsid w:val="005A7579"/>
    <w:rsid w:val="005B1F77"/>
    <w:rsid w:val="005B237F"/>
    <w:rsid w:val="005B38B6"/>
    <w:rsid w:val="005B4B34"/>
    <w:rsid w:val="005B4B7E"/>
    <w:rsid w:val="005B58B2"/>
    <w:rsid w:val="005B6387"/>
    <w:rsid w:val="005B6E03"/>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242D"/>
    <w:rsid w:val="005E5B12"/>
    <w:rsid w:val="005E5EC9"/>
    <w:rsid w:val="005F0896"/>
    <w:rsid w:val="005F38D0"/>
    <w:rsid w:val="005F50E1"/>
    <w:rsid w:val="005F57A9"/>
    <w:rsid w:val="005F6301"/>
    <w:rsid w:val="005F7791"/>
    <w:rsid w:val="006025A8"/>
    <w:rsid w:val="00602EBD"/>
    <w:rsid w:val="00603556"/>
    <w:rsid w:val="00604579"/>
    <w:rsid w:val="00604894"/>
    <w:rsid w:val="00605780"/>
    <w:rsid w:val="006219A2"/>
    <w:rsid w:val="00621E8D"/>
    <w:rsid w:val="00622910"/>
    <w:rsid w:val="0062333D"/>
    <w:rsid w:val="00623CAC"/>
    <w:rsid w:val="00623CDF"/>
    <w:rsid w:val="00624749"/>
    <w:rsid w:val="0062674A"/>
    <w:rsid w:val="00626A4C"/>
    <w:rsid w:val="00630391"/>
    <w:rsid w:val="0063217F"/>
    <w:rsid w:val="00642D14"/>
    <w:rsid w:val="006438A5"/>
    <w:rsid w:val="00644A34"/>
    <w:rsid w:val="00645034"/>
    <w:rsid w:val="0064573E"/>
    <w:rsid w:val="00646E39"/>
    <w:rsid w:val="0064778A"/>
    <w:rsid w:val="00652873"/>
    <w:rsid w:val="00653600"/>
    <w:rsid w:val="00653FE7"/>
    <w:rsid w:val="006545A5"/>
    <w:rsid w:val="00654A83"/>
    <w:rsid w:val="0065647E"/>
    <w:rsid w:val="006614AC"/>
    <w:rsid w:val="00662020"/>
    <w:rsid w:val="00662EDC"/>
    <w:rsid w:val="00667019"/>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27C"/>
    <w:rsid w:val="006946CD"/>
    <w:rsid w:val="00694812"/>
    <w:rsid w:val="00695E3B"/>
    <w:rsid w:val="00697D0D"/>
    <w:rsid w:val="006A1E20"/>
    <w:rsid w:val="006A2199"/>
    <w:rsid w:val="006A279E"/>
    <w:rsid w:val="006A52F3"/>
    <w:rsid w:val="006B11BE"/>
    <w:rsid w:val="006B1801"/>
    <w:rsid w:val="006B529A"/>
    <w:rsid w:val="006B7473"/>
    <w:rsid w:val="006C0ACA"/>
    <w:rsid w:val="006C2BCE"/>
    <w:rsid w:val="006C3B73"/>
    <w:rsid w:val="006C58CB"/>
    <w:rsid w:val="006C6BEC"/>
    <w:rsid w:val="006D2F0D"/>
    <w:rsid w:val="006D43A5"/>
    <w:rsid w:val="006D49D7"/>
    <w:rsid w:val="006D4D77"/>
    <w:rsid w:val="006D61AD"/>
    <w:rsid w:val="006D61E9"/>
    <w:rsid w:val="006D672B"/>
    <w:rsid w:val="006E0095"/>
    <w:rsid w:val="006E2665"/>
    <w:rsid w:val="006E3D66"/>
    <w:rsid w:val="006E3FA6"/>
    <w:rsid w:val="006E4250"/>
    <w:rsid w:val="006E5964"/>
    <w:rsid w:val="006E5CB2"/>
    <w:rsid w:val="006F10F2"/>
    <w:rsid w:val="006F147A"/>
    <w:rsid w:val="006F3381"/>
    <w:rsid w:val="006F41F4"/>
    <w:rsid w:val="006F563E"/>
    <w:rsid w:val="006F5F9C"/>
    <w:rsid w:val="006F7AC6"/>
    <w:rsid w:val="007000E7"/>
    <w:rsid w:val="007015BD"/>
    <w:rsid w:val="00701ABA"/>
    <w:rsid w:val="00702572"/>
    <w:rsid w:val="007060AA"/>
    <w:rsid w:val="0070717E"/>
    <w:rsid w:val="00710A3F"/>
    <w:rsid w:val="00710B56"/>
    <w:rsid w:val="0071168A"/>
    <w:rsid w:val="00711B6C"/>
    <w:rsid w:val="00711C8D"/>
    <w:rsid w:val="00712598"/>
    <w:rsid w:val="0071413B"/>
    <w:rsid w:val="00716995"/>
    <w:rsid w:val="0072161B"/>
    <w:rsid w:val="00722703"/>
    <w:rsid w:val="0072433D"/>
    <w:rsid w:val="0072563C"/>
    <w:rsid w:val="00727D08"/>
    <w:rsid w:val="00727D70"/>
    <w:rsid w:val="00731553"/>
    <w:rsid w:val="00733BC9"/>
    <w:rsid w:val="00736A32"/>
    <w:rsid w:val="007372B7"/>
    <w:rsid w:val="00737C52"/>
    <w:rsid w:val="007404F8"/>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A72F2"/>
    <w:rsid w:val="007B1092"/>
    <w:rsid w:val="007B24FA"/>
    <w:rsid w:val="007B2CC6"/>
    <w:rsid w:val="007B407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358D"/>
    <w:rsid w:val="007F71D6"/>
    <w:rsid w:val="007F78FA"/>
    <w:rsid w:val="0080348C"/>
    <w:rsid w:val="008038C1"/>
    <w:rsid w:val="00804815"/>
    <w:rsid w:val="00805E55"/>
    <w:rsid w:val="008122FF"/>
    <w:rsid w:val="008128C7"/>
    <w:rsid w:val="00812DB6"/>
    <w:rsid w:val="0081331F"/>
    <w:rsid w:val="00820128"/>
    <w:rsid w:val="00820A5D"/>
    <w:rsid w:val="00821436"/>
    <w:rsid w:val="008218E3"/>
    <w:rsid w:val="00821B9D"/>
    <w:rsid w:val="00823A74"/>
    <w:rsid w:val="008254F6"/>
    <w:rsid w:val="00827F13"/>
    <w:rsid w:val="00830CF7"/>
    <w:rsid w:val="008324F7"/>
    <w:rsid w:val="00834C4E"/>
    <w:rsid w:val="00836BDC"/>
    <w:rsid w:val="00836DFC"/>
    <w:rsid w:val="00840209"/>
    <w:rsid w:val="00840F8B"/>
    <w:rsid w:val="00843C9E"/>
    <w:rsid w:val="00844782"/>
    <w:rsid w:val="008448A6"/>
    <w:rsid w:val="00845B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168D"/>
    <w:rsid w:val="008925EF"/>
    <w:rsid w:val="0089263F"/>
    <w:rsid w:val="008927DB"/>
    <w:rsid w:val="00893259"/>
    <w:rsid w:val="00893EFD"/>
    <w:rsid w:val="008943C3"/>
    <w:rsid w:val="008A2097"/>
    <w:rsid w:val="008A2AB7"/>
    <w:rsid w:val="008A30BF"/>
    <w:rsid w:val="008A3711"/>
    <w:rsid w:val="008A543B"/>
    <w:rsid w:val="008B0A42"/>
    <w:rsid w:val="008B0CD3"/>
    <w:rsid w:val="008B3FC7"/>
    <w:rsid w:val="008B6882"/>
    <w:rsid w:val="008B6E4F"/>
    <w:rsid w:val="008C0917"/>
    <w:rsid w:val="008C0B08"/>
    <w:rsid w:val="008C0BA2"/>
    <w:rsid w:val="008C0DC5"/>
    <w:rsid w:val="008C1D02"/>
    <w:rsid w:val="008C1DD8"/>
    <w:rsid w:val="008C25BB"/>
    <w:rsid w:val="008C2650"/>
    <w:rsid w:val="008C364F"/>
    <w:rsid w:val="008C6061"/>
    <w:rsid w:val="008D1C82"/>
    <w:rsid w:val="008D4273"/>
    <w:rsid w:val="008D532F"/>
    <w:rsid w:val="008D5555"/>
    <w:rsid w:val="008D566B"/>
    <w:rsid w:val="008D689E"/>
    <w:rsid w:val="008E0231"/>
    <w:rsid w:val="008E0A5C"/>
    <w:rsid w:val="008E2821"/>
    <w:rsid w:val="008E53A1"/>
    <w:rsid w:val="008E5A96"/>
    <w:rsid w:val="008F04BA"/>
    <w:rsid w:val="008F04D4"/>
    <w:rsid w:val="008F0EF7"/>
    <w:rsid w:val="008F10FD"/>
    <w:rsid w:val="008F368D"/>
    <w:rsid w:val="0090255F"/>
    <w:rsid w:val="009029B0"/>
    <w:rsid w:val="00904FAF"/>
    <w:rsid w:val="009057D7"/>
    <w:rsid w:val="00905B56"/>
    <w:rsid w:val="0090719E"/>
    <w:rsid w:val="0091052A"/>
    <w:rsid w:val="0091238A"/>
    <w:rsid w:val="00914D22"/>
    <w:rsid w:val="00914E92"/>
    <w:rsid w:val="0091520A"/>
    <w:rsid w:val="00916809"/>
    <w:rsid w:val="00916A44"/>
    <w:rsid w:val="00917BAB"/>
    <w:rsid w:val="00921CD6"/>
    <w:rsid w:val="00923997"/>
    <w:rsid w:val="00923A82"/>
    <w:rsid w:val="00923F17"/>
    <w:rsid w:val="00924491"/>
    <w:rsid w:val="00927483"/>
    <w:rsid w:val="009276C8"/>
    <w:rsid w:val="0093086A"/>
    <w:rsid w:val="00932A75"/>
    <w:rsid w:val="00933B20"/>
    <w:rsid w:val="0093509D"/>
    <w:rsid w:val="00935D59"/>
    <w:rsid w:val="00936C60"/>
    <w:rsid w:val="009414D1"/>
    <w:rsid w:val="00942094"/>
    <w:rsid w:val="0094338D"/>
    <w:rsid w:val="00947E59"/>
    <w:rsid w:val="0095101F"/>
    <w:rsid w:val="009512E5"/>
    <w:rsid w:val="00952C7B"/>
    <w:rsid w:val="0095663C"/>
    <w:rsid w:val="0095709E"/>
    <w:rsid w:val="00960B84"/>
    <w:rsid w:val="0096355F"/>
    <w:rsid w:val="00963707"/>
    <w:rsid w:val="009642DC"/>
    <w:rsid w:val="009662D0"/>
    <w:rsid w:val="00966D87"/>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52A9"/>
    <w:rsid w:val="00990600"/>
    <w:rsid w:val="009909AA"/>
    <w:rsid w:val="00994942"/>
    <w:rsid w:val="009A0694"/>
    <w:rsid w:val="009A0966"/>
    <w:rsid w:val="009A4C15"/>
    <w:rsid w:val="009A7D76"/>
    <w:rsid w:val="009B0E4D"/>
    <w:rsid w:val="009B1F27"/>
    <w:rsid w:val="009B4963"/>
    <w:rsid w:val="009B4C4F"/>
    <w:rsid w:val="009B65B8"/>
    <w:rsid w:val="009B77C7"/>
    <w:rsid w:val="009C04E9"/>
    <w:rsid w:val="009C058A"/>
    <w:rsid w:val="009C0F91"/>
    <w:rsid w:val="009C13A1"/>
    <w:rsid w:val="009C3A40"/>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E7B29"/>
    <w:rsid w:val="009F30D5"/>
    <w:rsid w:val="009F33B3"/>
    <w:rsid w:val="009F3670"/>
    <w:rsid w:val="009F468A"/>
    <w:rsid w:val="009F6107"/>
    <w:rsid w:val="00A012E3"/>
    <w:rsid w:val="00A01B4C"/>
    <w:rsid w:val="00A03A70"/>
    <w:rsid w:val="00A04A3C"/>
    <w:rsid w:val="00A04E08"/>
    <w:rsid w:val="00A06F24"/>
    <w:rsid w:val="00A10E23"/>
    <w:rsid w:val="00A1431F"/>
    <w:rsid w:val="00A1450A"/>
    <w:rsid w:val="00A165B6"/>
    <w:rsid w:val="00A1751E"/>
    <w:rsid w:val="00A17919"/>
    <w:rsid w:val="00A179A1"/>
    <w:rsid w:val="00A22890"/>
    <w:rsid w:val="00A23170"/>
    <w:rsid w:val="00A23336"/>
    <w:rsid w:val="00A27E49"/>
    <w:rsid w:val="00A304E5"/>
    <w:rsid w:val="00A31EBD"/>
    <w:rsid w:val="00A3389C"/>
    <w:rsid w:val="00A34909"/>
    <w:rsid w:val="00A34CE6"/>
    <w:rsid w:val="00A34CF8"/>
    <w:rsid w:val="00A36251"/>
    <w:rsid w:val="00A3695D"/>
    <w:rsid w:val="00A37B05"/>
    <w:rsid w:val="00A404E8"/>
    <w:rsid w:val="00A41383"/>
    <w:rsid w:val="00A4454D"/>
    <w:rsid w:val="00A44EAB"/>
    <w:rsid w:val="00A4581E"/>
    <w:rsid w:val="00A53291"/>
    <w:rsid w:val="00A53828"/>
    <w:rsid w:val="00A53CEA"/>
    <w:rsid w:val="00A53EEE"/>
    <w:rsid w:val="00A5451A"/>
    <w:rsid w:val="00A54B27"/>
    <w:rsid w:val="00A559D0"/>
    <w:rsid w:val="00A564EB"/>
    <w:rsid w:val="00A604F3"/>
    <w:rsid w:val="00A60D95"/>
    <w:rsid w:val="00A61146"/>
    <w:rsid w:val="00A61412"/>
    <w:rsid w:val="00A61EE1"/>
    <w:rsid w:val="00A61F4E"/>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D32"/>
    <w:rsid w:val="00A86C49"/>
    <w:rsid w:val="00A916F9"/>
    <w:rsid w:val="00A918DA"/>
    <w:rsid w:val="00A91F68"/>
    <w:rsid w:val="00A9383A"/>
    <w:rsid w:val="00A94295"/>
    <w:rsid w:val="00A95C25"/>
    <w:rsid w:val="00A96117"/>
    <w:rsid w:val="00A965FB"/>
    <w:rsid w:val="00A972DB"/>
    <w:rsid w:val="00A97C5C"/>
    <w:rsid w:val="00A97E5F"/>
    <w:rsid w:val="00AA0228"/>
    <w:rsid w:val="00AA36FC"/>
    <w:rsid w:val="00AA379A"/>
    <w:rsid w:val="00AA4737"/>
    <w:rsid w:val="00AA6F37"/>
    <w:rsid w:val="00AB0BE1"/>
    <w:rsid w:val="00AB0E01"/>
    <w:rsid w:val="00AB1A73"/>
    <w:rsid w:val="00AB1FA5"/>
    <w:rsid w:val="00AB320C"/>
    <w:rsid w:val="00AB41E4"/>
    <w:rsid w:val="00AB4204"/>
    <w:rsid w:val="00AB54E3"/>
    <w:rsid w:val="00AB6685"/>
    <w:rsid w:val="00AB694C"/>
    <w:rsid w:val="00AC030C"/>
    <w:rsid w:val="00AC3409"/>
    <w:rsid w:val="00AC3AF0"/>
    <w:rsid w:val="00AC3DD7"/>
    <w:rsid w:val="00AC7086"/>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15C0"/>
    <w:rsid w:val="00B11A9F"/>
    <w:rsid w:val="00B1381F"/>
    <w:rsid w:val="00B148D4"/>
    <w:rsid w:val="00B14D21"/>
    <w:rsid w:val="00B16792"/>
    <w:rsid w:val="00B16C09"/>
    <w:rsid w:val="00B17219"/>
    <w:rsid w:val="00B21EFB"/>
    <w:rsid w:val="00B21F8F"/>
    <w:rsid w:val="00B2268A"/>
    <w:rsid w:val="00B23A98"/>
    <w:rsid w:val="00B24058"/>
    <w:rsid w:val="00B24F79"/>
    <w:rsid w:val="00B26B24"/>
    <w:rsid w:val="00B26E4F"/>
    <w:rsid w:val="00B26F2F"/>
    <w:rsid w:val="00B3100B"/>
    <w:rsid w:val="00B32406"/>
    <w:rsid w:val="00B348DC"/>
    <w:rsid w:val="00B35166"/>
    <w:rsid w:val="00B375AE"/>
    <w:rsid w:val="00B37E44"/>
    <w:rsid w:val="00B42CD6"/>
    <w:rsid w:val="00B4463C"/>
    <w:rsid w:val="00B450D2"/>
    <w:rsid w:val="00B45A7D"/>
    <w:rsid w:val="00B461FD"/>
    <w:rsid w:val="00B46EA4"/>
    <w:rsid w:val="00B47443"/>
    <w:rsid w:val="00B520D0"/>
    <w:rsid w:val="00B525C8"/>
    <w:rsid w:val="00B54928"/>
    <w:rsid w:val="00B56378"/>
    <w:rsid w:val="00B56674"/>
    <w:rsid w:val="00B60622"/>
    <w:rsid w:val="00B61A1B"/>
    <w:rsid w:val="00B66464"/>
    <w:rsid w:val="00B66C88"/>
    <w:rsid w:val="00B678C4"/>
    <w:rsid w:val="00B67B21"/>
    <w:rsid w:val="00B71A86"/>
    <w:rsid w:val="00B71C72"/>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0E3E"/>
    <w:rsid w:val="00BA1C8A"/>
    <w:rsid w:val="00BA2DEB"/>
    <w:rsid w:val="00BA3B2D"/>
    <w:rsid w:val="00BA433C"/>
    <w:rsid w:val="00BA75B1"/>
    <w:rsid w:val="00BB055F"/>
    <w:rsid w:val="00BB09F1"/>
    <w:rsid w:val="00BB2510"/>
    <w:rsid w:val="00BB321B"/>
    <w:rsid w:val="00BB4FCC"/>
    <w:rsid w:val="00BB6D23"/>
    <w:rsid w:val="00BB71E1"/>
    <w:rsid w:val="00BC059A"/>
    <w:rsid w:val="00BC0814"/>
    <w:rsid w:val="00BC14E5"/>
    <w:rsid w:val="00BC1FE5"/>
    <w:rsid w:val="00BC22E2"/>
    <w:rsid w:val="00BC2396"/>
    <w:rsid w:val="00BC4F5A"/>
    <w:rsid w:val="00BC5098"/>
    <w:rsid w:val="00BC58B8"/>
    <w:rsid w:val="00BC5AB0"/>
    <w:rsid w:val="00BC5CD0"/>
    <w:rsid w:val="00BC6B6A"/>
    <w:rsid w:val="00BC6DC8"/>
    <w:rsid w:val="00BC7C29"/>
    <w:rsid w:val="00BD074C"/>
    <w:rsid w:val="00BD0AF5"/>
    <w:rsid w:val="00BD0E54"/>
    <w:rsid w:val="00BD305B"/>
    <w:rsid w:val="00BD45F4"/>
    <w:rsid w:val="00BD5F8C"/>
    <w:rsid w:val="00BD72C0"/>
    <w:rsid w:val="00BD7E10"/>
    <w:rsid w:val="00BE11FE"/>
    <w:rsid w:val="00BE251B"/>
    <w:rsid w:val="00BE2AB4"/>
    <w:rsid w:val="00BE2D9A"/>
    <w:rsid w:val="00BE34AD"/>
    <w:rsid w:val="00BE4303"/>
    <w:rsid w:val="00BE455B"/>
    <w:rsid w:val="00BF1AB9"/>
    <w:rsid w:val="00BF1FBE"/>
    <w:rsid w:val="00BF1FC9"/>
    <w:rsid w:val="00BF333B"/>
    <w:rsid w:val="00BF49A2"/>
    <w:rsid w:val="00BF6736"/>
    <w:rsid w:val="00BF7C0D"/>
    <w:rsid w:val="00C01055"/>
    <w:rsid w:val="00C043B6"/>
    <w:rsid w:val="00C0524A"/>
    <w:rsid w:val="00C05E93"/>
    <w:rsid w:val="00C060E4"/>
    <w:rsid w:val="00C0687E"/>
    <w:rsid w:val="00C07032"/>
    <w:rsid w:val="00C115B1"/>
    <w:rsid w:val="00C141CE"/>
    <w:rsid w:val="00C15F43"/>
    <w:rsid w:val="00C17E20"/>
    <w:rsid w:val="00C20561"/>
    <w:rsid w:val="00C2094E"/>
    <w:rsid w:val="00C20CF7"/>
    <w:rsid w:val="00C212C9"/>
    <w:rsid w:val="00C21D32"/>
    <w:rsid w:val="00C21F68"/>
    <w:rsid w:val="00C23E66"/>
    <w:rsid w:val="00C248F7"/>
    <w:rsid w:val="00C25141"/>
    <w:rsid w:val="00C25856"/>
    <w:rsid w:val="00C260F2"/>
    <w:rsid w:val="00C32D85"/>
    <w:rsid w:val="00C34114"/>
    <w:rsid w:val="00C34AAA"/>
    <w:rsid w:val="00C36B59"/>
    <w:rsid w:val="00C36FB6"/>
    <w:rsid w:val="00C37342"/>
    <w:rsid w:val="00C41461"/>
    <w:rsid w:val="00C41B78"/>
    <w:rsid w:val="00C44DC1"/>
    <w:rsid w:val="00C457E9"/>
    <w:rsid w:val="00C51E48"/>
    <w:rsid w:val="00C522A1"/>
    <w:rsid w:val="00C524AD"/>
    <w:rsid w:val="00C528AE"/>
    <w:rsid w:val="00C53A76"/>
    <w:rsid w:val="00C634CE"/>
    <w:rsid w:val="00C65176"/>
    <w:rsid w:val="00C67913"/>
    <w:rsid w:val="00C7063C"/>
    <w:rsid w:val="00C70FDB"/>
    <w:rsid w:val="00C722C2"/>
    <w:rsid w:val="00C72326"/>
    <w:rsid w:val="00C73D9D"/>
    <w:rsid w:val="00C753B0"/>
    <w:rsid w:val="00C7669B"/>
    <w:rsid w:val="00C77D8B"/>
    <w:rsid w:val="00C80534"/>
    <w:rsid w:val="00C82372"/>
    <w:rsid w:val="00C826E7"/>
    <w:rsid w:val="00C829E1"/>
    <w:rsid w:val="00C84CDF"/>
    <w:rsid w:val="00C857A6"/>
    <w:rsid w:val="00C85986"/>
    <w:rsid w:val="00C87C50"/>
    <w:rsid w:val="00C90A30"/>
    <w:rsid w:val="00C9226C"/>
    <w:rsid w:val="00C93162"/>
    <w:rsid w:val="00C9560F"/>
    <w:rsid w:val="00C96D05"/>
    <w:rsid w:val="00C97BB8"/>
    <w:rsid w:val="00C97CC3"/>
    <w:rsid w:val="00C97D45"/>
    <w:rsid w:val="00CA064E"/>
    <w:rsid w:val="00CA115F"/>
    <w:rsid w:val="00CA4054"/>
    <w:rsid w:val="00CA426B"/>
    <w:rsid w:val="00CA55F7"/>
    <w:rsid w:val="00CA566D"/>
    <w:rsid w:val="00CA676A"/>
    <w:rsid w:val="00CA7D34"/>
    <w:rsid w:val="00CB1ABD"/>
    <w:rsid w:val="00CB2AB6"/>
    <w:rsid w:val="00CB2ED0"/>
    <w:rsid w:val="00CB6568"/>
    <w:rsid w:val="00CB67A5"/>
    <w:rsid w:val="00CC028F"/>
    <w:rsid w:val="00CC1EBB"/>
    <w:rsid w:val="00CC1EF3"/>
    <w:rsid w:val="00CC2F2D"/>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405CD"/>
    <w:rsid w:val="00D40C95"/>
    <w:rsid w:val="00D4151B"/>
    <w:rsid w:val="00D41D7A"/>
    <w:rsid w:val="00D42B1F"/>
    <w:rsid w:val="00D436F2"/>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2F9"/>
    <w:rsid w:val="00D76491"/>
    <w:rsid w:val="00D77E42"/>
    <w:rsid w:val="00D80256"/>
    <w:rsid w:val="00D80C5E"/>
    <w:rsid w:val="00D82C70"/>
    <w:rsid w:val="00D83B5F"/>
    <w:rsid w:val="00D83C93"/>
    <w:rsid w:val="00D844FE"/>
    <w:rsid w:val="00D84807"/>
    <w:rsid w:val="00D9280C"/>
    <w:rsid w:val="00D9300B"/>
    <w:rsid w:val="00D945A7"/>
    <w:rsid w:val="00D97663"/>
    <w:rsid w:val="00D977C5"/>
    <w:rsid w:val="00D97A97"/>
    <w:rsid w:val="00DA330F"/>
    <w:rsid w:val="00DA3936"/>
    <w:rsid w:val="00DA51B3"/>
    <w:rsid w:val="00DB008F"/>
    <w:rsid w:val="00DB01E9"/>
    <w:rsid w:val="00DB13E6"/>
    <w:rsid w:val="00DB29C5"/>
    <w:rsid w:val="00DB2D22"/>
    <w:rsid w:val="00DB2FD1"/>
    <w:rsid w:val="00DB571A"/>
    <w:rsid w:val="00DB591D"/>
    <w:rsid w:val="00DB602A"/>
    <w:rsid w:val="00DB6D02"/>
    <w:rsid w:val="00DC120D"/>
    <w:rsid w:val="00DC2F84"/>
    <w:rsid w:val="00DC4CC6"/>
    <w:rsid w:val="00DC5C65"/>
    <w:rsid w:val="00DC6FDA"/>
    <w:rsid w:val="00DC7787"/>
    <w:rsid w:val="00DC788B"/>
    <w:rsid w:val="00DD2008"/>
    <w:rsid w:val="00DD3DE6"/>
    <w:rsid w:val="00DD7439"/>
    <w:rsid w:val="00DD7FC4"/>
    <w:rsid w:val="00DE02C4"/>
    <w:rsid w:val="00DE3390"/>
    <w:rsid w:val="00DE3BEE"/>
    <w:rsid w:val="00DE4458"/>
    <w:rsid w:val="00DF0823"/>
    <w:rsid w:val="00DF0F91"/>
    <w:rsid w:val="00DF2CFD"/>
    <w:rsid w:val="00DF4C63"/>
    <w:rsid w:val="00DF62CB"/>
    <w:rsid w:val="00DF776B"/>
    <w:rsid w:val="00E00534"/>
    <w:rsid w:val="00E00828"/>
    <w:rsid w:val="00E011FF"/>
    <w:rsid w:val="00E01F49"/>
    <w:rsid w:val="00E032A4"/>
    <w:rsid w:val="00E043B5"/>
    <w:rsid w:val="00E048A8"/>
    <w:rsid w:val="00E054F5"/>
    <w:rsid w:val="00E0742C"/>
    <w:rsid w:val="00E11CFF"/>
    <w:rsid w:val="00E13769"/>
    <w:rsid w:val="00E17254"/>
    <w:rsid w:val="00E1735A"/>
    <w:rsid w:val="00E17AD6"/>
    <w:rsid w:val="00E20D02"/>
    <w:rsid w:val="00E21E45"/>
    <w:rsid w:val="00E22A84"/>
    <w:rsid w:val="00E23873"/>
    <w:rsid w:val="00E3030F"/>
    <w:rsid w:val="00E31170"/>
    <w:rsid w:val="00E313D3"/>
    <w:rsid w:val="00E32348"/>
    <w:rsid w:val="00E337DD"/>
    <w:rsid w:val="00E3417B"/>
    <w:rsid w:val="00E401B9"/>
    <w:rsid w:val="00E4272A"/>
    <w:rsid w:val="00E43A03"/>
    <w:rsid w:val="00E43E8D"/>
    <w:rsid w:val="00E46192"/>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58BC"/>
    <w:rsid w:val="00EA1297"/>
    <w:rsid w:val="00EA138A"/>
    <w:rsid w:val="00EA1E19"/>
    <w:rsid w:val="00EA22B2"/>
    <w:rsid w:val="00EA37C2"/>
    <w:rsid w:val="00EA413F"/>
    <w:rsid w:val="00EA43F6"/>
    <w:rsid w:val="00EA4DAD"/>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E00EF"/>
    <w:rsid w:val="00EE17B4"/>
    <w:rsid w:val="00EE1F4F"/>
    <w:rsid w:val="00EE20CA"/>
    <w:rsid w:val="00EE3FD1"/>
    <w:rsid w:val="00EF098E"/>
    <w:rsid w:val="00EF0CA6"/>
    <w:rsid w:val="00EF2CD6"/>
    <w:rsid w:val="00EF522E"/>
    <w:rsid w:val="00EF566D"/>
    <w:rsid w:val="00EF7B73"/>
    <w:rsid w:val="00F0037B"/>
    <w:rsid w:val="00F00D68"/>
    <w:rsid w:val="00F014EA"/>
    <w:rsid w:val="00F027AD"/>
    <w:rsid w:val="00F027E3"/>
    <w:rsid w:val="00F044A4"/>
    <w:rsid w:val="00F05A97"/>
    <w:rsid w:val="00F05D65"/>
    <w:rsid w:val="00F061D4"/>
    <w:rsid w:val="00F07A4B"/>
    <w:rsid w:val="00F07FB5"/>
    <w:rsid w:val="00F1035E"/>
    <w:rsid w:val="00F1091B"/>
    <w:rsid w:val="00F11538"/>
    <w:rsid w:val="00F11BCF"/>
    <w:rsid w:val="00F12AC7"/>
    <w:rsid w:val="00F14816"/>
    <w:rsid w:val="00F15E5F"/>
    <w:rsid w:val="00F163C7"/>
    <w:rsid w:val="00F16741"/>
    <w:rsid w:val="00F167A9"/>
    <w:rsid w:val="00F168BE"/>
    <w:rsid w:val="00F20342"/>
    <w:rsid w:val="00F20A1D"/>
    <w:rsid w:val="00F20B11"/>
    <w:rsid w:val="00F20F2D"/>
    <w:rsid w:val="00F232B2"/>
    <w:rsid w:val="00F27528"/>
    <w:rsid w:val="00F27839"/>
    <w:rsid w:val="00F2793D"/>
    <w:rsid w:val="00F324E7"/>
    <w:rsid w:val="00F33BE0"/>
    <w:rsid w:val="00F34220"/>
    <w:rsid w:val="00F35569"/>
    <w:rsid w:val="00F35D79"/>
    <w:rsid w:val="00F3703F"/>
    <w:rsid w:val="00F374E3"/>
    <w:rsid w:val="00F37587"/>
    <w:rsid w:val="00F423C2"/>
    <w:rsid w:val="00F43413"/>
    <w:rsid w:val="00F44588"/>
    <w:rsid w:val="00F4461C"/>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359A"/>
    <w:rsid w:val="00F9532E"/>
    <w:rsid w:val="00F96130"/>
    <w:rsid w:val="00F968CC"/>
    <w:rsid w:val="00FA0E0D"/>
    <w:rsid w:val="00FA1199"/>
    <w:rsid w:val="00FA1592"/>
    <w:rsid w:val="00FA1A86"/>
    <w:rsid w:val="00FA20CE"/>
    <w:rsid w:val="00FA2207"/>
    <w:rsid w:val="00FA24A1"/>
    <w:rsid w:val="00FA32F0"/>
    <w:rsid w:val="00FA41B2"/>
    <w:rsid w:val="00FA5E9C"/>
    <w:rsid w:val="00FA6EF4"/>
    <w:rsid w:val="00FB639F"/>
    <w:rsid w:val="00FB7305"/>
    <w:rsid w:val="00FC0F92"/>
    <w:rsid w:val="00FC14B9"/>
    <w:rsid w:val="00FC2BB8"/>
    <w:rsid w:val="00FC2ECA"/>
    <w:rsid w:val="00FD11C0"/>
    <w:rsid w:val="00FD1968"/>
    <w:rsid w:val="00FD1DAB"/>
    <w:rsid w:val="00FD327B"/>
    <w:rsid w:val="00FD5657"/>
    <w:rsid w:val="00FD5FD1"/>
    <w:rsid w:val="00FD64B7"/>
    <w:rsid w:val="00FE1AE2"/>
    <w:rsid w:val="00FE2E50"/>
    <w:rsid w:val="00FE4350"/>
    <w:rsid w:val="00FE592B"/>
    <w:rsid w:val="00FE5D1C"/>
    <w:rsid w:val="00FF0DB3"/>
    <w:rsid w:val="00FF1AEA"/>
    <w:rsid w:val="00FF2079"/>
    <w:rsid w:val="00FF2186"/>
    <w:rsid w:val="00FF23CD"/>
    <w:rsid w:val="00FF36FF"/>
    <w:rsid w:val="00FF4099"/>
    <w:rsid w:val="00FF4D92"/>
    <w:rsid w:val="00FF4EA1"/>
    <w:rsid w:val="00FF770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62F9"/>
    <w:pPr>
      <w:spacing w:after="120" w:line="280" w:lineRule="atLeast"/>
    </w:pPr>
    <w:rPr>
      <w:sz w:val="21"/>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E73AA"/>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E73AA"/>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2E73AA"/>
    <w:rPr>
      <w:sz w:val="21"/>
      <w:lang w:eastAsia="en-US"/>
    </w:rPr>
  </w:style>
  <w:style w:type="paragraph" w:styleId="TOC3">
    <w:name w:val="toc 3"/>
    <w:basedOn w:val="Normal"/>
    <w:next w:val="Normal"/>
    <w:autoRedefine/>
    <w:uiPriority w:val="39"/>
    <w:unhideWhenUsed/>
    <w:rsid w:val="00DA51B3"/>
    <w:pPr>
      <w:spacing w:after="100"/>
      <w:ind w:left="400"/>
    </w:pPr>
  </w:style>
  <w:style w:type="paragraph" w:customStyle="1" w:styleId="m-796057781985766713msolistparagraph">
    <w:name w:val="m_-796057781985766713msolistparagraph"/>
    <w:basedOn w:val="Normal"/>
    <w:rsid w:val="00A53EEE"/>
    <w:pPr>
      <w:spacing w:before="100" w:beforeAutospacing="1" w:after="100" w:afterAutospacing="1" w:line="240" w:lineRule="auto"/>
    </w:pPr>
    <w:rPr>
      <w:rFonts w:ascii="Calibri" w:eastAsiaTheme="minorHAnsi" w:hAnsi="Calibri" w:cs="Calibri"/>
      <w:sz w:val="22"/>
      <w:szCs w:val="22"/>
      <w:lang w:eastAsia="en-GB"/>
    </w:rPr>
  </w:style>
  <w:style w:type="paragraph" w:styleId="HTMLPreformatted">
    <w:name w:val="HTML Preformatted"/>
    <w:basedOn w:val="Normal"/>
    <w:link w:val="HTMLPreformattedChar"/>
    <w:semiHidden/>
    <w:unhideWhenUsed/>
    <w:rsid w:val="00FF4EA1"/>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FF4EA1"/>
    <w:rPr>
      <w:rFonts w:ascii="Consolas"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16751">
      <w:bodyDiv w:val="1"/>
      <w:marLeft w:val="0"/>
      <w:marRight w:val="0"/>
      <w:marTop w:val="0"/>
      <w:marBottom w:val="0"/>
      <w:divBdr>
        <w:top w:val="none" w:sz="0" w:space="0" w:color="auto"/>
        <w:left w:val="none" w:sz="0" w:space="0" w:color="auto"/>
        <w:bottom w:val="none" w:sz="0" w:space="0" w:color="auto"/>
        <w:right w:val="none" w:sz="0" w:space="0" w:color="auto"/>
      </w:divBdr>
      <w:divsChild>
        <w:div w:id="558715433">
          <w:marLeft w:val="0"/>
          <w:marRight w:val="0"/>
          <w:marTop w:val="0"/>
          <w:marBottom w:val="0"/>
          <w:divBdr>
            <w:top w:val="none" w:sz="0" w:space="0" w:color="auto"/>
            <w:left w:val="none" w:sz="0" w:space="0" w:color="auto"/>
            <w:bottom w:val="none" w:sz="0" w:space="0" w:color="auto"/>
            <w:right w:val="none" w:sz="0" w:space="0" w:color="auto"/>
          </w:divBdr>
        </w:div>
      </w:divsChild>
    </w:div>
    <w:div w:id="303706064">
      <w:bodyDiv w:val="1"/>
      <w:marLeft w:val="0"/>
      <w:marRight w:val="0"/>
      <w:marTop w:val="0"/>
      <w:marBottom w:val="0"/>
      <w:divBdr>
        <w:top w:val="none" w:sz="0" w:space="0" w:color="auto"/>
        <w:left w:val="none" w:sz="0" w:space="0" w:color="auto"/>
        <w:bottom w:val="none" w:sz="0" w:space="0" w:color="auto"/>
        <w:right w:val="none" w:sz="0" w:space="0" w:color="auto"/>
      </w:divBdr>
    </w:div>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780753829">
      <w:bodyDiv w:val="1"/>
      <w:marLeft w:val="0"/>
      <w:marRight w:val="0"/>
      <w:marTop w:val="0"/>
      <w:marBottom w:val="0"/>
      <w:divBdr>
        <w:top w:val="none" w:sz="0" w:space="0" w:color="auto"/>
        <w:left w:val="none" w:sz="0" w:space="0" w:color="auto"/>
        <w:bottom w:val="none" w:sz="0" w:space="0" w:color="auto"/>
        <w:right w:val="none" w:sz="0" w:space="0" w:color="auto"/>
      </w:divBdr>
      <w:divsChild>
        <w:div w:id="2087994882">
          <w:marLeft w:val="0"/>
          <w:marRight w:val="0"/>
          <w:marTop w:val="0"/>
          <w:marBottom w:val="0"/>
          <w:divBdr>
            <w:top w:val="none" w:sz="0" w:space="0" w:color="auto"/>
            <w:left w:val="none" w:sz="0" w:space="0" w:color="auto"/>
            <w:bottom w:val="none" w:sz="0" w:space="0" w:color="auto"/>
            <w:right w:val="none" w:sz="0" w:space="0" w:color="auto"/>
          </w:divBdr>
        </w:div>
      </w:divsChild>
    </w:div>
    <w:div w:id="1836259143">
      <w:bodyDiv w:val="1"/>
      <w:marLeft w:val="0"/>
      <w:marRight w:val="0"/>
      <w:marTop w:val="0"/>
      <w:marBottom w:val="0"/>
      <w:divBdr>
        <w:top w:val="none" w:sz="0" w:space="0" w:color="auto"/>
        <w:left w:val="none" w:sz="0" w:space="0" w:color="auto"/>
        <w:bottom w:val="none" w:sz="0" w:space="0" w:color="auto"/>
        <w:right w:val="none" w:sz="0" w:space="0" w:color="auto"/>
      </w:divBdr>
      <w:divsChild>
        <w:div w:id="1555963672">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16</Pages>
  <Words>4139</Words>
  <Characters>23596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27680</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28</cp:revision>
  <dcterms:created xsi:type="dcterms:W3CDTF">2024-07-25T19:08:00Z</dcterms:created>
  <dcterms:modified xsi:type="dcterms:W3CDTF">2025-06-18T11:37:00Z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