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B91D1" w14:textId="77777777" w:rsidR="00022DC0" w:rsidRDefault="00000000">
      <w:pPr>
        <w:spacing w:after="40"/>
        <w:jc w:val="center"/>
      </w:pPr>
      <w:r>
        <w:rPr>
          <w:b/>
          <w:bCs/>
          <w:color w:val="1B3A6B"/>
          <w:sz w:val="40"/>
          <w:szCs w:val="40"/>
        </w:rPr>
        <w:t>Jamie Butler</w:t>
      </w:r>
    </w:p>
    <w:p w14:paraId="2FC5E188" w14:textId="77777777" w:rsidR="00022DC0" w:rsidRDefault="00000000">
      <w:pPr>
        <w:spacing w:after="30"/>
        <w:jc w:val="center"/>
      </w:pPr>
      <w:r>
        <w:rPr>
          <w:b/>
          <w:bCs/>
          <w:color w:val="2E5FA3"/>
          <w:sz w:val="23"/>
          <w:szCs w:val="23"/>
        </w:rPr>
        <w:t xml:space="preserve">Technology </w:t>
      </w:r>
      <w:proofErr w:type="gramStart"/>
      <w:r>
        <w:rPr>
          <w:b/>
          <w:bCs/>
          <w:color w:val="2E5FA3"/>
          <w:sz w:val="23"/>
          <w:szCs w:val="23"/>
        </w:rPr>
        <w:t>Leader  ·</w:t>
      </w:r>
      <w:proofErr w:type="gramEnd"/>
      <w:r>
        <w:rPr>
          <w:b/>
          <w:bCs/>
          <w:color w:val="2E5FA3"/>
          <w:sz w:val="23"/>
          <w:szCs w:val="23"/>
        </w:rPr>
        <w:t xml:space="preserve">  Systems Architect</w:t>
      </w:r>
    </w:p>
    <w:p w14:paraId="5569F9BE" w14:textId="77777777" w:rsidR="00022DC0" w:rsidRDefault="00000000">
      <w:pPr>
        <w:spacing w:after="50"/>
        <w:jc w:val="center"/>
      </w:pPr>
      <w:r>
        <w:rPr>
          <w:color w:val="3D3D3D"/>
          <w:sz w:val="17"/>
          <w:szCs w:val="17"/>
        </w:rPr>
        <w:t xml:space="preserve">Enterprise Platform </w:t>
      </w:r>
      <w:proofErr w:type="gramStart"/>
      <w:r>
        <w:rPr>
          <w:color w:val="3D3D3D"/>
          <w:sz w:val="17"/>
          <w:szCs w:val="17"/>
        </w:rPr>
        <w:t>Migrations  ·</w:t>
      </w:r>
      <w:proofErr w:type="gramEnd"/>
      <w:r>
        <w:rPr>
          <w:color w:val="3D3D3D"/>
          <w:sz w:val="17"/>
          <w:szCs w:val="17"/>
        </w:rPr>
        <w:t xml:space="preserve">  Systems </w:t>
      </w:r>
      <w:proofErr w:type="gramStart"/>
      <w:r>
        <w:rPr>
          <w:color w:val="3D3D3D"/>
          <w:sz w:val="17"/>
          <w:szCs w:val="17"/>
        </w:rPr>
        <w:t>Integration  ·</w:t>
      </w:r>
      <w:proofErr w:type="gramEnd"/>
      <w:r>
        <w:rPr>
          <w:color w:val="3D3D3D"/>
          <w:sz w:val="17"/>
          <w:szCs w:val="17"/>
        </w:rPr>
        <w:t xml:space="preserve">  Cloud &amp; </w:t>
      </w:r>
      <w:proofErr w:type="gramStart"/>
      <w:r>
        <w:rPr>
          <w:color w:val="3D3D3D"/>
          <w:sz w:val="17"/>
          <w:szCs w:val="17"/>
        </w:rPr>
        <w:t>Identity  ·</w:t>
      </w:r>
      <w:proofErr w:type="gramEnd"/>
      <w:r>
        <w:rPr>
          <w:color w:val="3D3D3D"/>
          <w:sz w:val="17"/>
          <w:szCs w:val="17"/>
        </w:rPr>
        <w:t xml:space="preserve">  AI &amp; </w:t>
      </w:r>
      <w:proofErr w:type="gramStart"/>
      <w:r>
        <w:rPr>
          <w:color w:val="3D3D3D"/>
          <w:sz w:val="17"/>
          <w:szCs w:val="17"/>
        </w:rPr>
        <w:t>Automation  ·</w:t>
      </w:r>
      <w:proofErr w:type="gramEnd"/>
      <w:r>
        <w:rPr>
          <w:color w:val="3D3D3D"/>
          <w:sz w:val="17"/>
          <w:szCs w:val="17"/>
        </w:rPr>
        <w:t xml:space="preserve">  ITSM</w:t>
      </w:r>
    </w:p>
    <w:p w14:paraId="5D9ED7F8" w14:textId="77777777" w:rsidR="00022DC0" w:rsidRDefault="00000000">
      <w:pPr>
        <w:spacing w:after="60"/>
        <w:jc w:val="center"/>
      </w:pPr>
      <w:r>
        <w:rPr>
          <w:color w:val="3D3D3D"/>
          <w:sz w:val="17"/>
          <w:szCs w:val="17"/>
        </w:rPr>
        <w:t>Houston, TX</w:t>
      </w:r>
      <w:r>
        <w:rPr>
          <w:color w:val="5A5A5A"/>
          <w:sz w:val="17"/>
          <w:szCs w:val="17"/>
        </w:rPr>
        <w:t xml:space="preserve">    |    </w:t>
      </w:r>
      <w:hyperlink r:id="rId5" w:history="1">
        <w:r>
          <w:rPr>
            <w:color w:val="2E5FA3"/>
            <w:sz w:val="17"/>
            <w:szCs w:val="17"/>
            <w:u w:val="single"/>
          </w:rPr>
          <w:t>jamieadambutler@icloud.com</w:t>
        </w:r>
      </w:hyperlink>
      <w:r>
        <w:rPr>
          <w:color w:val="5A5A5A"/>
          <w:sz w:val="17"/>
          <w:szCs w:val="17"/>
        </w:rPr>
        <w:t xml:space="preserve">    | </w:t>
      </w:r>
      <w:proofErr w:type="gramStart"/>
      <w:r>
        <w:rPr>
          <w:color w:val="5A5A5A"/>
          <w:sz w:val="17"/>
          <w:szCs w:val="17"/>
        </w:rPr>
        <w:t xml:space="preserve">   </w:t>
      </w:r>
      <w:r>
        <w:rPr>
          <w:color w:val="3D3D3D"/>
          <w:sz w:val="17"/>
          <w:szCs w:val="17"/>
        </w:rPr>
        <w:t>(</w:t>
      </w:r>
      <w:proofErr w:type="gramEnd"/>
      <w:r>
        <w:rPr>
          <w:color w:val="3D3D3D"/>
          <w:sz w:val="17"/>
          <w:szCs w:val="17"/>
        </w:rPr>
        <w:t>951) 768-4008</w:t>
      </w:r>
      <w:r>
        <w:rPr>
          <w:color w:val="5A5A5A"/>
          <w:sz w:val="17"/>
          <w:szCs w:val="17"/>
        </w:rPr>
        <w:t xml:space="preserve">    |    </w:t>
      </w:r>
      <w:hyperlink r:id="rId6" w:history="1">
        <w:r>
          <w:rPr>
            <w:color w:val="2E5FA3"/>
            <w:sz w:val="17"/>
            <w:szCs w:val="17"/>
            <w:u w:val="single"/>
          </w:rPr>
          <w:t>linkedin.com/in/</w:t>
        </w:r>
        <w:proofErr w:type="spellStart"/>
        <w:r>
          <w:rPr>
            <w:color w:val="2E5FA3"/>
            <w:sz w:val="17"/>
            <w:szCs w:val="17"/>
            <w:u w:val="single"/>
          </w:rPr>
          <w:t>jamieadambutler</w:t>
        </w:r>
        <w:proofErr w:type="spellEnd"/>
      </w:hyperlink>
    </w:p>
    <w:p w14:paraId="38A8C811" w14:textId="77777777" w:rsidR="00C669A0" w:rsidRDefault="00C669A0">
      <w:pPr>
        <w:pBdr>
          <w:bottom w:val="single" w:sz="6" w:space="3" w:color="2E5FA3"/>
        </w:pBdr>
        <w:spacing w:before="140" w:after="60"/>
        <w:rPr>
          <w:b/>
          <w:bCs/>
          <w:color w:val="1B3A6B"/>
          <w:sz w:val="22"/>
          <w:szCs w:val="22"/>
        </w:rPr>
      </w:pPr>
    </w:p>
    <w:p w14:paraId="31D03F27" w14:textId="6EF7EF6B" w:rsidR="00022DC0" w:rsidRDefault="00000000">
      <w:pPr>
        <w:pBdr>
          <w:bottom w:val="single" w:sz="6" w:space="3" w:color="2E5FA3"/>
        </w:pBdr>
        <w:spacing w:before="140" w:after="60"/>
      </w:pPr>
      <w:r>
        <w:rPr>
          <w:b/>
          <w:bCs/>
          <w:color w:val="1B3A6B"/>
          <w:sz w:val="22"/>
          <w:szCs w:val="22"/>
        </w:rPr>
        <w:t>PROJECT PORTFOLIO</w:t>
      </w:r>
    </w:p>
    <w:p w14:paraId="1D1390E3" w14:textId="77777777" w:rsidR="00022DC0" w:rsidRDefault="00000000">
      <w:pPr>
        <w:spacing w:after="60"/>
      </w:pPr>
      <w:r>
        <w:rPr>
          <w:i/>
          <w:iCs/>
          <w:color w:val="5A5A5A"/>
          <w:sz w:val="19"/>
          <w:szCs w:val="19"/>
        </w:rPr>
        <w:t>A timeline of enterprise technology initiatives, newest first.</w:t>
      </w:r>
    </w:p>
    <w:p w14:paraId="0A9FEDFD" w14:textId="77777777" w:rsidR="00C669A0" w:rsidRDefault="00C669A0">
      <w:pPr>
        <w:spacing w:before="150" w:after="20"/>
        <w:rPr>
          <w:b/>
          <w:bCs/>
          <w:color w:val="2E5FA3"/>
          <w:sz w:val="22"/>
          <w:szCs w:val="22"/>
        </w:rPr>
      </w:pPr>
    </w:p>
    <w:p w14:paraId="12AA2684" w14:textId="3E10191B" w:rsidR="00022DC0" w:rsidRDefault="00000000" w:rsidP="00C669A0">
      <w:pPr>
        <w:pBdr>
          <w:bottom w:val="single" w:sz="4" w:space="1" w:color="auto"/>
        </w:pBdr>
        <w:spacing w:before="150" w:after="20"/>
      </w:pPr>
      <w:r>
        <w:rPr>
          <w:b/>
          <w:bCs/>
          <w:color w:val="2E5FA3"/>
          <w:sz w:val="22"/>
          <w:szCs w:val="22"/>
        </w:rPr>
        <w:t>2024 – Present</w:t>
      </w:r>
    </w:p>
    <w:p w14:paraId="24944576" w14:textId="77777777" w:rsidR="00022DC0" w:rsidRDefault="00000000">
      <w:pPr>
        <w:keepNext/>
        <w:spacing w:after="50"/>
      </w:pPr>
      <w:r>
        <w:rPr>
          <w:b/>
          <w:bCs/>
          <w:color w:val="1B3A6B"/>
          <w:sz w:val="21"/>
          <w:szCs w:val="21"/>
        </w:rPr>
        <w:t>Senior Director of Technology</w:t>
      </w:r>
      <w:r>
        <w:rPr>
          <w:color w:val="3D3D3D"/>
        </w:rPr>
        <w:t xml:space="preserve">   ·   Latitude Legal</w:t>
      </w:r>
    </w:p>
    <w:p w14:paraId="6739797C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CRM &amp; ATS Transformation</w:t>
      </w:r>
      <w:r>
        <w:rPr>
          <w:color w:val="3D3D3D"/>
        </w:rPr>
        <w:t xml:space="preserve"> — Migrated Bullhorn to Salesforce with </w:t>
      </w:r>
      <w:proofErr w:type="spellStart"/>
      <w:r>
        <w:rPr>
          <w:color w:val="3D3D3D"/>
        </w:rPr>
        <w:t>Asymbl</w:t>
      </w:r>
      <w:proofErr w:type="spellEnd"/>
      <w:r>
        <w:rPr>
          <w:color w:val="3D3D3D"/>
        </w:rPr>
        <w:t>, an Experience Cloud candidate portal, AI agents, and email sync on one platform.</w:t>
      </w:r>
    </w:p>
    <w:p w14:paraId="22F67E0A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M365 Tenant Migration</w:t>
      </w:r>
      <w:r>
        <w:rPr>
          <w:color w:val="3D3D3D"/>
        </w:rPr>
        <w:t xml:space="preserve"> — Architected the move from hosted Exchange to Microsoft 365 for a 150 to 500 user organization, including tenant, permissions, identity governance, and security design.</w:t>
      </w:r>
    </w:p>
    <w:p w14:paraId="654E0000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IT Service Management</w:t>
      </w:r>
      <w:r>
        <w:rPr>
          <w:color w:val="3D3D3D"/>
        </w:rPr>
        <w:t xml:space="preserve"> — Stood up an ITSM practice on Jira Service Management and ServiceNow, with ITIL-based request, incident, and change workflows across the organization.</w:t>
      </w:r>
    </w:p>
    <w:p w14:paraId="7C62ECF1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Contract Lifecycle Automation</w:t>
      </w:r>
      <w:r>
        <w:rPr>
          <w:color w:val="3D3D3D"/>
        </w:rPr>
        <w:t xml:space="preserve"> — Replaced manual signature workflows with Ironclad CLM, natively integrated to Salesforce.</w:t>
      </w:r>
    </w:p>
    <w:p w14:paraId="7A28DDCC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AI Productivity Platform</w:t>
      </w:r>
      <w:r>
        <w:rPr>
          <w:color w:val="3D3D3D"/>
        </w:rPr>
        <w:t xml:space="preserve"> — Deployed meeting transcription, internal AI chat, and custom GPT agents to cut administrative overhead across teams.</w:t>
      </w:r>
    </w:p>
    <w:p w14:paraId="0CD1CBE1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Power Automate Onboarding</w:t>
      </w:r>
      <w:r>
        <w:rPr>
          <w:color w:val="3D3D3D"/>
        </w:rPr>
        <w:t xml:space="preserve"> — Built a multi-path Forms and Power Automate system routing hires to the right teams and Planner boards, clearing a hiring bottleneck.</w:t>
      </w:r>
    </w:p>
    <w:p w14:paraId="67873873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Zoom Phone AI IVR</w:t>
      </w:r>
      <w:r>
        <w:rPr>
          <w:color w:val="3D3D3D"/>
        </w:rPr>
        <w:t xml:space="preserve"> — Replaced Dialpad and a third-party answering service with Zoom Phone and a fully automated AI IVR.</w:t>
      </w:r>
    </w:p>
    <w:p w14:paraId="498D7915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Cybersecurity &amp; MSSP</w:t>
      </w:r>
      <w:r>
        <w:rPr>
          <w:color w:val="3D3D3D"/>
        </w:rPr>
        <w:t xml:space="preserve"> — Stood up a dedicated MSSP with endpoint protection, VPN, and formal security governance from the ground up.</w:t>
      </w:r>
    </w:p>
    <w:p w14:paraId="536AE448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M&amp;A Systems Integration</w:t>
      </w:r>
      <w:r>
        <w:rPr>
          <w:color w:val="3D3D3D"/>
        </w:rPr>
        <w:t xml:space="preserve"> — Unified platforms, data, and workflows across four post-acquisition integrations without disrupting client-facing operations.</w:t>
      </w:r>
    </w:p>
    <w:p w14:paraId="46C48D33" w14:textId="77777777" w:rsidR="00022DC0" w:rsidRDefault="00000000" w:rsidP="00C669A0">
      <w:pPr>
        <w:pBdr>
          <w:bottom w:val="single" w:sz="4" w:space="1" w:color="auto"/>
        </w:pBdr>
        <w:spacing w:before="150" w:after="20"/>
      </w:pPr>
      <w:r>
        <w:rPr>
          <w:b/>
          <w:bCs/>
          <w:color w:val="2E5FA3"/>
          <w:sz w:val="22"/>
          <w:szCs w:val="22"/>
        </w:rPr>
        <w:t>2022 – 2024</w:t>
      </w:r>
    </w:p>
    <w:p w14:paraId="7D69BEB5" w14:textId="77777777" w:rsidR="00022DC0" w:rsidRDefault="00000000">
      <w:pPr>
        <w:keepNext/>
        <w:spacing w:after="50"/>
      </w:pPr>
      <w:r>
        <w:rPr>
          <w:b/>
          <w:bCs/>
          <w:color w:val="1B3A6B"/>
          <w:sz w:val="21"/>
          <w:szCs w:val="21"/>
        </w:rPr>
        <w:t>Vice President of Technology</w:t>
      </w:r>
      <w:r>
        <w:rPr>
          <w:color w:val="3D3D3D"/>
        </w:rPr>
        <w:t xml:space="preserve">   ·   AlliedUP Cooperative Inc.</w:t>
      </w:r>
    </w:p>
    <w:p w14:paraId="5CC61625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ATS &amp; CRM Consolidation</w:t>
      </w:r>
      <w:r>
        <w:rPr>
          <w:color w:val="3D3D3D"/>
        </w:rPr>
        <w:t xml:space="preserve"> — Consolidated BlueSky ATS and Salesforce CRM onto one Bullhorn platform, ending spreadsheet-based recruiting.</w:t>
      </w:r>
    </w:p>
    <w:p w14:paraId="364C74F7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Executive &amp; Board Reporting</w:t>
      </w:r>
      <w:r>
        <w:rPr>
          <w:color w:val="3D3D3D"/>
        </w:rPr>
        <w:t xml:space="preserve"> — Built Bullhorn Canvas KPI pipelines giving leadership, board, and grant stakeholders real-time visibility.</w:t>
      </w:r>
    </w:p>
    <w:p w14:paraId="2E2FF44F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HRIS &amp; Payroll</w:t>
      </w:r>
      <w:r>
        <w:rPr>
          <w:color w:val="3D3D3D"/>
        </w:rPr>
        <w:t xml:space="preserve"> — Implemented ADP Workforce Now for payroll, benefits, and HR across a distributed clinical workforce.</w:t>
      </w:r>
    </w:p>
    <w:p w14:paraId="00BC469B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Compliance Integration</w:t>
      </w:r>
      <w:r>
        <w:rPr>
          <w:color w:val="3D3D3D"/>
        </w:rPr>
        <w:t xml:space="preserve"> — Integrated </w:t>
      </w:r>
      <w:proofErr w:type="spellStart"/>
      <w:r>
        <w:rPr>
          <w:color w:val="3D3D3D"/>
        </w:rPr>
        <w:t>AccuSource</w:t>
      </w:r>
      <w:proofErr w:type="spellEnd"/>
      <w:r>
        <w:rPr>
          <w:color w:val="3D3D3D"/>
        </w:rPr>
        <w:t xml:space="preserve"> background screening into Bullhorn with automated pass-through to PEO onboarding.</w:t>
      </w:r>
    </w:p>
    <w:p w14:paraId="51ED5BDC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Telephony Migration</w:t>
      </w:r>
      <w:r>
        <w:rPr>
          <w:color w:val="3D3D3D"/>
        </w:rPr>
        <w:t xml:space="preserve"> — Moved telephony to Zoom Phone, lowering telecom cost while improving quality and scale.</w:t>
      </w:r>
    </w:p>
    <w:p w14:paraId="19E9DF91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Technology Budget Ownership</w:t>
      </w:r>
      <w:r>
        <w:rPr>
          <w:color w:val="3D3D3D"/>
        </w:rPr>
        <w:t xml:space="preserve"> — Owned a technology budget above one million dollars end to end across internal, nearshore, and offshore teams.</w:t>
      </w:r>
    </w:p>
    <w:p w14:paraId="3C32780C" w14:textId="77777777" w:rsidR="00022DC0" w:rsidRDefault="00000000" w:rsidP="00C669A0">
      <w:pPr>
        <w:pBdr>
          <w:bottom w:val="single" w:sz="4" w:space="1" w:color="auto"/>
        </w:pBdr>
        <w:spacing w:before="150" w:after="20"/>
      </w:pPr>
      <w:r>
        <w:rPr>
          <w:b/>
          <w:bCs/>
          <w:color w:val="2E5FA3"/>
          <w:sz w:val="22"/>
          <w:szCs w:val="22"/>
        </w:rPr>
        <w:t>2014 – 2022</w:t>
      </w:r>
    </w:p>
    <w:p w14:paraId="77342AF0" w14:textId="77777777" w:rsidR="00022DC0" w:rsidRDefault="00000000">
      <w:pPr>
        <w:keepNext/>
        <w:spacing w:after="50"/>
      </w:pPr>
      <w:r>
        <w:rPr>
          <w:b/>
          <w:bCs/>
          <w:color w:val="1B3A6B"/>
          <w:sz w:val="21"/>
          <w:szCs w:val="21"/>
        </w:rPr>
        <w:t>Director of Information Services</w:t>
      </w:r>
      <w:r>
        <w:rPr>
          <w:color w:val="3D3D3D"/>
        </w:rPr>
        <w:t xml:space="preserve">   ·   EOSG Resources, LLC</w:t>
      </w:r>
    </w:p>
    <w:p w14:paraId="27603D70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ERP Migration: Oracle to Dynamics</w:t>
      </w:r>
      <w:r>
        <w:rPr>
          <w:color w:val="3D3D3D"/>
        </w:rPr>
        <w:t xml:space="preserve"> — Led a complex migration, aligning payroll and financial reporting.</w:t>
      </w:r>
    </w:p>
    <w:p w14:paraId="3221BC18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ERP Migration: NetSuite to Intacct</w:t>
      </w:r>
      <w:r>
        <w:rPr>
          <w:color w:val="3D3D3D"/>
        </w:rPr>
        <w:t xml:space="preserve"> — Delivered automated financial reporting and executive dashboards that reduced month-end close complexity.</w:t>
      </w:r>
    </w:p>
    <w:p w14:paraId="5339A65B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lastRenderedPageBreak/>
        <w:t>ATS Modernization</w:t>
      </w:r>
      <w:r>
        <w:rPr>
          <w:color w:val="3D3D3D"/>
        </w:rPr>
        <w:t xml:space="preserve"> — Replaced Avionte with Bullhorn and migrated HRIS across roughly 900 active clients.</w:t>
      </w:r>
    </w:p>
    <w:p w14:paraId="65AFCF64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Systems Integration Architecture</w:t>
      </w:r>
      <w:r>
        <w:rPr>
          <w:color w:val="3D3D3D"/>
        </w:rPr>
        <w:t xml:space="preserve"> — Designed an end-to-end ATS to payroll to ERP pipeline, eliminating manual data transfer between departments.</w:t>
      </w:r>
    </w:p>
    <w:p w14:paraId="24B42378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Process Mapping &amp; SOPs</w:t>
      </w:r>
      <w:r>
        <w:rPr>
          <w:color w:val="3D3D3D"/>
        </w:rPr>
        <w:t xml:space="preserve"> — Built standardized operational frameworks across recruiting, sales, and finance to support sustained growth.</w:t>
      </w:r>
    </w:p>
    <w:p w14:paraId="2DC17AE7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Internal MSP Function</w:t>
      </w:r>
      <w:r>
        <w:rPr>
          <w:color w:val="3D3D3D"/>
        </w:rPr>
        <w:t xml:space="preserve"> — Built an internal MSP providing CTO-level advisement and infrastructure management to field-services clients.</w:t>
      </w:r>
    </w:p>
    <w:p w14:paraId="7294AE41" w14:textId="77777777" w:rsidR="00022DC0" w:rsidRDefault="00000000" w:rsidP="00C669A0">
      <w:pPr>
        <w:pBdr>
          <w:bottom w:val="single" w:sz="4" w:space="1" w:color="auto"/>
        </w:pBdr>
        <w:spacing w:before="150" w:after="20"/>
      </w:pPr>
      <w:r>
        <w:rPr>
          <w:b/>
          <w:bCs/>
          <w:color w:val="2E5FA3"/>
          <w:sz w:val="22"/>
          <w:szCs w:val="22"/>
        </w:rPr>
        <w:t>2013 – 2014</w:t>
      </w:r>
    </w:p>
    <w:p w14:paraId="4CEDF89C" w14:textId="77777777" w:rsidR="00022DC0" w:rsidRDefault="00000000">
      <w:pPr>
        <w:keepNext/>
        <w:spacing w:after="50"/>
      </w:pPr>
      <w:r>
        <w:rPr>
          <w:b/>
          <w:bCs/>
          <w:color w:val="1B3A6B"/>
          <w:sz w:val="21"/>
          <w:szCs w:val="21"/>
        </w:rPr>
        <w:t>Interim Director of Technology (</w:t>
      </w:r>
      <w:proofErr w:type="gramStart"/>
      <w:r>
        <w:rPr>
          <w:b/>
          <w:bCs/>
          <w:color w:val="1B3A6B"/>
          <w:sz w:val="21"/>
          <w:szCs w:val="21"/>
        </w:rPr>
        <w:t>Contract)</w:t>
      </w:r>
      <w:r>
        <w:rPr>
          <w:color w:val="3D3D3D"/>
        </w:rPr>
        <w:t xml:space="preserve">   </w:t>
      </w:r>
      <w:proofErr w:type="gramEnd"/>
      <w:r>
        <w:rPr>
          <w:color w:val="3D3D3D"/>
        </w:rPr>
        <w:t xml:space="preserve">·   </w:t>
      </w:r>
      <w:proofErr w:type="spellStart"/>
      <w:r>
        <w:rPr>
          <w:color w:val="3D3D3D"/>
        </w:rPr>
        <w:t>Oreq</w:t>
      </w:r>
      <w:proofErr w:type="spellEnd"/>
      <w:r>
        <w:rPr>
          <w:color w:val="3D3D3D"/>
        </w:rPr>
        <w:t xml:space="preserve"> Corporation</w:t>
      </w:r>
    </w:p>
    <w:p w14:paraId="60676265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ERP Implementation: Macola</w:t>
      </w:r>
      <w:r>
        <w:rPr>
          <w:color w:val="3D3D3D"/>
        </w:rPr>
        <w:t xml:space="preserve"> — Connected manufacturing, procurement, and logistics into one reporting system with executive dashboards.</w:t>
      </w:r>
    </w:p>
    <w:p w14:paraId="7936A1D7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Remote Department Deployment</w:t>
      </w:r>
      <w:r>
        <w:rPr>
          <w:color w:val="3D3D3D"/>
        </w:rPr>
        <w:t xml:space="preserve"> — Stood up the technical infrastructure for a distributed business development team.</w:t>
      </w:r>
    </w:p>
    <w:p w14:paraId="3FEBBD8D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Manufacturing Time-Tracking</w:t>
      </w:r>
      <w:r>
        <w:rPr>
          <w:color w:val="3D3D3D"/>
        </w:rPr>
        <w:t xml:space="preserve"> — Deployed floor time-tracking that addressed turnover bottlenecks and improved labor visibility.</w:t>
      </w:r>
    </w:p>
    <w:p w14:paraId="51D39B38" w14:textId="77777777" w:rsidR="00022DC0" w:rsidRDefault="00000000" w:rsidP="00C669A0">
      <w:pPr>
        <w:pBdr>
          <w:bottom w:val="single" w:sz="4" w:space="1" w:color="auto"/>
        </w:pBdr>
        <w:spacing w:before="150" w:after="20"/>
      </w:pPr>
      <w:r>
        <w:rPr>
          <w:b/>
          <w:bCs/>
          <w:color w:val="2E5FA3"/>
          <w:sz w:val="22"/>
          <w:szCs w:val="22"/>
        </w:rPr>
        <w:t>2006 – 2013</w:t>
      </w:r>
    </w:p>
    <w:p w14:paraId="3DF69ABF" w14:textId="77777777" w:rsidR="00022DC0" w:rsidRDefault="00000000">
      <w:pPr>
        <w:keepNext/>
        <w:spacing w:after="50"/>
      </w:pPr>
      <w:r>
        <w:rPr>
          <w:b/>
          <w:bCs/>
          <w:color w:val="1B3A6B"/>
          <w:sz w:val="21"/>
          <w:szCs w:val="21"/>
        </w:rPr>
        <w:t>Engineering &amp; IT Manager</w:t>
      </w:r>
      <w:r>
        <w:rPr>
          <w:color w:val="3D3D3D"/>
        </w:rPr>
        <w:t xml:space="preserve">   ·   Cannon Fabrication, Inc.</w:t>
      </w:r>
    </w:p>
    <w:p w14:paraId="389B5E57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ERP Implementation: Sage MAS 300</w:t>
      </w:r>
      <w:r>
        <w:rPr>
          <w:color w:val="3D3D3D"/>
        </w:rPr>
        <w:t xml:space="preserve"> — Led the migration from legacy DOS accounting to Sage MAS 300 across manufacturing and distribution.</w:t>
      </w:r>
    </w:p>
    <w:p w14:paraId="3B7EF7FD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KPI Dashboard Platform</w:t>
      </w:r>
      <w:r>
        <w:rPr>
          <w:color w:val="3D3D3D"/>
        </w:rPr>
        <w:t xml:space="preserve"> — Built integrated dashboards combining ERP, CRM, and production data for cross-functional visibility.</w:t>
      </w:r>
    </w:p>
    <w:p w14:paraId="10FC6A39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Engineering Platform Migration</w:t>
      </w:r>
      <w:r>
        <w:rPr>
          <w:color w:val="3D3D3D"/>
        </w:rPr>
        <w:t xml:space="preserve"> — Moved engineering from AutoCAD to SolidWorks, improving alignment with production.</w:t>
      </w:r>
    </w:p>
    <w:p w14:paraId="3E83C0DC" w14:textId="77777777" w:rsidR="00022DC0" w:rsidRDefault="00000000" w:rsidP="00C669A0">
      <w:pPr>
        <w:pBdr>
          <w:bottom w:val="single" w:sz="4" w:space="1" w:color="auto"/>
        </w:pBdr>
        <w:spacing w:before="150" w:after="20"/>
      </w:pPr>
      <w:r>
        <w:rPr>
          <w:b/>
          <w:bCs/>
          <w:color w:val="2E5FA3"/>
          <w:sz w:val="22"/>
          <w:szCs w:val="22"/>
        </w:rPr>
        <w:t>2005 – 2006</w:t>
      </w:r>
    </w:p>
    <w:p w14:paraId="5F8A7B95" w14:textId="77777777" w:rsidR="00022DC0" w:rsidRDefault="00000000">
      <w:pPr>
        <w:keepNext/>
        <w:spacing w:after="50"/>
      </w:pPr>
      <w:r>
        <w:rPr>
          <w:b/>
          <w:bCs/>
          <w:color w:val="1B3A6B"/>
          <w:sz w:val="21"/>
          <w:szCs w:val="21"/>
        </w:rPr>
        <w:t>Senior Data Analyst &amp; IT Manager</w:t>
      </w:r>
      <w:r>
        <w:rPr>
          <w:color w:val="3D3D3D"/>
        </w:rPr>
        <w:t xml:space="preserve">   ·   Casablanca Fan Company (</w:t>
      </w:r>
      <w:proofErr w:type="spellStart"/>
      <w:r>
        <w:rPr>
          <w:color w:val="3D3D3D"/>
        </w:rPr>
        <w:t>acq</w:t>
      </w:r>
      <w:proofErr w:type="spellEnd"/>
      <w:r>
        <w:rPr>
          <w:color w:val="3D3D3D"/>
        </w:rPr>
        <w:t>. Hunter Fan)</w:t>
      </w:r>
    </w:p>
    <w:p w14:paraId="5EB3DDCA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Executive Reporting Platform</w:t>
      </w:r>
      <w:r>
        <w:rPr>
          <w:color w:val="3D3D3D"/>
        </w:rPr>
        <w:t xml:space="preserve"> — Built cross-functional dashboards and reports presented to leadership in regular performance reviews.</w:t>
      </w:r>
    </w:p>
    <w:p w14:paraId="35508658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Cybersecurity &amp; Compliance</w:t>
      </w:r>
      <w:r>
        <w:rPr>
          <w:color w:val="3D3D3D"/>
        </w:rPr>
        <w:t xml:space="preserve"> — Managed security configuration, auditing, and data integrity across the technology environment.</w:t>
      </w:r>
    </w:p>
    <w:p w14:paraId="6D3EB063" w14:textId="77777777" w:rsidR="00022DC0" w:rsidRDefault="00000000" w:rsidP="00C669A0">
      <w:pPr>
        <w:pBdr>
          <w:bottom w:val="single" w:sz="4" w:space="1" w:color="auto"/>
        </w:pBdr>
        <w:spacing w:before="150" w:after="20"/>
      </w:pPr>
      <w:r>
        <w:rPr>
          <w:b/>
          <w:bCs/>
          <w:color w:val="2E5FA3"/>
          <w:sz w:val="22"/>
          <w:szCs w:val="22"/>
        </w:rPr>
        <w:t>2005</w:t>
      </w:r>
    </w:p>
    <w:p w14:paraId="1901BEAD" w14:textId="77777777" w:rsidR="00022DC0" w:rsidRDefault="00000000">
      <w:pPr>
        <w:keepNext/>
        <w:spacing w:after="50"/>
      </w:pPr>
      <w:r>
        <w:rPr>
          <w:b/>
          <w:bCs/>
          <w:color w:val="1B3A6B"/>
          <w:sz w:val="21"/>
          <w:szCs w:val="21"/>
        </w:rPr>
        <w:t>Business Analyst (</w:t>
      </w:r>
      <w:proofErr w:type="gramStart"/>
      <w:r>
        <w:rPr>
          <w:b/>
          <w:bCs/>
          <w:color w:val="1B3A6B"/>
          <w:sz w:val="21"/>
          <w:szCs w:val="21"/>
        </w:rPr>
        <w:t>Contract)</w:t>
      </w:r>
      <w:r>
        <w:rPr>
          <w:color w:val="3D3D3D"/>
        </w:rPr>
        <w:t xml:space="preserve">   </w:t>
      </w:r>
      <w:proofErr w:type="gramEnd"/>
      <w:r>
        <w:rPr>
          <w:color w:val="3D3D3D"/>
        </w:rPr>
        <w:t>·   Anchor Blue Retail Group</w:t>
      </w:r>
    </w:p>
    <w:p w14:paraId="72FCBE4C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Inventory Management System</w:t>
      </w:r>
      <w:r>
        <w:rPr>
          <w:color w:val="3D3D3D"/>
        </w:rPr>
        <w:t xml:space="preserve"> — Contributed to a $1M inventory and tracking system across all retail locations.</w:t>
      </w:r>
    </w:p>
    <w:p w14:paraId="651D6670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POS &amp; Ticketing Systems</w:t>
      </w:r>
      <w:r>
        <w:rPr>
          <w:color w:val="3D3D3D"/>
        </w:rPr>
        <w:t xml:space="preserve"> — Built an internal POS database and the organization’s IT support ticketing system.</w:t>
      </w:r>
    </w:p>
    <w:p w14:paraId="33EFC80E" w14:textId="77777777" w:rsidR="00022DC0" w:rsidRDefault="00000000" w:rsidP="00C669A0">
      <w:pPr>
        <w:pBdr>
          <w:bottom w:val="single" w:sz="4" w:space="1" w:color="auto"/>
        </w:pBdr>
        <w:spacing w:before="150" w:after="20"/>
      </w:pPr>
      <w:r>
        <w:rPr>
          <w:b/>
          <w:bCs/>
          <w:color w:val="2E5FA3"/>
          <w:sz w:val="22"/>
          <w:szCs w:val="22"/>
        </w:rPr>
        <w:t>2003 – 2005</w:t>
      </w:r>
    </w:p>
    <w:p w14:paraId="10DA941C" w14:textId="77777777" w:rsidR="00022DC0" w:rsidRDefault="00000000">
      <w:pPr>
        <w:keepNext/>
        <w:spacing w:after="50"/>
      </w:pPr>
      <w:r>
        <w:rPr>
          <w:b/>
          <w:bCs/>
          <w:color w:val="1B3A6B"/>
          <w:sz w:val="21"/>
          <w:szCs w:val="21"/>
        </w:rPr>
        <w:t>Network &amp; Systems Administrator</w:t>
      </w:r>
      <w:r>
        <w:rPr>
          <w:color w:val="3D3D3D"/>
        </w:rPr>
        <w:t xml:space="preserve">   ·   ITT Technical Institute</w:t>
      </w:r>
    </w:p>
    <w:p w14:paraId="2C70B38A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Proprietary Grade Database</w:t>
      </w:r>
      <w:r>
        <w:rPr>
          <w:color w:val="3D3D3D"/>
        </w:rPr>
        <w:t xml:space="preserve"> — Designed a custom database for student grade tracking, replacing a fully manual process.</w:t>
      </w:r>
    </w:p>
    <w:p w14:paraId="7AA485E7" w14:textId="77777777" w:rsidR="00022DC0" w:rsidRDefault="00000000">
      <w:pPr>
        <w:pStyle w:val="ListParagraph"/>
        <w:numPr>
          <w:ilvl w:val="0"/>
          <w:numId w:val="2"/>
        </w:numPr>
        <w:spacing w:after="40" w:line="256" w:lineRule="auto"/>
      </w:pPr>
      <w:r>
        <w:rPr>
          <w:b/>
          <w:bCs/>
          <w:color w:val="1B3A6B"/>
        </w:rPr>
        <w:t>Campus Network Migration</w:t>
      </w:r>
      <w:r>
        <w:rPr>
          <w:color w:val="3D3D3D"/>
        </w:rPr>
        <w:t xml:space="preserve"> — Led a network hardware migration while maintaining continuity across student and faculty environments.</w:t>
      </w:r>
    </w:p>
    <w:sectPr w:rsidR="00022DC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D24F0"/>
    <w:multiLevelType w:val="hybridMultilevel"/>
    <w:tmpl w:val="809C4AE6"/>
    <w:lvl w:ilvl="0" w:tplc="EF6EDACA">
      <w:start w:val="1"/>
      <w:numFmt w:val="bullet"/>
      <w:lvlText w:val="•"/>
      <w:lvlJc w:val="left"/>
      <w:pPr>
        <w:ind w:left="300" w:hanging="220"/>
      </w:pPr>
      <w:rPr>
        <w:color w:val="2E5FA3"/>
      </w:rPr>
    </w:lvl>
    <w:lvl w:ilvl="1" w:tplc="3A16AF38">
      <w:numFmt w:val="decimal"/>
      <w:lvlText w:val=""/>
      <w:lvlJc w:val="left"/>
    </w:lvl>
    <w:lvl w:ilvl="2" w:tplc="7B529E86">
      <w:numFmt w:val="decimal"/>
      <w:lvlText w:val=""/>
      <w:lvlJc w:val="left"/>
    </w:lvl>
    <w:lvl w:ilvl="3" w:tplc="11149806">
      <w:numFmt w:val="decimal"/>
      <w:lvlText w:val=""/>
      <w:lvlJc w:val="left"/>
    </w:lvl>
    <w:lvl w:ilvl="4" w:tplc="C0A4C63C">
      <w:numFmt w:val="decimal"/>
      <w:lvlText w:val=""/>
      <w:lvlJc w:val="left"/>
    </w:lvl>
    <w:lvl w:ilvl="5" w:tplc="740692CC">
      <w:numFmt w:val="decimal"/>
      <w:lvlText w:val=""/>
      <w:lvlJc w:val="left"/>
    </w:lvl>
    <w:lvl w:ilvl="6" w:tplc="2FB6CC5A">
      <w:numFmt w:val="decimal"/>
      <w:lvlText w:val=""/>
      <w:lvlJc w:val="left"/>
    </w:lvl>
    <w:lvl w:ilvl="7" w:tplc="3A40F500">
      <w:numFmt w:val="decimal"/>
      <w:lvlText w:val=""/>
      <w:lvlJc w:val="left"/>
    </w:lvl>
    <w:lvl w:ilvl="8" w:tplc="A35C9228">
      <w:numFmt w:val="decimal"/>
      <w:lvlText w:val=""/>
      <w:lvlJc w:val="left"/>
    </w:lvl>
  </w:abstractNum>
  <w:abstractNum w:abstractNumId="1" w15:restartNumberingAfterBreak="0">
    <w:nsid w:val="505A59BB"/>
    <w:multiLevelType w:val="hybridMultilevel"/>
    <w:tmpl w:val="4CA823B4"/>
    <w:lvl w:ilvl="0" w:tplc="29667EE6">
      <w:start w:val="1"/>
      <w:numFmt w:val="bullet"/>
      <w:lvlText w:val="●"/>
      <w:lvlJc w:val="left"/>
      <w:pPr>
        <w:ind w:left="720" w:hanging="360"/>
      </w:pPr>
    </w:lvl>
    <w:lvl w:ilvl="1" w:tplc="DA3E2D3A">
      <w:start w:val="1"/>
      <w:numFmt w:val="bullet"/>
      <w:lvlText w:val="○"/>
      <w:lvlJc w:val="left"/>
      <w:pPr>
        <w:ind w:left="1440" w:hanging="360"/>
      </w:pPr>
    </w:lvl>
    <w:lvl w:ilvl="2" w:tplc="57FAA0BE">
      <w:start w:val="1"/>
      <w:numFmt w:val="bullet"/>
      <w:lvlText w:val="■"/>
      <w:lvlJc w:val="left"/>
      <w:pPr>
        <w:ind w:left="2160" w:hanging="360"/>
      </w:pPr>
    </w:lvl>
    <w:lvl w:ilvl="3" w:tplc="0934601E">
      <w:start w:val="1"/>
      <w:numFmt w:val="bullet"/>
      <w:lvlText w:val="●"/>
      <w:lvlJc w:val="left"/>
      <w:pPr>
        <w:ind w:left="2880" w:hanging="360"/>
      </w:pPr>
    </w:lvl>
    <w:lvl w:ilvl="4" w:tplc="DFDCBD0E">
      <w:start w:val="1"/>
      <w:numFmt w:val="bullet"/>
      <w:lvlText w:val="○"/>
      <w:lvlJc w:val="left"/>
      <w:pPr>
        <w:ind w:left="3600" w:hanging="360"/>
      </w:pPr>
    </w:lvl>
    <w:lvl w:ilvl="5" w:tplc="7C9037D6">
      <w:start w:val="1"/>
      <w:numFmt w:val="bullet"/>
      <w:lvlText w:val="■"/>
      <w:lvlJc w:val="left"/>
      <w:pPr>
        <w:ind w:left="4320" w:hanging="360"/>
      </w:pPr>
    </w:lvl>
    <w:lvl w:ilvl="6" w:tplc="75363D6E">
      <w:start w:val="1"/>
      <w:numFmt w:val="bullet"/>
      <w:lvlText w:val="●"/>
      <w:lvlJc w:val="left"/>
      <w:pPr>
        <w:ind w:left="5040" w:hanging="360"/>
      </w:pPr>
    </w:lvl>
    <w:lvl w:ilvl="7" w:tplc="1E9CC0F2">
      <w:start w:val="1"/>
      <w:numFmt w:val="bullet"/>
      <w:lvlText w:val="●"/>
      <w:lvlJc w:val="left"/>
      <w:pPr>
        <w:ind w:left="5760" w:hanging="360"/>
      </w:pPr>
    </w:lvl>
    <w:lvl w:ilvl="8" w:tplc="90384B60">
      <w:start w:val="1"/>
      <w:numFmt w:val="bullet"/>
      <w:lvlText w:val="●"/>
      <w:lvlJc w:val="left"/>
      <w:pPr>
        <w:ind w:left="6480" w:hanging="360"/>
      </w:pPr>
    </w:lvl>
  </w:abstractNum>
  <w:num w:numId="1" w16cid:durableId="1093278436">
    <w:abstractNumId w:val="1"/>
    <w:lvlOverride w:ilvl="0">
      <w:startOverride w:val="1"/>
    </w:lvlOverride>
  </w:num>
  <w:num w:numId="2" w16cid:durableId="21005205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DC0"/>
    <w:rsid w:val="00022DC0"/>
    <w:rsid w:val="00843FD3"/>
    <w:rsid w:val="00C6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13D539"/>
  <w15:docId w15:val="{40BE3E53-11C9-4943-A01F-385A3B2A0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mieadambutler" TargetMode="External"/><Relationship Id="rId5" Type="http://schemas.openxmlformats.org/officeDocument/2006/relationships/hyperlink" Target="mailto:jamieadambutler@iclou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806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Jamie Butler</cp:lastModifiedBy>
  <cp:revision>2</cp:revision>
  <dcterms:created xsi:type="dcterms:W3CDTF">2026-06-01T22:03:00Z</dcterms:created>
  <dcterms:modified xsi:type="dcterms:W3CDTF">2026-06-02T00:53:00Z</dcterms:modified>
</cp:coreProperties>
</file>