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6FA" w:rsidRDefault="004D1E99">
      <w:r>
        <w:t xml:space="preserve">1. </w:t>
      </w:r>
      <w:r>
        <w:rPr>
          <w:u w:val="single"/>
        </w:rPr>
        <w:t xml:space="preserve"> </w:t>
      </w:r>
      <w:r>
        <w:rPr>
          <w:u w:val="single"/>
        </w:rPr>
        <w:tab/>
      </w:r>
      <w:r>
        <w:rPr>
          <w:u w:val="single"/>
        </w:rPr>
        <w:tab/>
      </w:r>
      <w:r>
        <w:rPr>
          <w:u w:val="single"/>
        </w:rPr>
        <w:tab/>
      </w:r>
      <w:r>
        <w:rPr>
          <w:u w:val="single"/>
        </w:rPr>
        <w:tab/>
      </w:r>
      <w:r>
        <w:rPr>
          <w:u w:val="single"/>
        </w:rPr>
        <w:tab/>
      </w:r>
      <w:r>
        <w:t xml:space="preserve"> </w:t>
      </w:r>
      <w:proofErr w:type="gramStart"/>
      <w:r>
        <w:t>represents</w:t>
      </w:r>
      <w:proofErr w:type="gramEnd"/>
      <w:r>
        <w:t xml:space="preserve"> the </w:t>
      </w:r>
      <w:r w:rsidRPr="004D1E99">
        <w:t>extent to which the results really measure what they are supposed to measure.</w:t>
      </w:r>
    </w:p>
    <w:p w:rsidR="004D1E99" w:rsidRDefault="004D1E99"/>
    <w:p w:rsidR="004D1E99" w:rsidRDefault="004D1E99">
      <w:r>
        <w:tab/>
        <w:t>a. How is it assessed?</w:t>
      </w:r>
    </w:p>
    <w:p w:rsidR="004D1E99" w:rsidRDefault="004D1E99"/>
    <w:p w:rsidR="004D1E99" w:rsidRDefault="004D1E99" w:rsidP="004D1E99">
      <w:pPr>
        <w:pStyle w:val="ListParagraph"/>
        <w:numPr>
          <w:ilvl w:val="0"/>
          <w:numId w:val="1"/>
        </w:numPr>
      </w:pPr>
      <w:r w:rsidRPr="004D1E99">
        <w:t>By checking how well the results correspond to established theories and other measures of the same concept.</w:t>
      </w:r>
    </w:p>
    <w:p w:rsidR="004D1E99" w:rsidRDefault="004D1E99"/>
    <w:p w:rsidR="004D1E99" w:rsidRPr="004D1E99" w:rsidRDefault="004D1E99">
      <w:r>
        <w:t xml:space="preserve">2. </w:t>
      </w:r>
      <w:proofErr w:type="gramStart"/>
      <w:r>
        <w:t>In</w:t>
      </w:r>
      <w:proofErr w:type="gramEnd"/>
      <w:r>
        <w:t xml:space="preserve"> contrast, </w:t>
      </w:r>
      <w:r>
        <w:rPr>
          <w:u w:val="single"/>
        </w:rPr>
        <w:tab/>
      </w:r>
      <w:r>
        <w:rPr>
          <w:u w:val="single"/>
        </w:rPr>
        <w:tab/>
      </w:r>
      <w:r>
        <w:rPr>
          <w:u w:val="single"/>
        </w:rPr>
        <w:tab/>
      </w:r>
      <w:r>
        <w:rPr>
          <w:u w:val="single"/>
        </w:rPr>
        <w:tab/>
      </w:r>
      <w:r>
        <w:rPr>
          <w:u w:val="single"/>
        </w:rPr>
        <w:tab/>
      </w:r>
      <w:r>
        <w:t xml:space="preserve"> </w:t>
      </w:r>
      <w:r w:rsidRPr="004D1E99">
        <w:t>extent to which the results can be reproduced when the research is repeated under the same conditions.</w:t>
      </w:r>
    </w:p>
    <w:p w:rsidR="004D1E99" w:rsidRDefault="004D1E99"/>
    <w:p w:rsidR="004D1E99" w:rsidRDefault="004D1E99">
      <w:r>
        <w:tab/>
        <w:t>a. How is it assessed?</w:t>
      </w:r>
    </w:p>
    <w:p w:rsidR="004D1E99" w:rsidRDefault="004D1E99"/>
    <w:p w:rsidR="004D1E99" w:rsidRDefault="004D1E99" w:rsidP="004D1E99">
      <w:pPr>
        <w:pStyle w:val="ListParagraph"/>
        <w:numPr>
          <w:ilvl w:val="0"/>
          <w:numId w:val="1"/>
        </w:numPr>
      </w:pPr>
      <w:r w:rsidRPr="004D1E99">
        <w:t>By checking the consistency of results across time, across different observers, and across parts of the test itself.</w:t>
      </w:r>
    </w:p>
    <w:p w:rsidR="004D1E99" w:rsidRDefault="004D1E99" w:rsidP="004D1E99"/>
    <w:p w:rsidR="004D1E99" w:rsidRDefault="004D1E99" w:rsidP="004D1E99">
      <w:r>
        <w:t>3. How are validity and reliability related?</w:t>
      </w:r>
    </w:p>
    <w:p w:rsidR="004D1E99" w:rsidRDefault="004D1E99" w:rsidP="004D1E99"/>
    <w:p w:rsidR="004D1E99" w:rsidRDefault="004D1E99" w:rsidP="004D1E99">
      <w:pPr>
        <w:ind w:left="720"/>
      </w:pPr>
      <w:r>
        <w:t xml:space="preserve">a. A </w:t>
      </w:r>
      <w:r>
        <w:rPr>
          <w:u w:val="single"/>
        </w:rPr>
        <w:tab/>
      </w:r>
      <w:r>
        <w:rPr>
          <w:u w:val="single"/>
        </w:rPr>
        <w:tab/>
      </w:r>
      <w:r>
        <w:rPr>
          <w:u w:val="single"/>
        </w:rPr>
        <w:tab/>
      </w:r>
      <w:r>
        <w:rPr>
          <w:u w:val="single"/>
        </w:rPr>
        <w:tab/>
      </w:r>
      <w:r>
        <w:t xml:space="preserve"> measure is not always </w:t>
      </w:r>
      <w:r>
        <w:rPr>
          <w:u w:val="single"/>
        </w:rPr>
        <w:tab/>
      </w:r>
      <w:r>
        <w:rPr>
          <w:u w:val="single"/>
        </w:rPr>
        <w:tab/>
      </w:r>
      <w:r>
        <w:rPr>
          <w:u w:val="single"/>
        </w:rPr>
        <w:tab/>
      </w:r>
      <w:r>
        <w:t xml:space="preserve">; </w:t>
      </w:r>
      <w:r w:rsidRPr="004D1E99">
        <w:t>the results might be reproducible, but they’re not necessarily correct.</w:t>
      </w:r>
    </w:p>
    <w:p w:rsidR="004D1E99" w:rsidRDefault="004D1E99" w:rsidP="004D1E99">
      <w:pPr>
        <w:ind w:left="720"/>
      </w:pPr>
    </w:p>
    <w:p w:rsidR="004D1E99" w:rsidRDefault="004D1E99" w:rsidP="004D1E99">
      <w:pPr>
        <w:ind w:left="720"/>
      </w:pPr>
      <w:r>
        <w:t>b.</w:t>
      </w:r>
      <w:r w:rsidRPr="004D1E99">
        <w:t xml:space="preserve"> A</w:t>
      </w:r>
      <w:r>
        <w:t xml:space="preserve"> </w:t>
      </w:r>
      <w:r>
        <w:rPr>
          <w:u w:val="single"/>
        </w:rPr>
        <w:tab/>
      </w:r>
      <w:r>
        <w:rPr>
          <w:u w:val="single"/>
        </w:rPr>
        <w:tab/>
      </w:r>
      <w:r>
        <w:rPr>
          <w:u w:val="single"/>
        </w:rPr>
        <w:tab/>
      </w:r>
      <w:r>
        <w:rPr>
          <w:u w:val="single"/>
        </w:rPr>
        <w:tab/>
      </w:r>
      <w:r w:rsidRPr="004D1E99">
        <w:t xml:space="preserve"> measurement is generally</w:t>
      </w:r>
      <w:r>
        <w:t xml:space="preserve"> </w:t>
      </w:r>
      <w:r>
        <w:rPr>
          <w:u w:val="single"/>
        </w:rPr>
        <w:tab/>
      </w:r>
      <w:r>
        <w:rPr>
          <w:u w:val="single"/>
        </w:rPr>
        <w:tab/>
      </w:r>
      <w:r>
        <w:rPr>
          <w:u w:val="single"/>
        </w:rPr>
        <w:tab/>
      </w:r>
      <w:r w:rsidRPr="004D1E99">
        <w:t>: if a test produces accurate results, they should be reproducible.</w:t>
      </w:r>
      <w:r>
        <w:t xml:space="preserve"> </w:t>
      </w:r>
    </w:p>
    <w:p w:rsidR="004D1E99" w:rsidRDefault="004D1E99" w:rsidP="004D1E99"/>
    <w:p w:rsidR="004D1E99" w:rsidRDefault="004D1E99" w:rsidP="004D1E99">
      <w:r>
        <w:t>4. Types of validity</w:t>
      </w:r>
      <w:r w:rsidR="00745F33">
        <w:t xml:space="preserve"> (ways to measure validity)</w:t>
      </w:r>
    </w:p>
    <w:p w:rsidR="004D1E99" w:rsidRDefault="004D1E99" w:rsidP="004D1E99"/>
    <w:p w:rsidR="004D1E99" w:rsidRDefault="004D1E99" w:rsidP="00745F33">
      <w:pPr>
        <w:ind w:left="720"/>
      </w:pPr>
      <w:proofErr w:type="gramStart"/>
      <w:r>
        <w:t>a</w:t>
      </w:r>
      <w:proofErr w:type="gramEnd"/>
      <w:r>
        <w:t xml:space="preserve">. </w:t>
      </w:r>
      <w:r>
        <w:rPr>
          <w:u w:val="single"/>
        </w:rPr>
        <w:tab/>
      </w:r>
      <w:r>
        <w:rPr>
          <w:u w:val="single"/>
        </w:rPr>
        <w:tab/>
      </w:r>
      <w:r>
        <w:rPr>
          <w:u w:val="single"/>
        </w:rPr>
        <w:tab/>
      </w:r>
      <w:r>
        <w:rPr>
          <w:u w:val="single"/>
        </w:rPr>
        <w:tab/>
      </w:r>
      <w:r>
        <w:rPr>
          <w:u w:val="single"/>
        </w:rPr>
        <w:tab/>
      </w:r>
      <w:r>
        <w:t xml:space="preserve"> </w:t>
      </w:r>
      <w:r>
        <w:sym w:font="Wingdings" w:char="F0E0"/>
      </w:r>
      <w:r>
        <w:t xml:space="preserve"> </w:t>
      </w:r>
      <w:r w:rsidR="00D06A35" w:rsidRPr="00D06A35">
        <w:t>refers to how well an experiment is done, especially whether it avoids confounding (more than one possible independent variable [cause] acting at the same time). The less chance for confounding in a study, the higher its internal validity is.</w:t>
      </w:r>
    </w:p>
    <w:p w:rsidR="00D06A35" w:rsidRDefault="00D06A35" w:rsidP="004D1E99"/>
    <w:p w:rsidR="00D06A35" w:rsidRDefault="00D06A35" w:rsidP="004D1E99"/>
    <w:p w:rsidR="00D06A35" w:rsidRDefault="00D06A35" w:rsidP="00745F33">
      <w:pPr>
        <w:ind w:left="720"/>
      </w:pPr>
      <w:proofErr w:type="gramStart"/>
      <w:r>
        <w:t>b</w:t>
      </w:r>
      <w:proofErr w:type="gramEnd"/>
      <w:r>
        <w:t xml:space="preserve">. </w:t>
      </w:r>
      <w:r>
        <w:rPr>
          <w:u w:val="single"/>
        </w:rPr>
        <w:tab/>
      </w:r>
      <w:r>
        <w:rPr>
          <w:u w:val="single"/>
        </w:rPr>
        <w:tab/>
      </w:r>
      <w:r>
        <w:rPr>
          <w:u w:val="single"/>
        </w:rPr>
        <w:tab/>
      </w:r>
      <w:r>
        <w:rPr>
          <w:u w:val="single"/>
        </w:rPr>
        <w:tab/>
      </w:r>
      <w:r>
        <w:rPr>
          <w:u w:val="single"/>
        </w:rPr>
        <w:tab/>
      </w:r>
      <w:r>
        <w:t xml:space="preserve"> </w:t>
      </w:r>
      <w:r>
        <w:sym w:font="Wingdings" w:char="F0E0"/>
      </w:r>
      <w:r>
        <w:t xml:space="preserve"> </w:t>
      </w:r>
      <w:r w:rsidR="00745F33" w:rsidRPr="00745F33">
        <w:t>validity of applying the conclusions of a scientific study outsid</w:t>
      </w:r>
      <w:r w:rsidR="00745F33">
        <w:t xml:space="preserve">e the context of that study. </w:t>
      </w:r>
      <w:r w:rsidR="00745F33" w:rsidRPr="00745F33">
        <w:t>In other words, it is the extent to which the results of a study can be generalized to and across other situations, people, stimuli, and times</w:t>
      </w:r>
      <w:r w:rsidR="00745F33">
        <w:t>.</w:t>
      </w:r>
    </w:p>
    <w:p w:rsidR="00D06A35" w:rsidRDefault="00D06A35" w:rsidP="004D1E99"/>
    <w:p w:rsidR="00D06A35" w:rsidRPr="00745F33" w:rsidRDefault="00D06A35" w:rsidP="00D06A35">
      <w:pPr>
        <w:ind w:left="720"/>
        <w:rPr>
          <w:rFonts w:cs="Times New Roman"/>
        </w:rPr>
      </w:pPr>
      <w:proofErr w:type="gramStart"/>
      <w:r>
        <w:t>c</w:t>
      </w:r>
      <w:proofErr w:type="gramEnd"/>
      <w:r>
        <w:t xml:space="preserve">. </w:t>
      </w:r>
      <w:r>
        <w:rPr>
          <w:u w:val="single"/>
        </w:rPr>
        <w:tab/>
      </w:r>
      <w:r>
        <w:rPr>
          <w:u w:val="single"/>
        </w:rPr>
        <w:tab/>
      </w:r>
      <w:r>
        <w:rPr>
          <w:u w:val="single"/>
        </w:rPr>
        <w:tab/>
      </w:r>
      <w:r>
        <w:rPr>
          <w:u w:val="single"/>
        </w:rPr>
        <w:tab/>
      </w:r>
      <w:r>
        <w:rPr>
          <w:u w:val="single"/>
        </w:rPr>
        <w:tab/>
      </w:r>
      <w:r>
        <w:t xml:space="preserve"> </w:t>
      </w:r>
      <w:r>
        <w:sym w:font="Wingdings" w:char="F0E0"/>
      </w:r>
      <w:r>
        <w:t xml:space="preserve"> </w:t>
      </w:r>
      <w:r w:rsidRPr="00745F33">
        <w:rPr>
          <w:rFonts w:cs="Times New Roman"/>
        </w:rPr>
        <w:t>also called </w:t>
      </w:r>
      <w:r w:rsidRPr="00745F33">
        <w:rPr>
          <w:rFonts w:cs="Times New Roman"/>
          <w:iCs/>
        </w:rPr>
        <w:t>logical validity</w:t>
      </w:r>
      <w:r w:rsidRPr="00745F33">
        <w:rPr>
          <w:rFonts w:cs="Times New Roman"/>
        </w:rPr>
        <w:t xml:space="preserve">, is a simple form of </w:t>
      </w:r>
    </w:p>
    <w:p w:rsidR="00D06A35" w:rsidRPr="00745F33" w:rsidRDefault="00D06A35" w:rsidP="00D06A35">
      <w:pPr>
        <w:ind w:left="720"/>
      </w:pPr>
      <w:proofErr w:type="gramStart"/>
      <w:r w:rsidRPr="00745F33">
        <w:rPr>
          <w:rFonts w:cs="Times New Roman"/>
        </w:rPr>
        <w:t>validity</w:t>
      </w:r>
      <w:proofErr w:type="gramEnd"/>
      <w:r w:rsidRPr="00745F33">
        <w:rPr>
          <w:rFonts w:cs="Times New Roman"/>
        </w:rPr>
        <w:t xml:space="preserve"> where you apply a superficial and subjective assessment of </w:t>
      </w:r>
      <w:r w:rsidRPr="00745F33">
        <w:rPr>
          <w:rFonts w:cs="Times New Roman"/>
          <w:bCs/>
        </w:rPr>
        <w:t>whether or not your study or test measures what it is supposed to measure</w:t>
      </w:r>
      <w:r w:rsidRPr="00745F33">
        <w:rPr>
          <w:rFonts w:cs="Times New Roman"/>
        </w:rPr>
        <w:t>. Put differently, face validity is the degree to which a procedure, especially a psychological test or assessment, appears effective in terms of its stated aims.</w:t>
      </w:r>
    </w:p>
    <w:p w:rsidR="00D06A35" w:rsidRDefault="00D06A35" w:rsidP="004D1E99"/>
    <w:p w:rsidR="00D06A35" w:rsidRDefault="00D06A35" w:rsidP="00D06A35">
      <w:pPr>
        <w:ind w:left="720"/>
        <w:rPr>
          <w:rFonts w:cs="Times New Roman"/>
          <w:i/>
          <w:u w:val="single"/>
        </w:rPr>
      </w:pPr>
      <w:r>
        <w:t xml:space="preserve">d. </w:t>
      </w:r>
      <w:r w:rsidRPr="00D06A35">
        <w:rPr>
          <w:u w:val="single"/>
        </w:rPr>
        <w:tab/>
      </w:r>
      <w:r w:rsidRPr="00D06A35">
        <w:rPr>
          <w:u w:val="single"/>
        </w:rPr>
        <w:tab/>
      </w:r>
      <w:r w:rsidRPr="00D06A35">
        <w:rPr>
          <w:u w:val="single"/>
        </w:rPr>
        <w:tab/>
      </w:r>
      <w:r w:rsidRPr="00D06A35">
        <w:rPr>
          <w:u w:val="single"/>
        </w:rPr>
        <w:tab/>
      </w:r>
      <w:r w:rsidRPr="00D06A35">
        <w:rPr>
          <w:u w:val="single"/>
        </w:rPr>
        <w:tab/>
      </w:r>
      <w:r>
        <w:t xml:space="preserve"> </w:t>
      </w:r>
      <w:r>
        <w:sym w:font="Wingdings" w:char="F0E0"/>
      </w:r>
      <w:r>
        <w:t xml:space="preserve"> </w:t>
      </w:r>
      <w:r w:rsidRPr="00745F33">
        <w:rPr>
          <w:rFonts w:cs="Times New Roman"/>
        </w:rPr>
        <w:t xml:space="preserve">Evidence that a variable corresponds with (i.e., concurrent validity) or predicts (i.e., predictive validity) another variable. Criterion validity (or criterion-related validity) measures how well one measure predicts an </w:t>
      </w:r>
      <w:r w:rsidRPr="00745F33">
        <w:rPr>
          <w:rFonts w:cs="Times New Roman"/>
        </w:rPr>
        <w:lastRenderedPageBreak/>
        <w:t>outcome for another measure. A test has this type of validity if it is useful for predicting performance or behavior in another situation (past, present, or future).</w:t>
      </w:r>
      <w:r w:rsidRPr="00D06A35">
        <w:rPr>
          <w:rFonts w:cs="Times New Roman"/>
          <w:i/>
          <w:u w:val="single"/>
        </w:rPr>
        <w:t xml:space="preserve"> </w:t>
      </w:r>
    </w:p>
    <w:p w:rsidR="00D06A35" w:rsidRDefault="00D06A35" w:rsidP="00D06A35">
      <w:pPr>
        <w:ind w:left="720"/>
        <w:rPr>
          <w:rFonts w:cs="Times New Roman"/>
          <w:i/>
          <w:u w:val="single"/>
        </w:rPr>
      </w:pPr>
    </w:p>
    <w:p w:rsidR="00D06A35" w:rsidRPr="00745F33" w:rsidRDefault="00D06A35" w:rsidP="00D06A35">
      <w:pPr>
        <w:ind w:left="720"/>
        <w:rPr>
          <w:rFonts w:cs="Times New Roman"/>
        </w:rPr>
      </w:pPr>
      <w:proofErr w:type="gramStart"/>
      <w:r>
        <w:rPr>
          <w:rFonts w:cs="Times New Roman"/>
        </w:rPr>
        <w:t>e</w:t>
      </w:r>
      <w:proofErr w:type="gramEnd"/>
      <w:r>
        <w:rPr>
          <w:rFonts w:cs="Times New Roman"/>
        </w:rPr>
        <w:t xml:space="preserve">. </w:t>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rPr>
        <w:t xml:space="preserve"> </w:t>
      </w:r>
      <w:r w:rsidRPr="00125AEB">
        <w:sym w:font="Wingdings" w:char="F0E0"/>
      </w:r>
      <w:r w:rsidRPr="00D06A35">
        <w:rPr>
          <w:rFonts w:cs="Times New Roman"/>
        </w:rPr>
        <w:t xml:space="preserve"> </w:t>
      </w:r>
      <w:r w:rsidRPr="00745F33">
        <w:rPr>
          <w:rFonts w:cs="Times New Roman"/>
        </w:rPr>
        <w:t>when the predictor and criterion data are collected at the same time. It can also refer to when a test replaces another test (i.e. because it’s cheaper). For example, a written driver’s test replaces an in-person test with an instructor.</w:t>
      </w:r>
    </w:p>
    <w:p w:rsidR="00D06A35" w:rsidRDefault="00D06A35" w:rsidP="00D06A35">
      <w:pPr>
        <w:ind w:left="720"/>
        <w:rPr>
          <w:rFonts w:cs="Times New Roman"/>
          <w:i/>
          <w:u w:val="single"/>
        </w:rPr>
      </w:pPr>
    </w:p>
    <w:p w:rsidR="00D06A35" w:rsidRPr="00745F33" w:rsidRDefault="00D06A35" w:rsidP="00D06A35">
      <w:pPr>
        <w:ind w:left="720"/>
        <w:rPr>
          <w:rFonts w:cs="Times New Roman"/>
        </w:rPr>
      </w:pPr>
      <w:proofErr w:type="gramStart"/>
      <w:r w:rsidRPr="00D06A35">
        <w:rPr>
          <w:rFonts w:cs="Times New Roman"/>
        </w:rPr>
        <w:t>f</w:t>
      </w:r>
      <w:proofErr w:type="gramEnd"/>
      <w:r w:rsidRPr="00D06A35">
        <w:rPr>
          <w:rFonts w:cs="Times New Roman"/>
        </w:rPr>
        <w:t xml:space="preserve">. </w:t>
      </w:r>
      <w:r>
        <w:rPr>
          <w:rFonts w:cs="Times New Roman"/>
          <w:u w:val="single"/>
        </w:rPr>
        <w:t xml:space="preserve"> </w:t>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rPr>
        <w:t xml:space="preserve"> </w:t>
      </w:r>
      <w:r w:rsidRPr="00125AEB">
        <w:sym w:font="Wingdings" w:char="F0E0"/>
      </w:r>
      <w:r w:rsidRPr="00D06A35">
        <w:rPr>
          <w:rFonts w:cs="Times New Roman"/>
        </w:rPr>
        <w:t xml:space="preserve"> </w:t>
      </w:r>
      <w:r w:rsidRPr="00745F33">
        <w:rPr>
          <w:rFonts w:cs="Times New Roman"/>
        </w:rPr>
        <w:t>if the test accurately predicts what it is supposed to predict. For example, the SAT exhibits predictive validity for performance in college. It can also refer to when scores from the predictor measure are taken first and then the criterion data is collected later.</w:t>
      </w:r>
    </w:p>
    <w:p w:rsidR="00D06A35" w:rsidRPr="00D06A35" w:rsidRDefault="00D06A35" w:rsidP="00D06A35">
      <w:pPr>
        <w:ind w:left="720"/>
        <w:rPr>
          <w:rFonts w:cs="Times New Roman"/>
        </w:rPr>
      </w:pPr>
    </w:p>
    <w:p w:rsidR="00D06A35" w:rsidRDefault="00745F33" w:rsidP="00745F33">
      <w:pPr>
        <w:rPr>
          <w:rFonts w:cs="Times New Roman"/>
        </w:rPr>
      </w:pPr>
      <w:r>
        <w:rPr>
          <w:rFonts w:cs="Times New Roman"/>
        </w:rPr>
        <w:t>5. Ways to measure reliability</w:t>
      </w:r>
    </w:p>
    <w:p w:rsidR="00745F33" w:rsidRDefault="00745F33" w:rsidP="00745F33">
      <w:pPr>
        <w:rPr>
          <w:rFonts w:cs="Times New Roman"/>
        </w:rPr>
      </w:pPr>
    </w:p>
    <w:p w:rsidR="00745F33" w:rsidRPr="00234F54" w:rsidRDefault="00745F33" w:rsidP="00745F33">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The easiest way to access reliability is to use</w:t>
      </w:r>
      <w:r>
        <w:rPr>
          <w:rFonts w:cs="Times New Roman"/>
        </w:rPr>
        <w:t xml:space="preserve"> </w:t>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p>
    <w:p w:rsidR="00745F33" w:rsidRPr="00234F54"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This method randomly splits the data set into two</w:t>
      </w:r>
    </w:p>
    <w:p w:rsidR="00745F33" w:rsidRPr="00234F54"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A score for each participant is calculated based on the half of each scale</w:t>
      </w:r>
    </w:p>
    <w:p w:rsidR="00745F33" w:rsidRPr="00234F54"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If a scale is reliable a person’s score on one half should be very similar to their score on the other half</w:t>
      </w:r>
    </w:p>
    <w:tbl>
      <w:tblPr>
        <w:tblStyle w:val="TableGrid"/>
        <w:tblW w:w="0" w:type="auto"/>
        <w:jc w:val="center"/>
        <w:tblLook w:val="04A0" w:firstRow="1" w:lastRow="0" w:firstColumn="1" w:lastColumn="0" w:noHBand="0" w:noVBand="1"/>
      </w:tblPr>
      <w:tblGrid>
        <w:gridCol w:w="1255"/>
        <w:gridCol w:w="1255"/>
        <w:gridCol w:w="1260"/>
        <w:gridCol w:w="1217"/>
        <w:gridCol w:w="1217"/>
      </w:tblGrid>
      <w:tr w:rsidR="00745F33" w:rsidRPr="00125AEB" w:rsidTr="00745F33">
        <w:trPr>
          <w:jc w:val="center"/>
        </w:trPr>
        <w:tc>
          <w:tcPr>
            <w:tcW w:w="1255" w:type="dxa"/>
            <w:vMerge w:val="restart"/>
            <w:vAlign w:val="bottom"/>
          </w:tcPr>
          <w:p w:rsidR="00745F33" w:rsidRPr="00125AEB"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Pr>
                <w:rFonts w:cs="Times New Roman"/>
                <w:sz w:val="18"/>
                <w:szCs w:val="18"/>
              </w:rPr>
              <w:t>Respondent</w:t>
            </w:r>
          </w:p>
        </w:tc>
        <w:tc>
          <w:tcPr>
            <w:tcW w:w="2515" w:type="dxa"/>
            <w:gridSpan w:val="2"/>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SPLIT #1</w:t>
            </w:r>
          </w:p>
        </w:tc>
        <w:tc>
          <w:tcPr>
            <w:tcW w:w="2434" w:type="dxa"/>
            <w:gridSpan w:val="2"/>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SPLIT #2</w:t>
            </w:r>
          </w:p>
        </w:tc>
      </w:tr>
      <w:tr w:rsidR="00745F33" w:rsidRPr="00125AEB" w:rsidTr="00824DEF">
        <w:trPr>
          <w:jc w:val="center"/>
        </w:trPr>
        <w:tc>
          <w:tcPr>
            <w:tcW w:w="1255" w:type="dxa"/>
            <w:vMerge/>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p>
        </w:tc>
        <w:tc>
          <w:tcPr>
            <w:tcW w:w="1255"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JOBSAT1</w:t>
            </w:r>
          </w:p>
        </w:tc>
        <w:tc>
          <w:tcPr>
            <w:tcW w:w="1260"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JOBSAT2</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JOBSAT3</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JOBSAT4</w:t>
            </w:r>
          </w:p>
        </w:tc>
      </w:tr>
      <w:tr w:rsidR="00745F33" w:rsidRPr="00125AEB" w:rsidTr="00824DEF">
        <w:trPr>
          <w:jc w:val="center"/>
        </w:trPr>
        <w:tc>
          <w:tcPr>
            <w:tcW w:w="1255" w:type="dxa"/>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Pr>
                <w:rFonts w:cs="Times New Roman"/>
                <w:sz w:val="18"/>
                <w:szCs w:val="18"/>
              </w:rPr>
              <w:t>1</w:t>
            </w:r>
          </w:p>
        </w:tc>
        <w:tc>
          <w:tcPr>
            <w:tcW w:w="1255"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7</w:t>
            </w:r>
          </w:p>
        </w:tc>
        <w:tc>
          <w:tcPr>
            <w:tcW w:w="1260"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6</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3</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6</w:t>
            </w:r>
          </w:p>
        </w:tc>
      </w:tr>
      <w:tr w:rsidR="00745F33" w:rsidRPr="00125AEB" w:rsidTr="00824DEF">
        <w:trPr>
          <w:jc w:val="center"/>
        </w:trPr>
        <w:tc>
          <w:tcPr>
            <w:tcW w:w="1255" w:type="dxa"/>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Pr>
                <w:rFonts w:cs="Times New Roman"/>
                <w:sz w:val="18"/>
                <w:szCs w:val="18"/>
              </w:rPr>
              <w:t>2</w:t>
            </w:r>
          </w:p>
        </w:tc>
        <w:tc>
          <w:tcPr>
            <w:tcW w:w="1255"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6</w:t>
            </w:r>
          </w:p>
        </w:tc>
        <w:tc>
          <w:tcPr>
            <w:tcW w:w="1260"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6</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2</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4</w:t>
            </w:r>
          </w:p>
        </w:tc>
      </w:tr>
      <w:tr w:rsidR="00745F33" w:rsidRPr="00125AEB" w:rsidTr="00824DEF">
        <w:trPr>
          <w:jc w:val="center"/>
        </w:trPr>
        <w:tc>
          <w:tcPr>
            <w:tcW w:w="1255" w:type="dxa"/>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Pr>
                <w:rFonts w:cs="Times New Roman"/>
                <w:sz w:val="18"/>
                <w:szCs w:val="18"/>
              </w:rPr>
              <w:t>3</w:t>
            </w:r>
          </w:p>
        </w:tc>
        <w:tc>
          <w:tcPr>
            <w:tcW w:w="1255"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6</w:t>
            </w:r>
          </w:p>
        </w:tc>
        <w:tc>
          <w:tcPr>
            <w:tcW w:w="1260"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5</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4</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2</w:t>
            </w:r>
          </w:p>
        </w:tc>
      </w:tr>
      <w:tr w:rsidR="00745F33" w:rsidRPr="00125AEB" w:rsidTr="00824DEF">
        <w:trPr>
          <w:jc w:val="center"/>
        </w:trPr>
        <w:tc>
          <w:tcPr>
            <w:tcW w:w="1255" w:type="dxa"/>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Pr>
                <w:rFonts w:cs="Times New Roman"/>
                <w:sz w:val="18"/>
                <w:szCs w:val="18"/>
              </w:rPr>
              <w:t>4</w:t>
            </w:r>
          </w:p>
        </w:tc>
        <w:tc>
          <w:tcPr>
            <w:tcW w:w="1255"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7</w:t>
            </w:r>
          </w:p>
        </w:tc>
        <w:tc>
          <w:tcPr>
            <w:tcW w:w="1260"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7</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3</w:t>
            </w:r>
          </w:p>
        </w:tc>
        <w:tc>
          <w:tcPr>
            <w:tcW w:w="1217" w:type="dxa"/>
            <w:vAlign w:val="bottom"/>
          </w:tcPr>
          <w:p w:rsidR="00745F33" w:rsidRPr="00125AEB"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18"/>
                <w:szCs w:val="18"/>
              </w:rPr>
            </w:pPr>
            <w:r w:rsidRPr="00125AEB">
              <w:rPr>
                <w:rFonts w:cs="Times New Roman"/>
                <w:sz w:val="18"/>
                <w:szCs w:val="18"/>
              </w:rPr>
              <w:t>4</w:t>
            </w:r>
          </w:p>
        </w:tc>
      </w:tr>
    </w:tbl>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rPr>
      </w:pPr>
    </w:p>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rPr>
      </w:pPr>
      <w:r w:rsidRPr="00234F54">
        <w:rPr>
          <w:rFonts w:cs="Times New Roman"/>
        </w:rPr>
        <w:t>Is this a reliable measure? Why?</w:t>
      </w:r>
    </w:p>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i/>
          <w:u w:val="single"/>
        </w:rPr>
      </w:pPr>
    </w:p>
    <w:p w:rsidR="00B85F84" w:rsidRDefault="00B85F84"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i/>
          <w:u w:val="single"/>
        </w:rPr>
      </w:pP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p>
    <w:p w:rsidR="00B85F84" w:rsidRDefault="00B85F84"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i/>
          <w:u w:val="single"/>
        </w:rPr>
      </w:pPr>
    </w:p>
    <w:p w:rsidR="00B85F84" w:rsidRDefault="00B85F84"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i/>
          <w:u w:val="single"/>
        </w:rPr>
      </w:pP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p>
    <w:p w:rsidR="00B85F84" w:rsidRDefault="00B85F84"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i/>
          <w:u w:val="single"/>
        </w:rPr>
      </w:pPr>
    </w:p>
    <w:p w:rsidR="00B85F84" w:rsidRDefault="00B85F84"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i/>
          <w:u w:val="single"/>
        </w:rPr>
      </w:pP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r>
        <w:rPr>
          <w:rFonts w:cs="Times New Roman"/>
          <w:i/>
          <w:u w:val="single"/>
        </w:rPr>
        <w:tab/>
      </w:r>
    </w:p>
    <w:p w:rsidR="00B85F84" w:rsidRPr="00DE5621" w:rsidRDefault="00B85F84"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i/>
          <w:u w:val="single"/>
        </w:rPr>
      </w:pPr>
    </w:p>
    <w:p w:rsidR="00745F33"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A scale is reliable if the split-half correlation is</w:t>
      </w:r>
      <w:r>
        <w:rPr>
          <w:rFonts w:cs="Times New Roman"/>
        </w:rPr>
        <w:t xml:space="preserve"> </w:t>
      </w:r>
      <w:r>
        <w:rPr>
          <w:rFonts w:cs="Times New Roman"/>
          <w:u w:val="single"/>
        </w:rPr>
        <w:tab/>
      </w:r>
      <w:r>
        <w:rPr>
          <w:rFonts w:cs="Times New Roman"/>
          <w:u w:val="single"/>
        </w:rPr>
        <w:tab/>
      </w:r>
      <w:r>
        <w:rPr>
          <w:rFonts w:cs="Times New Roman"/>
          <w:u w:val="single"/>
        </w:rPr>
        <w:tab/>
      </w:r>
      <w:r>
        <w:rPr>
          <w:rFonts w:cs="Times New Roman"/>
          <w:u w:val="single"/>
        </w:rPr>
        <w:tab/>
      </w:r>
      <w:r w:rsidRPr="00234F54">
        <w:rPr>
          <w:rFonts w:cs="Times New Roman"/>
        </w:rPr>
        <w:t xml:space="preserve"> and</w:t>
      </w:r>
      <w:r>
        <w:rPr>
          <w:rFonts w:cs="Times New Roman"/>
        </w:rPr>
        <w:t xml:space="preserve"> </w:t>
      </w:r>
      <w:r>
        <w:rPr>
          <w:rFonts w:cs="Times New Roman"/>
          <w:u w:val="single"/>
        </w:rPr>
        <w:tab/>
      </w:r>
      <w:r>
        <w:rPr>
          <w:rFonts w:cs="Times New Roman"/>
          <w:u w:val="single"/>
        </w:rPr>
        <w:tab/>
      </w:r>
      <w:r>
        <w:rPr>
          <w:rFonts w:cs="Times New Roman"/>
          <w:u w:val="single"/>
        </w:rPr>
        <w:tab/>
      </w:r>
      <w:r>
        <w:rPr>
          <w:rFonts w:cs="Times New Roman"/>
          <w:u w:val="single"/>
        </w:rPr>
        <w:tab/>
      </w:r>
      <w:r w:rsidRPr="00234F54">
        <w:rPr>
          <w:rFonts w:cs="Times New Roman"/>
        </w:rPr>
        <w:t>.</w:t>
      </w:r>
    </w:p>
    <w:p w:rsidR="00745F33" w:rsidRPr="00234F54" w:rsidRDefault="00745F33" w:rsidP="00745F3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1800"/>
        <w:rPr>
          <w:rFonts w:cs="Times New Roman"/>
        </w:rPr>
      </w:pPr>
    </w:p>
    <w:p w:rsidR="00745F33" w:rsidRDefault="00745F33" w:rsidP="00745F33">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745F33">
        <w:rPr>
          <w:rFonts w:cs="Times New Roman"/>
        </w:rPr>
        <w:t xml:space="preserve">Another way to examine reliability is to test the same thing </w:t>
      </w:r>
      <w:r>
        <w:rPr>
          <w:rFonts w:cs="Times New Roman"/>
        </w:rPr>
        <w:t>twice.</w:t>
      </w:r>
    </w:p>
    <w:p w:rsidR="00745F33" w:rsidRPr="00745F33" w:rsidRDefault="00745F33" w:rsidP="00745F3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ind w:left="1080"/>
        <w:rPr>
          <w:rFonts w:cs="Times New Roman"/>
        </w:rPr>
      </w:pPr>
    </w:p>
    <w:p w:rsidR="00745F33" w:rsidRPr="00234F54"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 xml:space="preserve">This type of reliably check is called </w:t>
      </w:r>
      <w:r>
        <w:rPr>
          <w:rFonts w:cs="Times New Roman"/>
          <w:i/>
          <w:u w:val="single"/>
        </w:rPr>
        <w:t>test-retest reliability</w:t>
      </w:r>
      <w:r w:rsidRPr="00234F54">
        <w:rPr>
          <w:rFonts w:cs="Times New Roman"/>
        </w:rPr>
        <w:t>.</w:t>
      </w:r>
    </w:p>
    <w:p w:rsidR="00745F33" w:rsidRPr="00234F54" w:rsidRDefault="00745F33" w:rsidP="00745F33">
      <w:pPr>
        <w:pStyle w:val="ListParagraph"/>
        <w:rPr>
          <w:rFonts w:cs="Times New Roman"/>
        </w:rPr>
      </w:pPr>
    </w:p>
    <w:p w:rsidR="00745F33" w:rsidRPr="00234F54"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Will this reliability assessment work for all types of instruments?</w:t>
      </w:r>
    </w:p>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u w:val="single"/>
        </w:rPr>
      </w:pP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p>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u w:val="single"/>
        </w:rPr>
      </w:pPr>
    </w:p>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u w:val="single"/>
        </w:rPr>
      </w:pP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p>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u w:val="single"/>
        </w:rPr>
      </w:pPr>
    </w:p>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u w:val="single"/>
        </w:rPr>
      </w:pP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p>
    <w:p w:rsidR="00745F33" w:rsidRDefault="00745F33" w:rsidP="00745F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cs="Times New Roman"/>
          <w:u w:val="single"/>
        </w:rPr>
      </w:pPr>
    </w:p>
    <w:p w:rsidR="00745F33" w:rsidRDefault="00745F33" w:rsidP="00745F33">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Perhaps the best way to assess the reliability of an</w:t>
      </w:r>
      <w:r>
        <w:rPr>
          <w:rFonts w:cs="Times New Roman"/>
        </w:rPr>
        <w:t xml:space="preserve"> instrument is to calculate its </w:t>
      </w:r>
    </w:p>
    <w:p w:rsidR="00745F33" w:rsidRDefault="00745F33" w:rsidP="00745F3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1080"/>
        <w:rPr>
          <w:rFonts w:cs="Times New Roman"/>
        </w:rPr>
      </w:pPr>
    </w:p>
    <w:p w:rsidR="00745F33" w:rsidRPr="001A12AC" w:rsidRDefault="00745F33" w:rsidP="00745F3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1080"/>
        <w:rPr>
          <w:rFonts w:cs="Times New Roman"/>
        </w:rPr>
      </w:pPr>
      <w:r>
        <w:rPr>
          <w:rFonts w:cs="Times New Roman"/>
          <w:i/>
          <w:u w:val="single"/>
        </w:rPr>
        <w:t>Cronbach’s alpha</w:t>
      </w:r>
      <w:r w:rsidRPr="001A12AC">
        <w:rPr>
          <w:rFonts w:cs="Times New Roman"/>
        </w:rPr>
        <w:t>.</w:t>
      </w:r>
    </w:p>
    <w:p w:rsidR="00745F33" w:rsidRPr="00234F54" w:rsidRDefault="00745F33" w:rsidP="00745F3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360"/>
        <w:rPr>
          <w:rFonts w:cs="Times New Roman"/>
        </w:rPr>
      </w:pPr>
    </w:p>
    <w:p w:rsidR="00745F33" w:rsidRPr="00745F33"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745F33">
        <w:rPr>
          <w:rFonts w:cs="Times New Roman"/>
        </w:rPr>
        <w:t xml:space="preserve">This is loosely equivalent to splitting the data in two in every possible way and calculating the </w:t>
      </w:r>
      <w:r w:rsidRPr="00745F33">
        <w:rPr>
          <w:rFonts w:cs="Times New Roman"/>
          <w:i/>
          <w:u w:val="single"/>
        </w:rPr>
        <w:t xml:space="preserve">average of each </w:t>
      </w:r>
      <w:proofErr w:type="spellStart"/>
      <w:r w:rsidRPr="00745F33">
        <w:rPr>
          <w:rFonts w:cs="Times New Roman"/>
          <w:i/>
          <w:u w:val="single"/>
        </w:rPr>
        <w:t>intercorrelation</w:t>
      </w:r>
      <w:proofErr w:type="spellEnd"/>
      <w:r w:rsidRPr="00745F33">
        <w:rPr>
          <w:rFonts w:cs="Times New Roman"/>
          <w:u w:val="single"/>
        </w:rPr>
        <w:t>.</w:t>
      </w:r>
    </w:p>
    <w:p w:rsidR="00745F33" w:rsidRPr="00234F54" w:rsidRDefault="00745F33" w:rsidP="00745F3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1080"/>
        <w:rPr>
          <w:rFonts w:cs="Times New Roman"/>
        </w:rPr>
      </w:pPr>
    </w:p>
    <w:p w:rsidR="00745F33" w:rsidRPr="00234F54"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Cronbach’s alpha (</w:t>
      </w:r>
      <w:r w:rsidRPr="00234F54">
        <w:rPr>
          <w:rFonts w:ascii="Symbol" w:hAnsi="Symbol" w:cs="Times New Roman"/>
        </w:rPr>
        <w:t></w:t>
      </w:r>
      <w:r w:rsidRPr="00234F54">
        <w:rPr>
          <w:rFonts w:cs="Times New Roman"/>
        </w:rPr>
        <w:t xml:space="preserve">) ranges from 0 to 1; </w:t>
      </w:r>
      <w:r w:rsidRPr="00DE5621">
        <w:rPr>
          <w:rFonts w:cs="Times New Roman"/>
          <w:i/>
          <w:u w:val="single"/>
        </w:rPr>
        <w:t>.</w:t>
      </w:r>
      <w:proofErr w:type="gramStart"/>
      <w:r w:rsidRPr="00DE5621">
        <w:rPr>
          <w:rFonts w:cs="Times New Roman"/>
          <w:i/>
          <w:u w:val="single"/>
        </w:rPr>
        <w:t xml:space="preserve">70 </w:t>
      </w:r>
      <w:r w:rsidRPr="00234F54">
        <w:rPr>
          <w:rFonts w:cs="Times New Roman"/>
        </w:rPr>
        <w:t xml:space="preserve"> is</w:t>
      </w:r>
      <w:proofErr w:type="gramEnd"/>
      <w:r w:rsidRPr="00234F54">
        <w:rPr>
          <w:rFonts w:cs="Times New Roman"/>
        </w:rPr>
        <w:t xml:space="preserve"> an *acceptable* </w:t>
      </w:r>
      <w:r w:rsidRPr="00234F54">
        <w:rPr>
          <w:rFonts w:ascii="Symbol" w:hAnsi="Symbol" w:cs="Times New Roman"/>
        </w:rPr>
        <w:t></w:t>
      </w:r>
      <w:r w:rsidRPr="00234F54">
        <w:rPr>
          <w:rFonts w:cs="Times New Roman"/>
        </w:rPr>
        <w:t xml:space="preserve"> score.</w:t>
      </w:r>
    </w:p>
    <w:p w:rsidR="00745F33" w:rsidRPr="00234F54" w:rsidRDefault="00745F33" w:rsidP="00745F3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1080"/>
        <w:rPr>
          <w:rFonts w:cs="Times New Roman"/>
        </w:rPr>
      </w:pPr>
    </w:p>
    <w:p w:rsidR="00745F33" w:rsidRPr="00234F54" w:rsidRDefault="00745F33" w:rsidP="00745F33">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160" w:line="259" w:lineRule="auto"/>
        <w:rPr>
          <w:rFonts w:cs="Times New Roman"/>
        </w:rPr>
      </w:pPr>
      <w:r w:rsidRPr="00234F54">
        <w:rPr>
          <w:rFonts w:cs="Times New Roman"/>
        </w:rPr>
        <w:t xml:space="preserve">It highly influenced by the </w:t>
      </w:r>
      <w:r>
        <w:rPr>
          <w:rFonts w:cs="Times New Roman"/>
          <w:i/>
          <w:u w:val="single"/>
        </w:rPr>
        <w:t>number of items</w:t>
      </w:r>
      <w:r w:rsidRPr="00234F54">
        <w:rPr>
          <w:rFonts w:cs="Times New Roman"/>
        </w:rPr>
        <w:t xml:space="preserve"> in the scale</w:t>
      </w:r>
    </w:p>
    <w:tbl>
      <w:tblPr>
        <w:tblStyle w:val="TableGrid"/>
        <w:tblW w:w="0" w:type="auto"/>
        <w:jc w:val="center"/>
        <w:tblLook w:val="04A0" w:firstRow="1" w:lastRow="0" w:firstColumn="1" w:lastColumn="0" w:noHBand="0" w:noVBand="1"/>
      </w:tblPr>
      <w:tblGrid>
        <w:gridCol w:w="720"/>
        <w:gridCol w:w="720"/>
        <w:gridCol w:w="1445"/>
        <w:gridCol w:w="720"/>
        <w:gridCol w:w="720"/>
        <w:gridCol w:w="1440"/>
      </w:tblGrid>
      <w:tr w:rsidR="00745F33" w:rsidRPr="00234F54" w:rsidTr="00296380">
        <w:trPr>
          <w:jc w:val="center"/>
        </w:trPr>
        <w:tc>
          <w:tcPr>
            <w:tcW w:w="2885" w:type="dxa"/>
            <w:gridSpan w:val="3"/>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SCALE #1</w:t>
            </w:r>
          </w:p>
        </w:tc>
        <w:tc>
          <w:tcPr>
            <w:tcW w:w="2880" w:type="dxa"/>
            <w:gridSpan w:val="3"/>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SCALE #2</w:t>
            </w:r>
          </w:p>
        </w:tc>
      </w:tr>
      <w:tr w:rsidR="00745F33" w:rsidRPr="00234F54" w:rsidTr="00296380">
        <w:trPr>
          <w:jc w:val="center"/>
        </w:trPr>
        <w:tc>
          <w:tcPr>
            <w:tcW w:w="720" w:type="dxa"/>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 of items</w:t>
            </w:r>
          </w:p>
        </w:tc>
        <w:tc>
          <w:tcPr>
            <w:tcW w:w="720" w:type="dxa"/>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ascii="Symbol" w:hAnsi="Symbol" w:cs="Times New Roman"/>
                <w:sz w:val="20"/>
                <w:szCs w:val="20"/>
              </w:rPr>
              <w:t></w:t>
            </w:r>
          </w:p>
        </w:tc>
        <w:tc>
          <w:tcPr>
            <w:tcW w:w="1445" w:type="dxa"/>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 xml:space="preserve">Average r </w:t>
            </w:r>
          </w:p>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between items</w:t>
            </w:r>
          </w:p>
        </w:tc>
        <w:tc>
          <w:tcPr>
            <w:tcW w:w="720" w:type="dxa"/>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 of items</w:t>
            </w:r>
          </w:p>
        </w:tc>
        <w:tc>
          <w:tcPr>
            <w:tcW w:w="720" w:type="dxa"/>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ascii="Symbol" w:hAnsi="Symbol" w:cs="Times New Roman"/>
                <w:sz w:val="20"/>
                <w:szCs w:val="20"/>
              </w:rPr>
              <w:t></w:t>
            </w:r>
          </w:p>
        </w:tc>
        <w:tc>
          <w:tcPr>
            <w:tcW w:w="1440" w:type="dxa"/>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 xml:space="preserve">Average r </w:t>
            </w:r>
          </w:p>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ascii="Symbol" w:hAnsi="Symbol" w:cs="Times New Roman"/>
                <w:sz w:val="20"/>
                <w:szCs w:val="20"/>
              </w:rPr>
            </w:pPr>
            <w:r w:rsidRPr="00234F54">
              <w:rPr>
                <w:rFonts w:cs="Times New Roman"/>
                <w:sz w:val="20"/>
                <w:szCs w:val="20"/>
              </w:rPr>
              <w:t>between items</w:t>
            </w:r>
          </w:p>
        </w:tc>
      </w:tr>
      <w:tr w:rsidR="00745F33" w:rsidRPr="00234F54" w:rsidTr="00296380">
        <w:trPr>
          <w:trHeight w:val="233"/>
          <w:jc w:val="center"/>
        </w:trPr>
        <w:tc>
          <w:tcPr>
            <w:tcW w:w="720" w:type="dxa"/>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3</w:t>
            </w:r>
          </w:p>
        </w:tc>
        <w:tc>
          <w:tcPr>
            <w:tcW w:w="720" w:type="dxa"/>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.8</w:t>
            </w:r>
          </w:p>
        </w:tc>
        <w:tc>
          <w:tcPr>
            <w:tcW w:w="1445" w:type="dxa"/>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.57</w:t>
            </w:r>
          </w:p>
        </w:tc>
        <w:tc>
          <w:tcPr>
            <w:tcW w:w="720" w:type="dxa"/>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10</w:t>
            </w:r>
          </w:p>
        </w:tc>
        <w:tc>
          <w:tcPr>
            <w:tcW w:w="720" w:type="dxa"/>
            <w:vAlign w:val="bottom"/>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.8</w:t>
            </w:r>
          </w:p>
        </w:tc>
        <w:tc>
          <w:tcPr>
            <w:tcW w:w="1440" w:type="dxa"/>
          </w:tcPr>
          <w:p w:rsidR="00745F33" w:rsidRPr="00234F54" w:rsidRDefault="00745F33" w:rsidP="0029638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center"/>
              <w:rPr>
                <w:rFonts w:cs="Times New Roman"/>
                <w:sz w:val="20"/>
                <w:szCs w:val="20"/>
              </w:rPr>
            </w:pPr>
            <w:r w:rsidRPr="00234F54">
              <w:rPr>
                <w:rFonts w:cs="Times New Roman"/>
                <w:sz w:val="20"/>
                <w:szCs w:val="20"/>
              </w:rPr>
              <w:t>.28</w:t>
            </w:r>
          </w:p>
        </w:tc>
      </w:tr>
    </w:tbl>
    <w:p w:rsidR="00745F33" w:rsidRPr="00BF2783" w:rsidRDefault="00745F33" w:rsidP="00745F33">
      <w:pPr>
        <w:rPr>
          <w:rFonts w:cs="Times New Roman"/>
        </w:rPr>
      </w:pPr>
    </w:p>
    <w:p w:rsidR="00B85F84" w:rsidRPr="004A255E" w:rsidRDefault="00B85F84" w:rsidP="00B85F84">
      <w:pPr>
        <w:rPr>
          <w:rFonts w:cs="Times New Roman"/>
          <w:sz w:val="22"/>
        </w:rPr>
      </w:pPr>
      <w:r w:rsidRPr="004A255E">
        <w:rPr>
          <w:rFonts w:cs="Times New Roman"/>
          <w:sz w:val="22"/>
        </w:rPr>
        <w:t>Threats to validity</w:t>
      </w:r>
    </w:p>
    <w:p w:rsidR="00B85F84" w:rsidRPr="004A255E" w:rsidRDefault="00B85F84" w:rsidP="00B85F84">
      <w:pPr>
        <w:spacing w:after="160" w:line="259" w:lineRule="auto"/>
        <w:ind w:left="720"/>
        <w:rPr>
          <w:rFonts w:cs="Times New Roman"/>
          <w:sz w:val="22"/>
        </w:rPr>
      </w:pPr>
      <w:r w:rsidRPr="004A255E">
        <w:rPr>
          <w:rFonts w:cs="Times New Roman"/>
          <w:sz w:val="22"/>
        </w:rPr>
        <w:t xml:space="preserve">There are numerous threats to the validity of cause and effect conclusions (see Cook, Campbell, &amp; </w:t>
      </w:r>
      <w:proofErr w:type="spellStart"/>
      <w:r w:rsidRPr="004A255E">
        <w:rPr>
          <w:rFonts w:cs="Times New Roman"/>
          <w:sz w:val="22"/>
        </w:rPr>
        <w:t>Peracchio</w:t>
      </w:r>
      <w:proofErr w:type="spellEnd"/>
      <w:r w:rsidRPr="004A255E">
        <w:rPr>
          <w:rFonts w:cs="Times New Roman"/>
          <w:sz w:val="22"/>
        </w:rPr>
        <w:t xml:space="preserve"> [1990] in Supplemental Materials content folder)</w:t>
      </w:r>
    </w:p>
    <w:p w:rsidR="00B85F84" w:rsidRPr="00B85F84" w:rsidRDefault="00B85F84" w:rsidP="00B85F84">
      <w:pPr>
        <w:pStyle w:val="ListParagraph"/>
        <w:numPr>
          <w:ilvl w:val="1"/>
          <w:numId w:val="3"/>
        </w:numPr>
        <w:spacing w:after="160" w:line="259" w:lineRule="auto"/>
        <w:rPr>
          <w:rFonts w:cs="Times New Roman"/>
          <w:sz w:val="22"/>
        </w:rPr>
      </w:pPr>
      <w:r w:rsidRPr="004A255E">
        <w:rPr>
          <w:rFonts w:cs="Times New Roman"/>
          <w:sz w:val="22"/>
        </w:rPr>
        <w:t xml:space="preserve">Reverse causation </w:t>
      </w:r>
      <w:r w:rsidRPr="004A255E">
        <w:rPr>
          <w:rFonts w:cs="Times New Roman"/>
          <w:sz w:val="22"/>
        </w:rPr>
        <w:sym w:font="Wingdings" w:char="F0E0"/>
      </w:r>
      <w:r w:rsidRPr="004A255E">
        <w:rPr>
          <w:rFonts w:cs="Times New Roman"/>
          <w:sz w:val="22"/>
        </w:rPr>
        <w:t xml:space="preserve"> </w:t>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Pr="00B85F84" w:rsidRDefault="00B85F84" w:rsidP="00B85F84">
      <w:pPr>
        <w:pStyle w:val="ListParagraph"/>
        <w:spacing w:after="160" w:line="259" w:lineRule="auto"/>
        <w:ind w:left="1080"/>
        <w:rPr>
          <w:rFonts w:cs="Times New Roman"/>
          <w:sz w:val="22"/>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sidRPr="004A255E">
        <w:rPr>
          <w:rFonts w:cs="Times New Roman"/>
          <w:sz w:val="22"/>
        </w:rPr>
        <w:tab/>
      </w:r>
      <w:r w:rsidRPr="00B85F84">
        <w:rPr>
          <w:rFonts w:cs="Times New Roman"/>
          <w:sz w:val="22"/>
        </w:rPr>
        <w:tab/>
      </w:r>
      <w:r w:rsidRPr="00B85F84">
        <w:rPr>
          <w:rFonts w:cs="Times New Roman"/>
          <w:sz w:val="22"/>
        </w:rPr>
        <w:tab/>
      </w:r>
      <w:r w:rsidRPr="00B85F84">
        <w:rPr>
          <w:rFonts w:cs="Times New Roman"/>
          <w:sz w:val="22"/>
        </w:rPr>
        <w:tab/>
      </w:r>
    </w:p>
    <w:p w:rsidR="00B85F84" w:rsidRPr="00B85F84" w:rsidRDefault="00B85F84" w:rsidP="00B85F84">
      <w:pPr>
        <w:pStyle w:val="ListParagraph"/>
        <w:numPr>
          <w:ilvl w:val="1"/>
          <w:numId w:val="3"/>
        </w:numPr>
        <w:spacing w:after="160" w:line="259" w:lineRule="auto"/>
        <w:rPr>
          <w:rFonts w:cs="Times New Roman"/>
          <w:sz w:val="22"/>
        </w:rPr>
      </w:pPr>
      <w:r w:rsidRPr="00B85F84">
        <w:rPr>
          <w:rFonts w:cs="Times New Roman"/>
          <w:sz w:val="22"/>
        </w:rPr>
        <w:t xml:space="preserve">Reciprocal causation </w:t>
      </w:r>
      <w:r w:rsidRPr="004A255E">
        <w:rPr>
          <w:rFonts w:cs="Times New Roman"/>
          <w:sz w:val="22"/>
        </w:rPr>
        <w:sym w:font="Wingdings" w:char="F0E0"/>
      </w:r>
      <w:r w:rsidRPr="00B85F84">
        <w:rPr>
          <w:rFonts w:cs="Times New Roman"/>
          <w:sz w:val="22"/>
        </w:rPr>
        <w:t xml:space="preserve"> </w:t>
      </w:r>
      <w:r w:rsidRPr="00B85F84">
        <w:rPr>
          <w:rFonts w:cs="Times New Roman"/>
          <w:i/>
          <w:sz w:val="22"/>
          <w:u w:val="single"/>
        </w:rPr>
        <w:t xml:space="preserve"> </w:t>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Pr="00B85F84" w:rsidRDefault="00B85F84" w:rsidP="00B85F84">
      <w:pPr>
        <w:pStyle w:val="ListParagraph"/>
        <w:spacing w:after="160" w:line="259" w:lineRule="auto"/>
        <w:ind w:left="1080"/>
        <w:rPr>
          <w:rFonts w:cs="Times New Roman"/>
          <w:sz w:val="22"/>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Pr="00B85F84" w:rsidRDefault="00B85F84" w:rsidP="00B85F84">
      <w:pPr>
        <w:pStyle w:val="ListParagraph"/>
        <w:spacing w:after="160" w:line="259" w:lineRule="auto"/>
        <w:ind w:left="1080"/>
        <w:rPr>
          <w:rFonts w:cs="Times New Roman"/>
          <w:sz w:val="22"/>
        </w:rPr>
      </w:pPr>
    </w:p>
    <w:p w:rsidR="00B85F84" w:rsidRPr="00B85F84" w:rsidRDefault="00B85F84" w:rsidP="00B85F84">
      <w:pPr>
        <w:pStyle w:val="ListParagraph"/>
        <w:numPr>
          <w:ilvl w:val="1"/>
          <w:numId w:val="3"/>
        </w:numPr>
        <w:spacing w:after="160" w:line="259" w:lineRule="auto"/>
        <w:rPr>
          <w:rFonts w:cs="Times New Roman"/>
          <w:sz w:val="22"/>
        </w:rPr>
      </w:pPr>
      <w:r w:rsidRPr="00B85F84">
        <w:rPr>
          <w:rFonts w:cs="Times New Roman"/>
          <w:sz w:val="22"/>
        </w:rPr>
        <w:t xml:space="preserve">Spurious relation </w:t>
      </w:r>
      <w:r w:rsidRPr="004A255E">
        <w:rPr>
          <w:rFonts w:cs="Times New Roman"/>
          <w:sz w:val="22"/>
        </w:rPr>
        <w:sym w:font="Wingdings" w:char="F0E0"/>
      </w:r>
      <w:r w:rsidRPr="00B85F84">
        <w:rPr>
          <w:rFonts w:cs="Times New Roman"/>
          <w:sz w:val="22"/>
        </w:rPr>
        <w:t xml:space="preserve"> </w:t>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Pr="00B85F84" w:rsidRDefault="00B85F84" w:rsidP="00B85F84">
      <w:pPr>
        <w:pStyle w:val="ListParagraph"/>
        <w:spacing w:after="160" w:line="259" w:lineRule="auto"/>
        <w:ind w:left="1080"/>
        <w:rPr>
          <w:rFonts w:cs="Times New Roman"/>
          <w:sz w:val="22"/>
        </w:rPr>
      </w:pPr>
    </w:p>
    <w:p w:rsidR="00B85F84" w:rsidRPr="00B85F84" w:rsidRDefault="00B85F84" w:rsidP="00B85F84">
      <w:pPr>
        <w:pStyle w:val="ListParagraph"/>
        <w:numPr>
          <w:ilvl w:val="1"/>
          <w:numId w:val="3"/>
        </w:numPr>
        <w:spacing w:after="160" w:line="259" w:lineRule="auto"/>
        <w:rPr>
          <w:rFonts w:cs="Times New Roman"/>
          <w:sz w:val="22"/>
        </w:rPr>
      </w:pPr>
      <w:r w:rsidRPr="00B85F84">
        <w:rPr>
          <w:rFonts w:cs="Times New Roman"/>
          <w:sz w:val="22"/>
        </w:rPr>
        <w:t xml:space="preserve">Moderated relation </w:t>
      </w:r>
      <w:r w:rsidRPr="004A255E">
        <w:rPr>
          <w:rFonts w:cs="Times New Roman"/>
          <w:sz w:val="22"/>
        </w:rPr>
        <w:sym w:font="Wingdings" w:char="F0E0"/>
      </w:r>
      <w:r w:rsidRPr="00B85F84">
        <w:rPr>
          <w:rFonts w:cs="Times New Roman"/>
          <w:sz w:val="22"/>
        </w:rPr>
        <w:t xml:space="preserve"> </w:t>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sz w:val="22"/>
        </w:rPr>
      </w:pPr>
    </w:p>
    <w:p w:rsidR="00B85F84" w:rsidRPr="00B85F84" w:rsidRDefault="00B85F84" w:rsidP="00B85F84">
      <w:pPr>
        <w:pStyle w:val="ListParagraph"/>
        <w:spacing w:after="160" w:line="259" w:lineRule="auto"/>
        <w:ind w:left="1080"/>
        <w:rPr>
          <w:rFonts w:cs="Times New Roman"/>
          <w:sz w:val="22"/>
        </w:rPr>
      </w:pPr>
    </w:p>
    <w:p w:rsidR="00B85F84" w:rsidRPr="00B85F84" w:rsidRDefault="00B85F84" w:rsidP="00B85F84">
      <w:pPr>
        <w:pStyle w:val="ListParagraph"/>
        <w:numPr>
          <w:ilvl w:val="1"/>
          <w:numId w:val="3"/>
        </w:numPr>
        <w:spacing w:after="160" w:line="259" w:lineRule="auto"/>
        <w:rPr>
          <w:rFonts w:cs="Times New Roman"/>
          <w:sz w:val="22"/>
        </w:rPr>
      </w:pPr>
      <w:r w:rsidRPr="00B85F84">
        <w:rPr>
          <w:rFonts w:cs="Times New Roman"/>
          <w:sz w:val="22"/>
        </w:rPr>
        <w:lastRenderedPageBreak/>
        <w:t xml:space="preserve">Selection of participants </w:t>
      </w:r>
      <w:r w:rsidRPr="004A255E">
        <w:rPr>
          <w:rFonts w:cs="Times New Roman"/>
          <w:sz w:val="22"/>
        </w:rPr>
        <w:sym w:font="Wingdings" w:char="F0E0"/>
      </w:r>
      <w:r w:rsidRPr="00B85F84">
        <w:rPr>
          <w:rFonts w:cs="Times New Roman"/>
          <w:sz w:val="22"/>
        </w:rPr>
        <w:t xml:space="preserve"> </w:t>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Pr="00B85F84" w:rsidRDefault="00B85F84" w:rsidP="00B85F84">
      <w:pPr>
        <w:pStyle w:val="ListParagraph"/>
        <w:spacing w:after="160" w:line="259" w:lineRule="auto"/>
        <w:ind w:left="1080"/>
        <w:rPr>
          <w:rFonts w:cs="Times New Roman"/>
          <w:sz w:val="22"/>
        </w:rPr>
      </w:pPr>
    </w:p>
    <w:p w:rsidR="00B85F84" w:rsidRPr="00B85F84" w:rsidRDefault="00B85F84" w:rsidP="00B85F84">
      <w:pPr>
        <w:pStyle w:val="ListParagraph"/>
        <w:numPr>
          <w:ilvl w:val="1"/>
          <w:numId w:val="3"/>
        </w:numPr>
        <w:spacing w:after="160" w:line="259" w:lineRule="auto"/>
        <w:rPr>
          <w:rFonts w:cs="Times New Roman"/>
          <w:sz w:val="22"/>
        </w:rPr>
      </w:pPr>
      <w:r w:rsidRPr="00B85F84">
        <w:rPr>
          <w:rFonts w:cs="Times New Roman"/>
          <w:sz w:val="22"/>
        </w:rPr>
        <w:t xml:space="preserve">Mortality </w:t>
      </w:r>
      <w:r w:rsidRPr="004A255E">
        <w:rPr>
          <w:rFonts w:cs="Times New Roman"/>
          <w:sz w:val="22"/>
        </w:rPr>
        <w:sym w:font="Wingdings" w:char="F0E0"/>
      </w:r>
      <w:r w:rsidRPr="00B85F84">
        <w:rPr>
          <w:rFonts w:cs="Times New Roman"/>
          <w:sz w:val="22"/>
        </w:rPr>
        <w:t xml:space="preserve"> </w:t>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Pr="00B85F84" w:rsidRDefault="00B85F84" w:rsidP="00B85F84">
      <w:pPr>
        <w:pStyle w:val="ListParagraph"/>
        <w:spacing w:after="160" w:line="259" w:lineRule="auto"/>
        <w:ind w:left="1080"/>
        <w:rPr>
          <w:rFonts w:cs="Times New Roman"/>
          <w:sz w:val="22"/>
        </w:rPr>
      </w:pPr>
    </w:p>
    <w:p w:rsidR="00B85F84" w:rsidRPr="00B85F84" w:rsidRDefault="00B85F84" w:rsidP="00B85F84">
      <w:pPr>
        <w:pStyle w:val="ListParagraph"/>
        <w:numPr>
          <w:ilvl w:val="1"/>
          <w:numId w:val="3"/>
        </w:numPr>
        <w:spacing w:after="160" w:line="259" w:lineRule="auto"/>
        <w:rPr>
          <w:rFonts w:cs="Times New Roman"/>
          <w:sz w:val="22"/>
        </w:rPr>
      </w:pPr>
      <w:r w:rsidRPr="00B85F84">
        <w:rPr>
          <w:rFonts w:cs="Times New Roman"/>
          <w:sz w:val="22"/>
        </w:rPr>
        <w:t xml:space="preserve">Compensatory rivalry </w:t>
      </w:r>
      <w:r w:rsidRPr="004A255E">
        <w:rPr>
          <w:rFonts w:cs="Times New Roman"/>
          <w:sz w:val="22"/>
        </w:rPr>
        <w:sym w:font="Wingdings" w:char="F0E0"/>
      </w:r>
      <w:r w:rsidRPr="00B85F84">
        <w:rPr>
          <w:rFonts w:cs="Times New Roman"/>
          <w:sz w:val="22"/>
        </w:rPr>
        <w:t xml:space="preserve"> </w:t>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Pr="00B85F84" w:rsidRDefault="00B85F84" w:rsidP="00B85F84">
      <w:pPr>
        <w:pStyle w:val="ListParagraph"/>
        <w:spacing w:after="160" w:line="259" w:lineRule="auto"/>
        <w:ind w:left="1080"/>
        <w:rPr>
          <w:rFonts w:cs="Times New Roman"/>
          <w:sz w:val="22"/>
        </w:rPr>
      </w:pPr>
    </w:p>
    <w:p w:rsidR="00B85F84" w:rsidRPr="004A255E" w:rsidRDefault="00B85F84" w:rsidP="00B85F84">
      <w:pPr>
        <w:pStyle w:val="ListParagraph"/>
        <w:ind w:left="1080"/>
        <w:rPr>
          <w:rFonts w:cs="Times New Roman"/>
          <w:i/>
          <w:sz w:val="22"/>
          <w:u w:val="single"/>
        </w:rPr>
      </w:pPr>
      <w:r w:rsidRPr="004A255E">
        <w:rPr>
          <w:rFonts w:cs="Times New Roman"/>
          <w:i/>
          <w:sz w:val="22"/>
          <w:u w:val="single"/>
        </w:rPr>
        <w:t xml:space="preserve">**Interesting fact: </w:t>
      </w:r>
      <w:proofErr w:type="spellStart"/>
      <w:r w:rsidRPr="004A255E">
        <w:rPr>
          <w:rFonts w:cs="Times New Roman"/>
          <w:i/>
          <w:sz w:val="22"/>
          <w:u w:val="single"/>
        </w:rPr>
        <w:t>Saretsky</w:t>
      </w:r>
      <w:proofErr w:type="spellEnd"/>
      <w:r w:rsidRPr="004A255E">
        <w:rPr>
          <w:rFonts w:cs="Times New Roman"/>
          <w:i/>
          <w:sz w:val="22"/>
          <w:u w:val="single"/>
        </w:rPr>
        <w:t xml:space="preserve"> (1972) named this the “John Henry” effect in honor of the steel driver who, upon learning that his output was being compared with that of a steam drill, worked so hard that he outperformed the drill and died of overexertion.</w:t>
      </w:r>
    </w:p>
    <w:p w:rsidR="00B85F84" w:rsidRPr="004A255E" w:rsidRDefault="00B85F84" w:rsidP="00B85F84">
      <w:pPr>
        <w:pStyle w:val="ListParagraph"/>
        <w:ind w:left="1080"/>
        <w:rPr>
          <w:rFonts w:cs="Times New Roman"/>
          <w:i/>
          <w:sz w:val="22"/>
          <w:u w:val="single"/>
        </w:rPr>
      </w:pPr>
    </w:p>
    <w:p w:rsidR="00B85F84" w:rsidRPr="00B85F84" w:rsidRDefault="00B85F84" w:rsidP="00B85F84">
      <w:pPr>
        <w:pStyle w:val="ListParagraph"/>
        <w:numPr>
          <w:ilvl w:val="1"/>
          <w:numId w:val="3"/>
        </w:numPr>
        <w:spacing w:after="160" w:line="259" w:lineRule="auto"/>
        <w:rPr>
          <w:rFonts w:cs="Times New Roman"/>
          <w:sz w:val="22"/>
        </w:rPr>
      </w:pPr>
      <w:r w:rsidRPr="00B85F84">
        <w:rPr>
          <w:rFonts w:cs="Times New Roman"/>
          <w:sz w:val="22"/>
        </w:rPr>
        <w:t xml:space="preserve">Resentful demoralization </w:t>
      </w:r>
      <w:r w:rsidRPr="004A255E">
        <w:rPr>
          <w:rFonts w:cs="Times New Roman"/>
          <w:sz w:val="22"/>
        </w:rPr>
        <w:sym w:font="Wingdings" w:char="F0E0"/>
      </w:r>
      <w:r w:rsidRPr="00B85F84">
        <w:rPr>
          <w:rFonts w:cs="Times New Roman"/>
          <w:sz w:val="22"/>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Pr="00B85F84" w:rsidRDefault="00B85F84" w:rsidP="00B85F84">
      <w:pPr>
        <w:pStyle w:val="ListParagraph"/>
        <w:spacing w:after="160" w:line="259" w:lineRule="auto"/>
        <w:ind w:left="1080"/>
        <w:rPr>
          <w:rFonts w:cs="Times New Roman"/>
          <w:sz w:val="22"/>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Pr="00B85F84" w:rsidRDefault="00B85F84" w:rsidP="00B85F84">
      <w:pPr>
        <w:pStyle w:val="ListParagraph"/>
        <w:spacing w:after="160" w:line="259" w:lineRule="auto"/>
        <w:ind w:left="1080"/>
        <w:rPr>
          <w:rFonts w:cs="Times New Roman"/>
          <w:sz w:val="22"/>
        </w:rPr>
      </w:pPr>
    </w:p>
    <w:p w:rsidR="00B85F84" w:rsidRPr="00B85F84" w:rsidRDefault="00B85F84" w:rsidP="00B85F84">
      <w:pPr>
        <w:pStyle w:val="ListParagraph"/>
        <w:numPr>
          <w:ilvl w:val="1"/>
          <w:numId w:val="3"/>
        </w:numPr>
        <w:spacing w:after="160" w:line="259" w:lineRule="auto"/>
        <w:rPr>
          <w:rFonts w:cs="Times New Roman"/>
          <w:sz w:val="22"/>
        </w:rPr>
      </w:pPr>
      <w:r w:rsidRPr="00B85F84">
        <w:rPr>
          <w:rFonts w:cs="Times New Roman"/>
          <w:sz w:val="22"/>
        </w:rPr>
        <w:t xml:space="preserve">Hypothesis guessing </w:t>
      </w:r>
      <w:r w:rsidRPr="004A255E">
        <w:rPr>
          <w:rFonts w:cs="Times New Roman"/>
          <w:sz w:val="22"/>
        </w:rPr>
        <w:sym w:font="Wingdings" w:char="F0E0"/>
      </w:r>
      <w:r w:rsidRPr="00B85F84">
        <w:rPr>
          <w:rFonts w:cs="Times New Roman"/>
          <w:sz w:val="22"/>
        </w:rPr>
        <w:t xml:space="preserve"> </w:t>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B85F84" w:rsidRDefault="00B85F84" w:rsidP="00B85F84">
      <w:pPr>
        <w:pStyle w:val="ListParagraph"/>
        <w:spacing w:after="160" w:line="259" w:lineRule="auto"/>
        <w:ind w:left="1080"/>
        <w:rPr>
          <w:rFonts w:cs="Times New Roman"/>
          <w:i/>
          <w:sz w:val="22"/>
          <w:u w:val="single"/>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B85F84" w:rsidRDefault="00B85F84" w:rsidP="00B85F84">
      <w:pPr>
        <w:pStyle w:val="ListParagraph"/>
        <w:spacing w:after="160" w:line="259" w:lineRule="auto"/>
        <w:ind w:left="1080"/>
        <w:rPr>
          <w:rFonts w:cs="Times New Roman"/>
          <w:i/>
          <w:sz w:val="22"/>
          <w:u w:val="single"/>
        </w:rPr>
      </w:pPr>
    </w:p>
    <w:p w:rsidR="00745F33" w:rsidRPr="00B85F84" w:rsidRDefault="00B85F84" w:rsidP="00B85F84">
      <w:pPr>
        <w:pStyle w:val="ListParagraph"/>
        <w:spacing w:after="160" w:line="259" w:lineRule="auto"/>
        <w:ind w:left="1080"/>
        <w:rPr>
          <w:rFonts w:cs="Times New Roman"/>
        </w:rPr>
      </w:pP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r>
        <w:rPr>
          <w:rFonts w:cs="Times New Roman"/>
          <w:i/>
          <w:sz w:val="22"/>
          <w:u w:val="single"/>
        </w:rPr>
        <w:tab/>
      </w:r>
    </w:p>
    <w:p w:rsidR="00D06A35" w:rsidRPr="00D06A35" w:rsidRDefault="00D06A35" w:rsidP="004D1E99"/>
    <w:p w:rsidR="00D06A35" w:rsidRPr="00D06A35" w:rsidRDefault="00D06A35" w:rsidP="004D1E99">
      <w:bookmarkStart w:id="0" w:name="_GoBack"/>
      <w:bookmarkEnd w:id="0"/>
    </w:p>
    <w:sectPr w:rsidR="00D06A35" w:rsidRPr="00D06A3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E98" w:rsidRDefault="00AB3E98" w:rsidP="004D1E99">
      <w:r>
        <w:separator/>
      </w:r>
    </w:p>
  </w:endnote>
  <w:endnote w:type="continuationSeparator" w:id="0">
    <w:p w:rsidR="00AB3E98" w:rsidRDefault="00AB3E98" w:rsidP="004D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F33" w:rsidRDefault="00745F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F33" w:rsidRDefault="00745F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F33" w:rsidRDefault="00745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E98" w:rsidRDefault="00AB3E98" w:rsidP="004D1E99">
      <w:r>
        <w:separator/>
      </w:r>
    </w:p>
  </w:footnote>
  <w:footnote w:type="continuationSeparator" w:id="0">
    <w:p w:rsidR="00AB3E98" w:rsidRDefault="00AB3E98" w:rsidP="004D1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F33" w:rsidRDefault="00745F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E99" w:rsidRDefault="004D1E99">
    <w:pPr>
      <w:pStyle w:val="Header"/>
    </w:pPr>
    <w:r>
      <w:tab/>
    </w:r>
    <w:r>
      <w:tab/>
      <w:t>Module 2: Validity and Reliability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F33" w:rsidRDefault="00745F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313DA"/>
    <w:multiLevelType w:val="hybridMultilevel"/>
    <w:tmpl w:val="FE327AC4"/>
    <w:lvl w:ilvl="0" w:tplc="0409000F">
      <w:start w:val="1"/>
      <w:numFmt w:val="decimal"/>
      <w:lvlText w:val="%1."/>
      <w:lvlJc w:val="left"/>
      <w:pPr>
        <w:ind w:left="360" w:hanging="360"/>
      </w:pPr>
      <w:rPr>
        <w:rFonts w:hint="default"/>
      </w:rPr>
    </w:lvl>
    <w:lvl w:ilvl="1" w:tplc="464655BC">
      <w:start w:val="1"/>
      <w:numFmt w:val="lowerLetter"/>
      <w:lvlText w:val="%2."/>
      <w:lvlJc w:val="left"/>
      <w:pPr>
        <w:ind w:left="1080" w:hanging="360"/>
      </w:pPr>
      <w:rPr>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E83C24"/>
    <w:multiLevelType w:val="hybridMultilevel"/>
    <w:tmpl w:val="136C53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AD7D7B"/>
    <w:multiLevelType w:val="hybridMultilevel"/>
    <w:tmpl w:val="5F081BF4"/>
    <w:lvl w:ilvl="0" w:tplc="0936B72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99"/>
    <w:rsid w:val="004D1E99"/>
    <w:rsid w:val="00745F33"/>
    <w:rsid w:val="009716FA"/>
    <w:rsid w:val="00AB3E98"/>
    <w:rsid w:val="00B85F84"/>
    <w:rsid w:val="00D0028E"/>
    <w:rsid w:val="00D0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858DD-8412-4F8C-BF31-F482E56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E9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E99"/>
    <w:pPr>
      <w:ind w:left="720"/>
      <w:contextualSpacing/>
    </w:pPr>
  </w:style>
  <w:style w:type="paragraph" w:styleId="Header">
    <w:name w:val="header"/>
    <w:basedOn w:val="Normal"/>
    <w:link w:val="HeaderChar"/>
    <w:uiPriority w:val="99"/>
    <w:unhideWhenUsed/>
    <w:rsid w:val="004D1E99"/>
    <w:pPr>
      <w:tabs>
        <w:tab w:val="center" w:pos="4680"/>
        <w:tab w:val="right" w:pos="9360"/>
      </w:tabs>
    </w:pPr>
  </w:style>
  <w:style w:type="character" w:customStyle="1" w:styleId="HeaderChar">
    <w:name w:val="Header Char"/>
    <w:basedOn w:val="DefaultParagraphFont"/>
    <w:link w:val="Header"/>
    <w:uiPriority w:val="99"/>
    <w:rsid w:val="004D1E99"/>
    <w:rPr>
      <w:rFonts w:ascii="Times New Roman" w:hAnsi="Times New Roman"/>
      <w:sz w:val="24"/>
    </w:rPr>
  </w:style>
  <w:style w:type="paragraph" w:styleId="Footer">
    <w:name w:val="footer"/>
    <w:basedOn w:val="Normal"/>
    <w:link w:val="FooterChar"/>
    <w:uiPriority w:val="99"/>
    <w:unhideWhenUsed/>
    <w:rsid w:val="004D1E99"/>
    <w:pPr>
      <w:tabs>
        <w:tab w:val="center" w:pos="4680"/>
        <w:tab w:val="right" w:pos="9360"/>
      </w:tabs>
    </w:pPr>
  </w:style>
  <w:style w:type="character" w:customStyle="1" w:styleId="FooterChar">
    <w:name w:val="Footer Char"/>
    <w:basedOn w:val="DefaultParagraphFont"/>
    <w:link w:val="Footer"/>
    <w:uiPriority w:val="99"/>
    <w:rsid w:val="004D1E99"/>
    <w:rPr>
      <w:rFonts w:ascii="Times New Roman" w:hAnsi="Times New Roman"/>
      <w:sz w:val="24"/>
    </w:rPr>
  </w:style>
  <w:style w:type="table" w:styleId="TableGrid">
    <w:name w:val="Table Grid"/>
    <w:basedOn w:val="TableNormal"/>
    <w:uiPriority w:val="39"/>
    <w:rsid w:val="0074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Field</dc:creator>
  <cp:keywords/>
  <dc:description/>
  <cp:lastModifiedBy>James Field </cp:lastModifiedBy>
  <cp:revision>2</cp:revision>
  <dcterms:created xsi:type="dcterms:W3CDTF">2020-02-12T15:44:00Z</dcterms:created>
  <dcterms:modified xsi:type="dcterms:W3CDTF">2020-02-12T16:22:00Z</dcterms:modified>
</cp:coreProperties>
</file>