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2027-04-07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Ai Energy PCL.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Office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for Business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Quantity Licens</w:t>
                                  </w: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4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2026-04-07</w:t>
                                  </w:r>
                                </w:p>
                              </w:tc>
                            </w:tr>
                            <w:tr w14:paraId="78F26C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E75D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Expire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F758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2027-04-07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2027-04-07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SF1RG-ND1TB-P75B4-SZ5IL-4HXVG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Ai Energy PCL.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Office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Business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Quantity Licens</w:t>
                            </w: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4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2026-04-07</w:t>
                            </w:r>
                          </w:p>
                        </w:tc>
                      </w:tr>
                      <w:tr w14:paraId="78F26C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74E75D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Expire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1FF758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2027-04-07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2027-04-07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SF1RG-ND1TB-P75B4-SZ5IL-4HXVG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DBD2898"/>
    <w:rsid w:val="359665EF"/>
    <w:rsid w:val="45D93456"/>
    <w:rsid w:val="4D4A0B50"/>
    <w:rsid w:val="61363B60"/>
    <w:rsid w:val="61820FCC"/>
    <w:rsid w:val="72FF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2026-04-06T14:25:30Z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eyJoZGlkIjoiNmUwMDg5YmVjNzY5MjEzMWE0OWMwMzM4OTk5ODI0ODMiLCJ1c2VySWQiOiI0NzExNjM1ODEifQ==</vt:lpwstr>
  </property>
</Properties>
</file>