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pPr>
      <w:r>
        <w:rPr>
          <w:rFonts w:ascii="Calibri" w:hAnsi="Calibri"/>
          <w:b/>
          <w:color w:val="2E74B5"/>
          <w:sz w:val="22"/>
        </w:rPr>
        <w:t>URBAN TREE COOLING STUDY</w:t>
      </w:r>
    </w:p>
    <w:p>
      <w:pPr>
        <w:spacing w:after="160"/>
      </w:pPr>
      <w:r>
        <w:rPr>
          <w:rFonts w:ascii="Calibri" w:hAnsi="Calibri"/>
          <w:b/>
          <w:color w:val="1F4D78"/>
          <w:sz w:val="56"/>
        </w:rPr>
        <w:t>Progress, Deliverables,</w:t>
        <w:br/>
        <w:t>and Key Results</w:t>
      </w:r>
    </w:p>
    <w:p>
      <w:pPr>
        <w:spacing w:after="520"/>
      </w:pPr>
      <w:r>
        <w:rPr>
          <w:rFonts w:ascii="Calibri" w:hAnsi="Calibri"/>
          <w:color w:val="5B6573"/>
          <w:sz w:val="32"/>
        </w:rPr>
        <w:t>Professor Review Report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Borders>
              <w:top w:val="single" w:sz="12" w:color="A61B1B"/>
              <w:left w:val="single" w:sz="12" w:color="A61B1B"/>
              <w:bottom w:val="single" w:sz="12" w:color="A61B1B"/>
              <w:right w:val="single" w:sz="12" w:color="A61B1B"/>
            </w:tcBorders>
          </w:tcPr>
          <w:p>
            <w:pPr>
              <w:spacing w:after="60"/>
            </w:pPr>
            <w:r>
              <w:rPr>
                <w:rFonts w:ascii="Calibri" w:hAnsi="Calibri"/>
                <w:b/>
                <w:color w:val="A61B1B"/>
                <w:sz w:val="23"/>
              </w:rPr>
              <w:t>Canonical scientific status: STOP — Task 1 incomplete</w:t>
            </w:r>
          </w:p>
          <w:p>
            <w:pPr>
              <w:spacing w:after="0" w:line="264" w:lineRule="auto"/>
            </w:pPr>
            <w:r>
              <w:rPr>
                <w:rFonts w:ascii="Calibri" w:hAnsi="Calibri"/>
                <w:color w:val="1A1A1A"/>
                <w:sz w:val="21"/>
              </w:rPr>
              <w:t>The five-city weather-feasibility screen is complete. Satellite catalogue and geometry work is partial. No ECOSTRESS land-surface-temperature or thermal outcome was opened, no real held-out city was selected, and no 2026 observation was opened. Downstream Steps 3–14 are workflow demonstrations unless explicitly identified otherwise.</w:t>
            </w:r>
          </w:p>
        </w:tc>
      </w:tr>
    </w:tbl>
    <w:p>
      <w:pPr>
        <w:spacing w:after="0"/>
      </w:pPr>
    </w:p>
    <w:p>
      <w:pPr>
        <w:spacing w:before="440" w:after="80"/>
      </w:pPr>
      <w:r>
        <w:rPr>
          <w:rFonts w:ascii="Calibri" w:hAnsi="Calibri"/>
          <w:b/>
          <w:color w:val="5B6573"/>
          <w:sz w:val="22"/>
        </w:rPr>
        <w:t>Prepared for academic review</w:t>
      </w:r>
    </w:p>
    <w:p>
      <w:pPr>
        <w:spacing w:after="60"/>
      </w:pPr>
      <w:r>
        <w:rPr>
          <w:rFonts w:ascii="Calibri" w:hAnsi="Calibri"/>
          <w:color w:val="5B6573"/>
          <w:sz w:val="21"/>
        </w:rPr>
        <w:t>Report date: 6 August 2026  |  Version 1.0</w:t>
      </w:r>
    </w:p>
    <w:p>
      <w:pPr>
        <w:spacing w:after="60"/>
      </w:pPr>
      <w:r>
        <w:rPr>
          <w:rFonts w:ascii="Calibri" w:hAnsi="Calibri"/>
          <w:color w:val="5B6573"/>
          <w:sz w:val="21"/>
        </w:rPr>
        <w:t>Evidence window: summers 2018–2025; 2026 remains sealed</w:t>
      </w:r>
    </w:p>
    <w:p>
      <w:pPr>
        <w:spacing w:before="320" w:after="0"/>
      </w:pPr>
      <w:r>
        <w:rPr>
          <w:rFonts w:ascii="Calibri" w:hAnsi="Calibri"/>
          <w:i/>
          <w:color w:val="5B6573"/>
          <w:sz w:val="19"/>
        </w:rPr>
        <w:t>Prepared from the frozen requirements, append-only decision log, Task 1 gate record, output manifests, and verified deliverables.</w:t>
      </w:r>
    </w:p>
    <w:p>
      <w:pPr>
        <w:pageBreakBefore/>
        <w:spacing w:before="0" w:after="0"/>
      </w:pPr>
    </w:p>
    <w:p>
      <w:pPr>
        <w:spacing w:before="0" w:after="100"/>
      </w:pPr>
      <w:r>
        <w:rPr>
          <w:rFonts w:ascii="Calibri" w:hAnsi="Calibri"/>
          <w:b/>
          <w:smallCaps/>
          <w:color w:val="2E74B5"/>
          <w:sz w:val="18"/>
        </w:rPr>
        <w:t>EXECUTIVE SUMMARY</w:t>
      </w:r>
    </w:p>
    <w:p>
      <w:pPr>
        <w:pStyle w:val="Heading1"/>
        <w:keepNext/>
      </w:pPr>
      <w:r>
        <w:t>What has been accomplished</w:t>
      </w:r>
    </w:p>
    <w:p>
      <w:pPr>
        <w:keepLines w:val="0"/>
        <w:spacing w:after="120" w:line="264" w:lineRule="auto"/>
      </w:pPr>
      <w:r>
        <w:rPr>
          <w:rFonts w:ascii="Calibri" w:hAnsi="Calibri"/>
          <w:color w:val="1A1A1A"/>
          <w:sz w:val="22"/>
        </w:rPr>
        <w:t>A reproducible five-city v2 study framework was built from the original step-by-step guide. Task 0 is complete; Step 1 is complete with real meteorological data; Step 2 has a complete catalogue audit and a partially completed cloud-independent geometry audit; a preliminary Step 3 simulator was exercised; and every later guide deliverable was demonstrated in a strictly separated synthetic package.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Borders>
              <w:top w:val="single" w:sz="12" w:color="2E74B5"/>
              <w:left w:val="single" w:sz="12" w:color="2E74B5"/>
              <w:bottom w:val="single" w:sz="12" w:color="2E74B5"/>
              <w:right w:val="single" w:sz="12" w:color="2E74B5"/>
            </w:tcBorders>
          </w:tcPr>
          <w:p>
            <w:pPr>
              <w:spacing w:after="60"/>
            </w:pPr>
            <w:r>
              <w:rPr>
                <w:rFonts w:ascii="Calibri" w:hAnsi="Calibri"/>
                <w:b/>
                <w:color w:val="1F4D78"/>
                <w:sz w:val="23"/>
              </w:rPr>
              <w:t>Bottom line for scientific interpretation</w:t>
            </w:r>
          </w:p>
          <w:p>
            <w:pPr>
              <w:spacing w:after="0" w:line="264" w:lineRule="auto"/>
            </w:pPr>
            <w:r>
              <w:rPr>
                <w:rFonts w:ascii="Calibri" w:hAnsi="Calibri"/>
                <w:color w:val="1A1A1A"/>
                <w:sz w:val="21"/>
              </w:rPr>
              <w:t>The project does not yet contain an empirical estimate of urban tree cooling. Its strongest verified result is a feasibility finding: atmospheric demand and antecedent dryness are not sufficiently separable within at least three of the five cities after clear-sky filtering. The defensible current design is cross-city/common-support comparison with an explicit city-confounding limitation, subject to a definitive satellite-pass audit.</w:t>
            </w:r>
          </w:p>
        </w:tc>
      </w:tr>
    </w:tbl>
    <w:p>
      <w:pPr>
        <w:spacing w:after="0"/>
      </w:pPr>
    </w:p>
    <w:p>
      <w:pPr>
        <w:pStyle w:val="Heading2"/>
        <w:keepNext/>
      </w:pPr>
      <w:r>
        <w:t>Key verified results</w:t>
      </w:r>
    </w:p>
    <w:p>
      <w:pPr>
        <w:numPr>
          <w:ilvl w:val="0"/>
          <w:numId w:val="10"/>
        </w:numPr>
        <w:spacing w:after="160" w:line="280" w:lineRule="auto"/>
        <w:ind w:left="720" w:hanging="360"/>
      </w:pPr>
      <w:r>
        <w:rPr>
          <w:rFonts w:ascii="Calibri" w:hAnsi="Calibri"/>
          <w:color w:val="1A1A1A"/>
          <w:sz w:val="22"/>
        </w:rPr>
        <w:t>Only Los Angeles and Minneapolis–St. Paul met the predeclared within-city support screen. The Step 1 decision is cross_city_separation_only, not a within-city interaction claim.</w:t>
      </w:r>
    </w:p>
    <w:p>
      <w:pPr>
        <w:numPr>
          <w:ilvl w:val="0"/>
          <w:numId w:val="10"/>
        </w:numPr>
        <w:spacing w:after="160" w:line="280" w:lineRule="auto"/>
        <w:ind w:left="720" w:hanging="360"/>
      </w:pPr>
      <w:r>
        <w:rPr>
          <w:rFonts w:ascii="Calibri" w:hAnsi="Calibri"/>
          <w:color w:val="1A1A1A"/>
          <w:sz w:val="22"/>
        </w:rPr>
        <w:t>Clear-sky availability is highly uneven: 68 of 976 summer days in Miami versus 697 of 976 in Phoenix. This sampling changes the diagnostic corner support directly.</w:t>
      </w:r>
    </w:p>
    <w:p>
      <w:pPr>
        <w:numPr>
          <w:ilvl w:val="0"/>
          <w:numId w:val="10"/>
        </w:numPr>
        <w:spacing w:after="160" w:line="280" w:lineRule="auto"/>
        <w:ind w:left="720" w:hanging="360"/>
      </w:pPr>
      <w:r>
        <w:rPr>
          <w:rFonts w:ascii="Calibri" w:hAnsi="Calibri"/>
          <w:color w:val="1A1A1A"/>
          <w:sz w:val="22"/>
        </w:rPr>
        <w:t>The real ECOSTRESS catalogue contains 2,968 unique physical city-orbit passes and a 1,055-pass daytime ceiling. These are upper bounds, not usable-scene totals.</w:t>
      </w:r>
    </w:p>
    <w:p>
      <w:pPr>
        <w:numPr>
          <w:ilvl w:val="0"/>
          <w:numId w:val="10"/>
        </w:numPr>
        <w:spacing w:after="160" w:line="280" w:lineRule="auto"/>
        <w:ind w:left="720" w:hanging="360"/>
      </w:pPr>
      <w:r>
        <w:rPr>
          <w:rFonts w:ascii="Calibri" w:hAnsi="Calibri"/>
          <w:color w:val="1A1A1A"/>
          <w:sz w:val="22"/>
        </w:rPr>
        <w:t>Cloud-independent geometry was evaluated for 710 of 911 archive-available candidates. Of those evaluated, 173 passed and 537 failed; 201 remained unevaluated. The partial pass fraction was not extrapolated.</w:t>
      </w:r>
    </w:p>
    <w:p>
      <w:pPr>
        <w:numPr>
          <w:ilvl w:val="0"/>
          <w:numId w:val="10"/>
        </w:numPr>
        <w:spacing w:after="160" w:line="280" w:lineRule="auto"/>
        <w:ind w:left="720" w:hanging="360"/>
      </w:pPr>
      <w:r>
        <w:rPr>
          <w:rFonts w:ascii="Calibri" w:hAnsi="Calibri"/>
          <w:color w:val="1A1A1A"/>
          <w:sz w:val="22"/>
        </w:rPr>
        <w:t>No LST/thermal result, holdout result, or 2026 result exists. Any cooling curves, interaction surfaces, placebos, or robustness numbers in the Steps 3–14 package are synthetic demonstrations.</w:t>
      </w:r>
    </w:p>
    <w:p>
      <w:pPr>
        <w:pStyle w:val="Heading2"/>
        <w:keepNext/>
      </w:pPr>
      <w:r>
        <w:t>Evidence labels used throughout</w:t>
      </w:r>
    </w:p>
    <w:tbl>
      <w:tblPr>
        <w:tblStyle w:val="TableGrid"/>
        <w:tblW w:type="dxa" w:w="9360"/>
        <w:jc w:val="center"/>
        <w:tblLayout w:type="fixed"/>
        <w:tblLook w:firstColumn="1" w:firstRow="1" w:lastColumn="0" w:lastRow="0" w:noHBand="0" w:noVBand="1" w:val="04A0"/>
        <w:tblInd w:w="120" w:type="dxa"/>
      </w:tblPr>
      <w:tblGrid>
        <w:gridCol w:w="1600"/>
        <w:gridCol w:w="4800"/>
        <w:gridCol w:w="2960"/>
      </w:tblGrid>
      <w:tr>
        <w:trPr>
          <w:tblHeader w:val="true"/>
        </w:trPr>
        <w:tc>
          <w:tcPr>
            <w:tcW w:type="dxa" w:w="16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Label</w:t>
            </w:r>
          </w:p>
        </w:tc>
        <w:tc>
          <w:tcPr>
            <w:tcW w:type="dxa" w:w="48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Meaning</w:t>
            </w:r>
          </w:p>
        </w:tc>
        <w:tc>
          <w:tcPr>
            <w:tcW w:type="dxa" w:w="29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May support a scientific finding?</w:t>
            </w:r>
          </w:p>
        </w:tc>
      </w:tr>
      <w:tr>
        <w:tc>
          <w:tcPr>
            <w:tcW w:type="dxa" w:w="1600"/>
            <w:shd w:fill="E9F5EE"/>
          </w:tcPr>
          <w:p>
            <w:pPr>
              <w:spacing w:before="0" w:after="0" w:line="240" w:lineRule="auto"/>
              <w:jc w:val="left"/>
            </w:pPr>
            <w:r/>
            <w:r>
              <w:rPr>
                <w:rFonts w:ascii="Calibri" w:hAnsi="Calibri"/>
                <w:b w:val="0"/>
                <w:color w:val="1A1A1A"/>
                <w:sz w:val="17"/>
              </w:rPr>
              <w:t>Canonical empirical</w:t>
            </w:r>
          </w:p>
        </w:tc>
        <w:tc>
          <w:tcPr>
            <w:tcW w:type="dxa" w:w="4800"/>
          </w:tcPr>
          <w:p>
            <w:pPr>
              <w:spacing w:before="0" w:after="0" w:line="240" w:lineRule="auto"/>
              <w:jc w:val="left"/>
            </w:pPr>
            <w:r/>
            <w:r>
              <w:rPr>
                <w:rFonts w:ascii="Calibri" w:hAnsi="Calibri"/>
                <w:b w:val="0"/>
                <w:color w:val="1A1A1A"/>
                <w:sz w:val="17"/>
              </w:rPr>
              <w:t>Real data; frozen rules; completed and checked</w:t>
            </w:r>
          </w:p>
        </w:tc>
        <w:tc>
          <w:tcPr>
            <w:tcW w:type="dxa" w:w="2960"/>
          </w:tcPr>
          <w:p>
            <w:pPr>
              <w:spacing w:before="0" w:after="0" w:line="240" w:lineRule="auto"/>
              <w:jc w:val="left"/>
            </w:pPr>
            <w:r/>
            <w:r>
              <w:rPr>
                <w:rFonts w:ascii="Calibri" w:hAnsi="Calibri"/>
                <w:b w:val="0"/>
                <w:color w:val="1A1A1A"/>
                <w:sz w:val="17"/>
              </w:rPr>
              <w:t>Yes, within the stated preliminary scope</w:t>
            </w:r>
          </w:p>
        </w:tc>
      </w:tr>
      <w:tr>
        <w:tc>
          <w:tcPr>
            <w:tcW w:type="dxa" w:w="1600"/>
            <w:shd w:fill="FFF4D6"/>
          </w:tcPr>
          <w:p>
            <w:pPr>
              <w:spacing w:before="0" w:after="0" w:line="240" w:lineRule="auto"/>
              <w:jc w:val="left"/>
            </w:pPr>
            <w:r/>
            <w:r>
              <w:rPr>
                <w:rFonts w:ascii="Calibri" w:hAnsi="Calibri"/>
                <w:b w:val="0"/>
                <w:color w:val="1A1A1A"/>
                <w:sz w:val="17"/>
              </w:rPr>
              <w:t>Empirical partial</w:t>
            </w:r>
          </w:p>
        </w:tc>
        <w:tc>
          <w:tcPr>
            <w:tcW w:type="dxa" w:w="4800"/>
          </w:tcPr>
          <w:p>
            <w:pPr>
              <w:spacing w:before="0" w:after="0" w:line="240" w:lineRule="auto"/>
              <w:jc w:val="left"/>
            </w:pPr>
            <w:r/>
            <w:r>
              <w:rPr>
                <w:rFonts w:ascii="Calibri" w:hAnsi="Calibri"/>
                <w:b w:val="0"/>
                <w:color w:val="1A1A1A"/>
                <w:sz w:val="17"/>
              </w:rPr>
              <w:t>Real nonthermal data or a durable processing checkpoint</w:t>
            </w:r>
          </w:p>
        </w:tc>
        <w:tc>
          <w:tcPr>
            <w:tcW w:type="dxa" w:w="2960"/>
          </w:tcPr>
          <w:p>
            <w:pPr>
              <w:spacing w:before="0" w:after="0" w:line="240" w:lineRule="auto"/>
              <w:jc w:val="left"/>
            </w:pPr>
            <w:r/>
            <w:r>
              <w:rPr>
                <w:rFonts w:ascii="Calibri" w:hAnsi="Calibri"/>
                <w:b w:val="0"/>
                <w:color w:val="1A1A1A"/>
                <w:sz w:val="17"/>
              </w:rPr>
              <w:t>Only for availability/process facts; not cooling</w:t>
            </w:r>
          </w:p>
        </w:tc>
      </w:tr>
      <w:tr>
        <w:tc>
          <w:tcPr>
            <w:tcW w:type="dxa" w:w="1600"/>
            <w:shd w:fill="FFF4D6"/>
          </w:tcPr>
          <w:p>
            <w:pPr>
              <w:spacing w:before="0" w:after="0" w:line="240" w:lineRule="auto"/>
              <w:jc w:val="left"/>
            </w:pPr>
            <w:r/>
            <w:r>
              <w:rPr>
                <w:rFonts w:ascii="Calibri" w:hAnsi="Calibri"/>
                <w:b w:val="0"/>
                <w:color w:val="1A1A1A"/>
                <w:sz w:val="17"/>
              </w:rPr>
              <w:t>Preliminary simulation</w:t>
            </w:r>
          </w:p>
        </w:tc>
        <w:tc>
          <w:tcPr>
            <w:tcW w:type="dxa" w:w="4800"/>
          </w:tcPr>
          <w:p>
            <w:pPr>
              <w:spacing w:before="0" w:after="0" w:line="240" w:lineRule="auto"/>
              <w:jc w:val="left"/>
            </w:pPr>
            <w:r/>
            <w:r>
              <w:rPr>
                <w:rFonts w:ascii="Calibri" w:hAnsi="Calibri"/>
                <w:b w:val="0"/>
                <w:color w:val="1A1A1A"/>
                <w:sz w:val="17"/>
              </w:rPr>
              <w:t>Code and planning validation using an uncertified count</w:t>
            </w:r>
          </w:p>
        </w:tc>
        <w:tc>
          <w:tcPr>
            <w:tcW w:type="dxa" w:w="2960"/>
          </w:tcPr>
          <w:p>
            <w:pPr>
              <w:spacing w:before="0" w:after="0" w:line="240" w:lineRule="auto"/>
              <w:jc w:val="left"/>
            </w:pPr>
            <w:r/>
            <w:r>
              <w:rPr>
                <w:rFonts w:ascii="Calibri" w:hAnsi="Calibri"/>
                <w:b w:val="0"/>
                <w:color w:val="1A1A1A"/>
                <w:sz w:val="17"/>
              </w:rPr>
              <w:t>No; planning evidence only</w:t>
            </w:r>
          </w:p>
        </w:tc>
      </w:tr>
      <w:tr>
        <w:tc>
          <w:tcPr>
            <w:tcW w:type="dxa" w:w="1600"/>
            <w:shd w:fill="FDECEC"/>
          </w:tcPr>
          <w:p>
            <w:pPr>
              <w:spacing w:before="0" w:after="0" w:line="240" w:lineRule="auto"/>
              <w:jc w:val="left"/>
            </w:pPr>
            <w:r/>
            <w:r>
              <w:rPr>
                <w:rFonts w:ascii="Calibri" w:hAnsi="Calibri"/>
                <w:b w:val="0"/>
                <w:color w:val="1A1A1A"/>
                <w:sz w:val="17"/>
              </w:rPr>
              <w:t>Synthetic demonstration</w:t>
            </w:r>
          </w:p>
        </w:tc>
        <w:tc>
          <w:tcPr>
            <w:tcW w:type="dxa" w:w="4800"/>
          </w:tcPr>
          <w:p>
            <w:pPr>
              <w:spacing w:before="0" w:after="0" w:line="240" w:lineRule="auto"/>
              <w:jc w:val="left"/>
            </w:pPr>
            <w:r/>
            <w:r>
              <w:rPr>
                <w:rFonts w:ascii="Calibri" w:hAnsi="Calibri"/>
                <w:b w:val="0"/>
                <w:color w:val="1A1A1A"/>
                <w:sz w:val="17"/>
              </w:rPr>
              <w:t>Deterministic fabricated inputs and visibly labelled outputs</w:t>
            </w:r>
          </w:p>
        </w:tc>
        <w:tc>
          <w:tcPr>
            <w:tcW w:type="dxa" w:w="2960"/>
          </w:tcPr>
          <w:p>
            <w:pPr>
              <w:spacing w:before="0" w:after="0" w:line="240" w:lineRule="auto"/>
              <w:jc w:val="left"/>
            </w:pPr>
            <w:r/>
            <w:r>
              <w:rPr>
                <w:rFonts w:ascii="Calibri" w:hAnsi="Calibri"/>
                <w:b w:val="0"/>
                <w:color w:val="1A1A1A"/>
                <w:sz w:val="17"/>
              </w:rPr>
              <w:t>No; schema/workflow demonstration only</w:t>
            </w:r>
          </w:p>
        </w:tc>
      </w:tr>
    </w:tbl>
    <w:p>
      <w:pPr>
        <w:spacing w:after="0"/>
      </w:pPr>
    </w:p>
    <w:p>
      <w:pPr>
        <w:pageBreakBefore/>
        <w:spacing w:before="0" w:after="0"/>
      </w:pPr>
    </w:p>
    <w:p>
      <w:pPr>
        <w:spacing w:before="0" w:after="100"/>
      </w:pPr>
      <w:r>
        <w:rPr>
          <w:rFonts w:ascii="Calibri" w:hAnsi="Calibri"/>
          <w:b/>
          <w:smallCaps/>
          <w:color w:val="2E74B5"/>
          <w:sz w:val="18"/>
        </w:rPr>
        <w:t>STUDY FOUNDATION</w:t>
      </w:r>
    </w:p>
    <w:p>
      <w:pPr>
        <w:pStyle w:val="Heading1"/>
        <w:keepNext/>
      </w:pPr>
      <w:r>
        <w:t>1. Study objective, scope, and guardrails</w:t>
      </w:r>
    </w:p>
    <w:p>
      <w:pPr>
        <w:keepLines w:val="0"/>
        <w:spacing w:after="120" w:line="264" w:lineRule="auto"/>
      </w:pPr>
      <w:r>
        <w:rPr>
          <w:rFonts w:ascii="Calibri" w:hAnsi="Calibri"/>
          <w:color w:val="1A1A1A"/>
          <w:sz w:val="22"/>
        </w:rPr>
        <w:t>The guide asks whether urban tree cooling depends on time of day and hydroclimatic context across Phoenix, Los Angeles, Atlanta, Minneapolis–St. Paul, and Miami. The v2 implementation translated the guide into a one-entry-per-deliverable specification, preserved the existing Phoenix pilot as a regression baseline, and created a separate analysis surface so legacy work was not overwritten.</w:t>
      </w:r>
    </w:p>
    <w:p>
      <w:pPr>
        <w:pStyle w:val="Heading2"/>
        <w:keepNext/>
      </w:pPr>
      <w:r>
        <w:t>Task 0 — specification and guardrails</w:t>
      </w:r>
    </w:p>
    <w:p>
      <w:pPr>
        <w:keepLines w:val="0"/>
        <w:spacing w:after="120" w:line="264" w:lineRule="auto"/>
      </w:pPr>
      <w:r>
        <w:rPr>
          <w:rFonts w:ascii="Calibri" w:hAnsi="Calibri"/>
          <w:color w:val="1A1A1A"/>
          <w:sz w:val="22"/>
        </w:rPr>
        <w:t>Task 0 is complete. It normalized 109 unique guide deliverable IDs, resolved duplicated/malformed rows in the source document without relaxing scientific requirements, established an append-only decision log, and froze the gates that prevent an incomplete feasibility audit from being mistaken for an outcome study.</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Frozen element</w:t>
            </w:r>
          </w:p>
        </w:tc>
        <w:tc>
          <w:tcPr>
            <w:tcW w:type="dxa" w:w="71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Implemented rule</w:t>
            </w:r>
          </w:p>
        </w:tc>
      </w:tr>
      <w:tr>
        <w:tc>
          <w:tcPr>
            <w:tcW w:type="dxa" w:w="2200"/>
          </w:tcPr>
          <w:p>
            <w:pPr>
              <w:spacing w:before="0" w:after="0" w:line="240" w:lineRule="auto"/>
              <w:jc w:val="left"/>
            </w:pPr>
            <w:r/>
            <w:r>
              <w:rPr>
                <w:rFonts w:ascii="Calibri" w:hAnsi="Calibri"/>
                <w:b w:val="0"/>
                <w:color w:val="1A1A1A"/>
                <w:sz w:val="17"/>
              </w:rPr>
              <w:t>Study domains</w:t>
            </w:r>
          </w:p>
        </w:tc>
        <w:tc>
          <w:tcPr>
            <w:tcW w:type="dxa" w:w="7160"/>
          </w:tcPr>
          <w:p>
            <w:pPr>
              <w:spacing w:before="0" w:after="0" w:line="240" w:lineRule="auto"/>
              <w:jc w:val="left"/>
            </w:pPr>
            <w:r/>
            <w:r>
              <w:rPr>
                <w:rFonts w:ascii="Calibri" w:hAnsi="Calibri"/>
                <w:b w:val="0"/>
                <w:color w:val="1A1A1A"/>
                <w:sz w:val="17"/>
              </w:rPr>
              <w:t>One consistent rule: 2020 Census Urban Areas for all five cities; source and analysis geometry hashes recorded.</w:t>
            </w:r>
          </w:p>
        </w:tc>
      </w:tr>
      <w:tr>
        <w:tc>
          <w:tcPr>
            <w:tcW w:type="dxa" w:w="2200"/>
          </w:tcPr>
          <w:p>
            <w:pPr>
              <w:spacing w:before="0" w:after="0" w:line="240" w:lineRule="auto"/>
              <w:jc w:val="left"/>
            </w:pPr>
            <w:r/>
            <w:r>
              <w:rPr>
                <w:rFonts w:ascii="Calibri" w:hAnsi="Calibri"/>
                <w:b w:val="0"/>
                <w:color w:val="1A1A1A"/>
                <w:sz w:val="17"/>
              </w:rPr>
              <w:t>Time window</w:t>
            </w:r>
          </w:p>
        </w:tc>
        <w:tc>
          <w:tcPr>
            <w:tcW w:type="dxa" w:w="7160"/>
          </w:tcPr>
          <w:p>
            <w:pPr>
              <w:spacing w:before="0" w:after="0" w:line="240" w:lineRule="auto"/>
              <w:jc w:val="left"/>
            </w:pPr>
            <w:r/>
            <w:r>
              <w:rPr>
                <w:rFonts w:ascii="Calibri" w:hAnsi="Calibri"/>
                <w:b w:val="0"/>
                <w:color w:val="1A1A1A"/>
                <w:sz w:val="17"/>
              </w:rPr>
              <w:t>Summers 2018–2025 for development and feasibility; the full 2026 season remains unopened.</w:t>
            </w:r>
          </w:p>
        </w:tc>
      </w:tr>
      <w:tr>
        <w:tc>
          <w:tcPr>
            <w:tcW w:type="dxa" w:w="2200"/>
          </w:tcPr>
          <w:p>
            <w:pPr>
              <w:spacing w:before="0" w:after="0" w:line="240" w:lineRule="auto"/>
              <w:jc w:val="left"/>
            </w:pPr>
            <w:r/>
            <w:r>
              <w:rPr>
                <w:rFonts w:ascii="Calibri" w:hAnsi="Calibri"/>
                <w:b w:val="0"/>
                <w:color w:val="1A1A1A"/>
                <w:sz w:val="17"/>
              </w:rPr>
              <w:t>Weather axes</w:t>
            </w:r>
          </w:p>
        </w:tc>
        <w:tc>
          <w:tcPr>
            <w:tcW w:type="dxa" w:w="7160"/>
          </w:tcPr>
          <w:p>
            <w:pPr>
              <w:spacing w:before="0" w:after="0" w:line="240" w:lineRule="auto"/>
              <w:jc w:val="left"/>
            </w:pPr>
            <w:r/>
            <w:r>
              <w:rPr>
                <w:rFonts w:ascii="Calibri" w:hAnsi="Calibri"/>
                <w:b w:val="0"/>
                <w:color w:val="1A1A1A"/>
                <w:sz w:val="17"/>
              </w:rPr>
              <w:t>Demand from VPD; antecedent balance from prior-day-ending 30/60-day sums of precipitation minus reference ET; dryness is an explicit reversed percentile.</w:t>
            </w:r>
          </w:p>
        </w:tc>
      </w:tr>
      <w:tr>
        <w:tc>
          <w:tcPr>
            <w:tcW w:type="dxa" w:w="2200"/>
          </w:tcPr>
          <w:p>
            <w:pPr>
              <w:spacing w:before="0" w:after="0" w:line="240" w:lineRule="auto"/>
              <w:jc w:val="left"/>
            </w:pPr>
            <w:r/>
            <w:r>
              <w:rPr>
                <w:rFonts w:ascii="Calibri" w:hAnsi="Calibri"/>
                <w:b w:val="0"/>
                <w:color w:val="1A1A1A"/>
                <w:sz w:val="17"/>
              </w:rPr>
              <w:t>Sampling unit</w:t>
            </w:r>
          </w:p>
        </w:tc>
        <w:tc>
          <w:tcPr>
            <w:tcW w:type="dxa" w:w="7160"/>
          </w:tcPr>
          <w:p>
            <w:pPr>
              <w:spacing w:before="0" w:after="0" w:line="240" w:lineRule="auto"/>
              <w:jc w:val="left"/>
            </w:pPr>
            <w:r/>
            <w:r>
              <w:rPr>
                <w:rFonts w:ascii="Calibri" w:hAnsi="Calibri"/>
                <w:b w:val="0"/>
                <w:color w:val="1A1A1A"/>
                <w:sz w:val="17"/>
              </w:rPr>
              <w:t>Pass is the effective unit for weather effects; pixels and matched sets remain clustered within pass.</w:t>
            </w:r>
          </w:p>
        </w:tc>
      </w:tr>
      <w:tr>
        <w:tc>
          <w:tcPr>
            <w:tcW w:type="dxa" w:w="2200"/>
          </w:tcPr>
          <w:p>
            <w:pPr>
              <w:spacing w:before="0" w:after="0" w:line="240" w:lineRule="auto"/>
              <w:jc w:val="left"/>
            </w:pPr>
            <w:r/>
            <w:r>
              <w:rPr>
                <w:rFonts w:ascii="Calibri" w:hAnsi="Calibri"/>
                <w:b w:val="0"/>
                <w:color w:val="1A1A1A"/>
                <w:sz w:val="17"/>
              </w:rPr>
              <w:t>Satellite timing</w:t>
            </w:r>
          </w:p>
        </w:tc>
        <w:tc>
          <w:tcPr>
            <w:tcW w:type="dxa" w:w="7160"/>
          </w:tcPr>
          <w:p>
            <w:pPr>
              <w:spacing w:before="0" w:after="0" w:line="240" w:lineRule="auto"/>
              <w:jc w:val="left"/>
            </w:pPr>
            <w:r/>
            <w:r>
              <w:rPr>
                <w:rFonts w:ascii="Calibri" w:hAnsi="Calibri"/>
                <w:b w:val="0"/>
                <w:color w:val="1A1A1A"/>
                <w:sz w:val="17"/>
              </w:rPr>
              <w:t>Daytime is 10:00–18:00 local solar time, initially divided into four two-hour strata.</w:t>
            </w:r>
          </w:p>
        </w:tc>
      </w:tr>
      <w:tr>
        <w:tc>
          <w:tcPr>
            <w:tcW w:type="dxa" w:w="2200"/>
          </w:tcPr>
          <w:p>
            <w:pPr>
              <w:spacing w:before="0" w:after="0" w:line="240" w:lineRule="auto"/>
              <w:jc w:val="left"/>
            </w:pPr>
            <w:r/>
            <w:r>
              <w:rPr>
                <w:rFonts w:ascii="Calibri" w:hAnsi="Calibri"/>
                <w:b w:val="0"/>
                <w:color w:val="1A1A1A"/>
                <w:sz w:val="17"/>
              </w:rPr>
              <w:t>Geometry</w:t>
            </w:r>
          </w:p>
        </w:tc>
        <w:tc>
          <w:tcPr>
            <w:tcW w:type="dxa" w:w="7160"/>
          </w:tcPr>
          <w:p>
            <w:pPr>
              <w:spacing w:before="0" w:after="0" w:line="240" w:lineRule="auto"/>
              <w:jc w:val="left"/>
            </w:pPr>
            <w:r/>
            <w:r>
              <w:rPr>
                <w:rFonts w:ascii="Calibri" w:hAnsi="Calibri"/>
                <w:b w:val="0"/>
                <w:color w:val="1A1A1A"/>
                <w:sz w:val="17"/>
              </w:rPr>
              <w:t>Near-nadir requires at least 95% domain coverage and 95th-percentile absolute view zenith no greater than 20°.</w:t>
            </w:r>
          </w:p>
        </w:tc>
      </w:tr>
      <w:tr>
        <w:tc>
          <w:tcPr>
            <w:tcW w:type="dxa" w:w="2200"/>
          </w:tcPr>
          <w:p>
            <w:pPr>
              <w:spacing w:before="0" w:after="0" w:line="240" w:lineRule="auto"/>
              <w:jc w:val="left"/>
            </w:pPr>
            <w:r/>
            <w:r>
              <w:rPr>
                <w:rFonts w:ascii="Calibri" w:hAnsi="Calibri"/>
                <w:b w:val="0"/>
                <w:color w:val="1A1A1A"/>
                <w:sz w:val="17"/>
              </w:rPr>
              <w:t>Blinding</w:t>
            </w:r>
          </w:p>
        </w:tc>
        <w:tc>
          <w:tcPr>
            <w:tcW w:type="dxa" w:w="7160"/>
          </w:tcPr>
          <w:p>
            <w:pPr>
              <w:spacing w:before="0" w:after="0" w:line="240" w:lineRule="auto"/>
              <w:jc w:val="left"/>
            </w:pPr>
            <w:r/>
            <w:r>
              <w:rPr>
                <w:rFonts w:ascii="Calibri" w:hAnsi="Calibri"/>
                <w:b w:val="0"/>
                <w:color w:val="1A1A1A"/>
                <w:sz w:val="17"/>
              </w:rPr>
              <w:t>A held-out city is selected on quality evidence before thermal inspection; the holdout remains UNSELECTED.</w:t>
            </w:r>
          </w:p>
        </w:tc>
      </w:tr>
      <w:tr>
        <w:tc>
          <w:tcPr>
            <w:tcW w:type="dxa" w:w="2200"/>
          </w:tcPr>
          <w:p>
            <w:pPr>
              <w:spacing w:before="0" w:after="0" w:line="240" w:lineRule="auto"/>
              <w:jc w:val="left"/>
            </w:pPr>
            <w:r/>
            <w:r>
              <w:rPr>
                <w:rFonts w:ascii="Calibri" w:hAnsi="Calibri"/>
                <w:b w:val="0"/>
                <w:color w:val="1A1A1A"/>
                <w:sz w:val="17"/>
              </w:rPr>
              <w:t>Language</w:t>
            </w:r>
          </w:p>
        </w:tc>
        <w:tc>
          <w:tcPr>
            <w:tcW w:type="dxa" w:w="7160"/>
          </w:tcPr>
          <w:p>
            <w:pPr>
              <w:spacing w:before="0" w:after="0" w:line="240" w:lineRule="auto"/>
              <w:jc w:val="left"/>
            </w:pPr>
            <w:r/>
            <w:r>
              <w:rPr>
                <w:rFonts w:ascii="Calibri" w:hAnsi="Calibri"/>
                <w:b w:val="0"/>
                <w:color w:val="1A1A1A"/>
                <w:sz w:val="17"/>
              </w:rPr>
              <w:t>The study uses ‘time-of-day dependence,’ not a same-day diurnal course or hysteresis claim.</w:t>
            </w:r>
          </w:p>
        </w:tc>
      </w:tr>
    </w:tbl>
    <w:p>
      <w:pPr>
        <w:spacing w:after="0"/>
      </w:pPr>
    </w:p>
    <w:p>
      <w:pPr>
        <w:pStyle w:val="Heading2"/>
        <w:keepNext/>
      </w:pPr>
      <w:r>
        <w:t>Source hierarchy for this report</w:t>
      </w:r>
    </w:p>
    <w:p>
      <w:pPr>
        <w:keepLines w:val="0"/>
        <w:spacing w:after="120" w:line="264" w:lineRule="auto"/>
      </w:pPr>
      <w:r>
        <w:rPr>
          <w:rFonts w:ascii="Calibri" w:hAnsi="Calibri"/>
          <w:color w:val="1A1A1A"/>
          <w:sz w:val="22"/>
        </w:rPr>
        <w:t>When files differed in status or naming, this report treated the canonical requirements, the latest append-only decision, the Task 1 gate, and the authoritative run manifest as controlling. Figure appearance alone was never used to upgrade an artifact’s scientific status.</w:t>
      </w:r>
    </w:p>
    <w:p>
      <w:pPr>
        <w:pStyle w:val="ListBullet"/>
        <w:spacing w:after="160" w:line="280" w:lineRule="auto"/>
        <w:ind w:left="720" w:hanging="360"/>
      </w:pPr>
      <w:r>
        <w:rPr>
          <w:rFonts w:ascii="Calibri" w:hAnsi="Calibri"/>
          <w:color w:val="1A1A1A"/>
          <w:sz w:val="22"/>
        </w:rPr>
        <w:t>Source guide: StepByStep_Guide_Urban_Tree_Cooling.docx</w:t>
      </w:r>
    </w:p>
    <w:p>
      <w:pPr>
        <w:pStyle w:val="ListBullet"/>
        <w:spacing w:after="160" w:line="280" w:lineRule="auto"/>
        <w:ind w:left="720" w:hanging="360"/>
      </w:pPr>
      <w:r>
        <w:rPr>
          <w:rFonts w:ascii="Calibri" w:hAnsi="Calibri"/>
          <w:color w:val="1A1A1A"/>
          <w:sz w:val="22"/>
        </w:rPr>
        <w:t>Canonical requirements: docs/v2/REQUIREMENTS.md</w:t>
      </w:r>
    </w:p>
    <w:p>
      <w:pPr>
        <w:pStyle w:val="ListBullet"/>
        <w:spacing w:after="160" w:line="280" w:lineRule="auto"/>
        <w:ind w:left="720" w:hanging="360"/>
      </w:pPr>
      <w:r>
        <w:rPr>
          <w:rFonts w:ascii="Calibri" w:hAnsi="Calibri"/>
          <w:color w:val="1A1A1A"/>
          <w:sz w:val="22"/>
        </w:rPr>
        <w:t>Decision history: docs/v2/DECISION_LOG.md</w:t>
      </w:r>
    </w:p>
    <w:p>
      <w:pPr>
        <w:pStyle w:val="ListBullet"/>
        <w:spacing w:after="160" w:line="280" w:lineRule="auto"/>
        <w:ind w:left="720" w:hanging="360"/>
      </w:pPr>
      <w:r>
        <w:rPr>
          <w:rFonts w:ascii="Calibri" w:hAnsi="Calibri"/>
          <w:color w:val="1A1A1A"/>
          <w:sz w:val="22"/>
        </w:rPr>
        <w:t>Active gate: data/processed/v2/task1/TASK1_GATE.md</w:t>
      </w:r>
    </w:p>
    <w:p>
      <w:pPr>
        <w:pStyle w:val="ListBullet"/>
        <w:spacing w:after="160" w:line="280" w:lineRule="auto"/>
        <w:ind w:left="720" w:hanging="360"/>
      </w:pPr>
      <w:r>
        <w:rPr>
          <w:rFonts w:ascii="Calibri" w:hAnsi="Calibri"/>
          <w:color w:val="1A1A1A"/>
          <w:sz w:val="22"/>
        </w:rPr>
        <w:t>Illustrative package manifest: data/processed/v2/illustrative_only/steps02_14/run_manifest.json</w:t>
      </w:r>
    </w:p>
    <w:p>
      <w:pPr>
        <w:pageBreakBefore/>
        <w:spacing w:before="0" w:after="0"/>
      </w:pPr>
    </w:p>
    <w:p>
      <w:pPr>
        <w:spacing w:before="0" w:after="100"/>
      </w:pPr>
      <w:r>
        <w:rPr>
          <w:rFonts w:ascii="Calibri" w:hAnsi="Calibri"/>
          <w:b/>
          <w:smallCaps/>
          <w:color w:val="2E74B5"/>
          <w:sz w:val="18"/>
        </w:rPr>
        <w:t>COMPLETION DASHBOARD</w:t>
      </w:r>
    </w:p>
    <w:p>
      <w:pPr>
        <w:pStyle w:val="Heading1"/>
        <w:keepNext/>
      </w:pPr>
      <w:r>
        <w:t>2. What is complete, partial, demonstrated, and not run</w:t>
      </w:r>
    </w:p>
    <w:p>
      <w:pPr>
        <w:keepLines w:val="0"/>
        <w:spacing w:after="120" w:line="264" w:lineRule="auto"/>
      </w:pPr>
      <w:r>
        <w:rPr>
          <w:rFonts w:ascii="Calibri" w:hAnsi="Calibri"/>
          <w:color w:val="1A1A1A"/>
          <w:sz w:val="22"/>
        </w:rPr>
        <w:t>The table below is the shortest accurate summary of the entire guide. ‘Demonstrated’ means that the expected file structure, calculation path, and presentation were exercised with synthetic inputs; it does not mean the empirical analysis was performed.</w:t>
      </w:r>
    </w:p>
    <w:tbl>
      <w:tblPr>
        <w:tblStyle w:val="TableGrid"/>
        <w:tblW w:type="dxa" w:w="9360"/>
        <w:jc w:val="center"/>
        <w:tblLayout w:type="fixed"/>
        <w:tblLook w:firstColumn="1" w:firstRow="1" w:lastColumn="0" w:lastRow="0" w:noHBand="0" w:noVBand="1" w:val="04A0"/>
        <w:tblInd w:w="120" w:type="dxa"/>
      </w:tblPr>
      <w:tblGrid>
        <w:gridCol w:w="900"/>
        <w:gridCol w:w="1650"/>
        <w:gridCol w:w="3500"/>
        <w:gridCol w:w="3310"/>
      </w:tblGrid>
      <w:tr>
        <w:trPr>
          <w:tblHeader w:val="true"/>
        </w:trPr>
        <w:tc>
          <w:tcPr>
            <w:tcW w:type="dxa" w:w="9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Stage</w:t>
            </w:r>
          </w:p>
        </w:tc>
        <w:tc>
          <w:tcPr>
            <w:tcW w:type="dxa" w:w="165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Status / evidence</w:t>
            </w:r>
          </w:p>
        </w:tc>
        <w:tc>
          <w:tcPr>
            <w:tcW w:type="dxa" w:w="3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Accomplished</w:t>
            </w:r>
          </w:p>
        </w:tc>
        <w:tc>
          <w:tcPr>
            <w:tcW w:type="dxa" w:w="331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Still required</w:t>
            </w:r>
          </w:p>
        </w:tc>
      </w:tr>
      <w:tr>
        <w:tc>
          <w:tcPr>
            <w:tcW w:type="dxa" w:w="900"/>
          </w:tcPr>
          <w:p>
            <w:pPr>
              <w:spacing w:before="0" w:after="0" w:line="240" w:lineRule="auto"/>
              <w:jc w:val="left"/>
            </w:pPr>
            <w:r/>
            <w:r>
              <w:rPr>
                <w:rFonts w:ascii="Calibri" w:hAnsi="Calibri"/>
                <w:b w:val="0"/>
                <w:color w:val="1A1A1A"/>
                <w:sz w:val="16"/>
              </w:rPr>
              <w:t>Task 0</w:t>
            </w:r>
          </w:p>
        </w:tc>
        <w:tc>
          <w:tcPr>
            <w:tcW w:type="dxa" w:w="1650"/>
            <w:shd w:fill="E9F5EE"/>
          </w:tcPr>
          <w:p>
            <w:pPr>
              <w:spacing w:before="0" w:after="0" w:line="240" w:lineRule="auto"/>
              <w:jc w:val="left"/>
            </w:pPr>
            <w:r/>
            <w:r>
              <w:rPr>
                <w:rFonts w:ascii="Calibri" w:hAnsi="Calibri"/>
                <w:b w:val="0"/>
                <w:color w:val="1A1A1A"/>
                <w:sz w:val="16"/>
              </w:rPr>
              <w:t>Complete — canonical</w:t>
            </w:r>
          </w:p>
        </w:tc>
        <w:tc>
          <w:tcPr>
            <w:tcW w:type="dxa" w:w="3500"/>
          </w:tcPr>
          <w:p>
            <w:pPr>
              <w:spacing w:before="0" w:after="0" w:line="240" w:lineRule="auto"/>
              <w:jc w:val="left"/>
            </w:pPr>
            <w:r/>
            <w:r>
              <w:rPr>
                <w:rFonts w:ascii="Calibri" w:hAnsi="Calibri"/>
                <w:b w:val="0"/>
                <w:color w:val="1A1A1A"/>
                <w:sz w:val="16"/>
              </w:rPr>
              <w:t>Separate v2 surface; normalized requirements; frozen domains, rules, gates, and decision log.</w:t>
            </w:r>
          </w:p>
        </w:tc>
        <w:tc>
          <w:tcPr>
            <w:tcW w:type="dxa" w:w="3310"/>
          </w:tcPr>
          <w:p>
            <w:pPr>
              <w:spacing w:before="0" w:after="0" w:line="240" w:lineRule="auto"/>
              <w:jc w:val="left"/>
            </w:pPr>
            <w:r/>
            <w:r>
              <w:rPr>
                <w:rFonts w:ascii="Calibri" w:hAnsi="Calibri"/>
                <w:b w:val="0"/>
                <w:color w:val="1A1A1A"/>
                <w:sz w:val="16"/>
              </w:rPr>
              <w:t>Nothing material for Task 0.</w:t>
            </w:r>
          </w:p>
        </w:tc>
      </w:tr>
      <w:tr>
        <w:tc>
          <w:tcPr>
            <w:tcW w:type="dxa" w:w="900"/>
          </w:tcPr>
          <w:p>
            <w:pPr>
              <w:spacing w:before="0" w:after="0" w:line="240" w:lineRule="auto"/>
              <w:jc w:val="left"/>
            </w:pPr>
            <w:r/>
            <w:r>
              <w:rPr>
                <w:rFonts w:ascii="Calibri" w:hAnsi="Calibri"/>
                <w:b w:val="0"/>
                <w:color w:val="1A1A1A"/>
                <w:sz w:val="16"/>
              </w:rPr>
              <w:t>Step 1</w:t>
            </w:r>
          </w:p>
        </w:tc>
        <w:tc>
          <w:tcPr>
            <w:tcW w:type="dxa" w:w="1650"/>
            <w:shd w:fill="E9F5EE"/>
          </w:tcPr>
          <w:p>
            <w:pPr>
              <w:spacing w:before="0" w:after="0" w:line="240" w:lineRule="auto"/>
              <w:jc w:val="left"/>
            </w:pPr>
            <w:r/>
            <w:r>
              <w:rPr>
                <w:rFonts w:ascii="Calibri" w:hAnsi="Calibri"/>
                <w:b w:val="0"/>
                <w:color w:val="1A1A1A"/>
                <w:sz w:val="16"/>
              </w:rPr>
              <w:t>Complete — empirical</w:t>
            </w:r>
          </w:p>
        </w:tc>
        <w:tc>
          <w:tcPr>
            <w:tcW w:type="dxa" w:w="3500"/>
          </w:tcPr>
          <w:p>
            <w:pPr>
              <w:spacing w:before="0" w:after="0" w:line="240" w:lineRule="auto"/>
              <w:jc w:val="left"/>
            </w:pPr>
            <w:r/>
            <w:r>
              <w:rPr>
                <w:rFonts w:ascii="Calibri" w:hAnsi="Calibri"/>
                <w:b w:val="0"/>
                <w:color w:val="1A1A1A"/>
                <w:sz w:val="16"/>
              </w:rPr>
              <w:t>F1.1–F1.4, T1.1–T1.2, M1.1; five cities, eight summers, 4,880 city-days; QA completed.</w:t>
            </w:r>
          </w:p>
        </w:tc>
        <w:tc>
          <w:tcPr>
            <w:tcW w:type="dxa" w:w="3310"/>
          </w:tcPr>
          <w:p>
            <w:pPr>
              <w:spacing w:before="0" w:after="0" w:line="240" w:lineRule="auto"/>
              <w:jc w:val="left"/>
            </w:pPr>
            <w:r/>
            <w:r>
              <w:rPr>
                <w:rFonts w:ascii="Calibri" w:hAnsi="Calibri"/>
                <w:b w:val="0"/>
                <w:color w:val="1A1A1A"/>
                <w:sz w:val="16"/>
              </w:rPr>
              <w:t>Must later be superseded by acquisition-time usable-pass conditions.</w:t>
            </w:r>
          </w:p>
        </w:tc>
      </w:tr>
      <w:tr>
        <w:tc>
          <w:tcPr>
            <w:tcW w:type="dxa" w:w="900"/>
          </w:tcPr>
          <w:p>
            <w:pPr>
              <w:spacing w:before="0" w:after="0" w:line="240" w:lineRule="auto"/>
              <w:jc w:val="left"/>
            </w:pPr>
            <w:r/>
            <w:r>
              <w:rPr>
                <w:rFonts w:ascii="Calibri" w:hAnsi="Calibri"/>
                <w:b w:val="0"/>
                <w:color w:val="1A1A1A"/>
                <w:sz w:val="16"/>
              </w:rPr>
              <w:t>Step 2</w:t>
            </w:r>
          </w:p>
        </w:tc>
        <w:tc>
          <w:tcPr>
            <w:tcW w:type="dxa" w:w="1650"/>
            <w:shd w:fill="FFF4D6"/>
          </w:tcPr>
          <w:p>
            <w:pPr>
              <w:spacing w:before="0" w:after="0" w:line="240" w:lineRule="auto"/>
              <w:jc w:val="left"/>
            </w:pPr>
            <w:r/>
            <w:r>
              <w:rPr>
                <w:rFonts w:ascii="Calibri" w:hAnsi="Calibri"/>
                <w:b w:val="0"/>
                <w:color w:val="1A1A1A"/>
                <w:sz w:val="16"/>
              </w:rPr>
              <w:t>Partial — empirical nonthermal</w:t>
            </w:r>
          </w:p>
        </w:tc>
        <w:tc>
          <w:tcPr>
            <w:tcW w:type="dxa" w:w="3500"/>
          </w:tcPr>
          <w:p>
            <w:pPr>
              <w:spacing w:before="0" w:after="0" w:line="240" w:lineRule="auto"/>
              <w:jc w:val="left"/>
            </w:pPr>
            <w:r/>
            <w:r>
              <w:rPr>
                <w:rFonts w:ascii="Calibri" w:hAnsi="Calibri"/>
                <w:b w:val="0"/>
                <w:color w:val="1A1A1A"/>
                <w:sz w:val="16"/>
              </w:rPr>
              <w:t>Catalogue, local-solar-time audit, metadata enrichment, cloud/view diagnosis, exact-scene audit, partial L1B GEO geometry.</w:t>
            </w:r>
          </w:p>
        </w:tc>
        <w:tc>
          <w:tcPr>
            <w:tcW w:type="dxa" w:w="3310"/>
          </w:tcPr>
          <w:p>
            <w:pPr>
              <w:spacing w:before="0" w:after="0" w:line="240" w:lineRule="auto"/>
              <w:jc w:val="left"/>
            </w:pPr>
            <w:r/>
            <w:r>
              <w:rPr>
                <w:rFonts w:ascii="Calibri" w:hAnsi="Calibri"/>
                <w:b w:val="0"/>
                <w:color w:val="1A1A1A"/>
                <w:sz w:val="16"/>
              </w:rPr>
              <w:t>201 geometry candidates, exhaustive cloud, exact-time HRRR, definitive F2.5, usable-pass total and final gate.</w:t>
            </w:r>
          </w:p>
        </w:tc>
      </w:tr>
      <w:tr>
        <w:tc>
          <w:tcPr>
            <w:tcW w:type="dxa" w:w="900"/>
          </w:tcPr>
          <w:p>
            <w:pPr>
              <w:spacing w:before="0" w:after="0" w:line="240" w:lineRule="auto"/>
              <w:jc w:val="left"/>
            </w:pPr>
            <w:r/>
            <w:r>
              <w:rPr>
                <w:rFonts w:ascii="Calibri" w:hAnsi="Calibri"/>
                <w:b w:val="0"/>
                <w:color w:val="1A1A1A"/>
                <w:sz w:val="16"/>
              </w:rPr>
              <w:t>Step 3</w:t>
            </w:r>
          </w:p>
        </w:tc>
        <w:tc>
          <w:tcPr>
            <w:tcW w:type="dxa" w:w="1650"/>
            <w:shd w:fill="FFF4D6"/>
          </w:tcPr>
          <w:p>
            <w:pPr>
              <w:spacing w:before="0" w:after="0" w:line="240" w:lineRule="auto"/>
              <w:jc w:val="left"/>
            </w:pPr>
            <w:r/>
            <w:r>
              <w:rPr>
                <w:rFonts w:ascii="Calibri" w:hAnsi="Calibri"/>
                <w:b w:val="0"/>
                <w:color w:val="1A1A1A"/>
                <w:sz w:val="16"/>
              </w:rPr>
              <w:t>Preliminary simulation</w:t>
            </w:r>
          </w:p>
        </w:tc>
        <w:tc>
          <w:tcPr>
            <w:tcW w:type="dxa" w:w="3500"/>
          </w:tcPr>
          <w:p>
            <w:pPr>
              <w:spacing w:before="0" w:after="0" w:line="240" w:lineRule="auto"/>
              <w:jc w:val="left"/>
            </w:pPr>
            <w:r/>
            <w:r>
              <w:rPr>
                <w:rFonts w:ascii="Calibri" w:hAnsi="Calibri"/>
                <w:b w:val="0"/>
                <w:color w:val="1A1A1A"/>
                <w:sz w:val="16"/>
              </w:rPr>
              <w:t>F3.1–F3.5/T3.1-style power, false-positive, recovery and bootstrap checks at catalogue ceiling.</w:t>
            </w:r>
          </w:p>
        </w:tc>
        <w:tc>
          <w:tcPr>
            <w:tcW w:type="dxa" w:w="3310"/>
          </w:tcPr>
          <w:p>
            <w:pPr>
              <w:spacing w:before="0" w:after="0" w:line="240" w:lineRule="auto"/>
              <w:jc w:val="left"/>
            </w:pPr>
            <w:r/>
            <w:r>
              <w:rPr>
                <w:rFonts w:ascii="Calibri" w:hAnsi="Calibri"/>
                <w:b w:val="0"/>
                <w:color w:val="1A1A1A"/>
                <w:sz w:val="16"/>
              </w:rPr>
              <w:t>Rerun with certified usable-pass count and actual acquisition-time joint distribution.</w:t>
            </w:r>
          </w:p>
        </w:tc>
      </w:tr>
      <w:tr>
        <w:tc>
          <w:tcPr>
            <w:tcW w:type="dxa" w:w="900"/>
          </w:tcPr>
          <w:p>
            <w:pPr>
              <w:spacing w:before="0" w:after="0" w:line="240" w:lineRule="auto"/>
              <w:jc w:val="left"/>
            </w:pPr>
            <w:r/>
            <w:r>
              <w:rPr>
                <w:rFonts w:ascii="Calibri" w:hAnsi="Calibri"/>
                <w:b w:val="0"/>
                <w:color w:val="1A1A1A"/>
                <w:sz w:val="16"/>
              </w:rPr>
              <w:t>Task 2</w:t>
            </w:r>
          </w:p>
        </w:tc>
        <w:tc>
          <w:tcPr>
            <w:tcW w:type="dxa" w:w="1650"/>
            <w:shd w:fill="FDECEC"/>
          </w:tcPr>
          <w:p>
            <w:pPr>
              <w:spacing w:before="0" w:after="0" w:line="240" w:lineRule="auto"/>
              <w:jc w:val="left"/>
            </w:pPr>
            <w:r/>
            <w:r>
              <w:rPr>
                <w:rFonts w:ascii="Calibri" w:hAnsi="Calibri"/>
                <w:b w:val="0"/>
                <w:color w:val="1A1A1A"/>
                <w:sz w:val="16"/>
              </w:rPr>
              <w:t>Inactive / not run</w:t>
            </w:r>
          </w:p>
        </w:tc>
        <w:tc>
          <w:tcPr>
            <w:tcW w:type="dxa" w:w="3500"/>
          </w:tcPr>
          <w:p>
            <w:pPr>
              <w:spacing w:before="0" w:after="0" w:line="240" w:lineRule="auto"/>
              <w:jc w:val="left"/>
            </w:pPr>
            <w:r/>
            <w:r>
              <w:rPr>
                <w:rFonts w:ascii="Calibri" w:hAnsi="Calibri"/>
                <w:b w:val="0"/>
                <w:color w:val="1A1A1A"/>
                <w:sz w:val="16"/>
              </w:rPr>
              <w:t>No canonical Task 2 input was opened.</w:t>
            </w:r>
          </w:p>
        </w:tc>
        <w:tc>
          <w:tcPr>
            <w:tcW w:type="dxa" w:w="3310"/>
          </w:tcPr>
          <w:p>
            <w:pPr>
              <w:spacing w:before="0" w:after="0" w:line="240" w:lineRule="auto"/>
              <w:jc w:val="left"/>
            </w:pPr>
            <w:r/>
            <w:r>
              <w:rPr>
                <w:rFonts w:ascii="Calibri" w:hAnsi="Calibri"/>
                <w:b w:val="0"/>
                <w:color w:val="1A1A1A"/>
                <w:sz w:val="16"/>
              </w:rPr>
              <w:t>Requires canonical Task 1 PASS and preflight.</w:t>
            </w:r>
          </w:p>
        </w:tc>
      </w:tr>
    </w:tbl>
    <w:p>
      <w:pPr>
        <w:spacing w:after="0"/>
      </w:pPr>
    </w:p>
    <w:p>
      <w:pPr>
        <w:pStyle w:val="Heading2"/>
        <w:keepNext/>
      </w:pPr>
      <w:r>
        <w:t>Steps 4–14</w:t>
      </w:r>
    </w:p>
    <w:tbl>
      <w:tblPr>
        <w:tblStyle w:val="TableGrid"/>
        <w:tblW w:type="dxa" w:w="9360"/>
        <w:jc w:val="center"/>
        <w:tblLayout w:type="fixed"/>
        <w:tblLook w:firstColumn="1" w:firstRow="1" w:lastColumn="0" w:lastRow="0" w:noHBand="0" w:noVBand="1" w:val="04A0"/>
        <w:tblInd w:w="120" w:type="dxa"/>
      </w:tblPr>
      <w:tblGrid>
        <w:gridCol w:w="800"/>
        <w:gridCol w:w="4350"/>
        <w:gridCol w:w="4210"/>
      </w:tblGrid>
      <w:tr>
        <w:trPr>
          <w:tblHeader w:val="true"/>
        </w:trPr>
        <w:tc>
          <w:tcPr>
            <w:tcW w:type="dxa" w:w="8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Step</w:t>
            </w:r>
          </w:p>
        </w:tc>
        <w:tc>
          <w:tcPr>
            <w:tcW w:type="dxa" w:w="435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Demonstrated output</w:t>
            </w:r>
          </w:p>
        </w:tc>
        <w:tc>
          <w:tcPr>
            <w:tcW w:type="dxa" w:w="421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Empirical work not yet done</w:t>
            </w:r>
          </w:p>
        </w:tc>
      </w:tr>
      <w:tr>
        <w:tc>
          <w:tcPr>
            <w:tcW w:type="dxa" w:w="800"/>
          </w:tcPr>
          <w:p>
            <w:pPr>
              <w:spacing w:before="0" w:after="0" w:line="240" w:lineRule="auto"/>
              <w:jc w:val="left"/>
            </w:pPr>
            <w:r/>
            <w:r>
              <w:rPr>
                <w:rFonts w:ascii="Calibri" w:hAnsi="Calibri"/>
                <w:b w:val="0"/>
                <w:color w:val="1A1A1A"/>
                <w:sz w:val="16"/>
              </w:rPr>
              <w:t>4</w:t>
            </w:r>
          </w:p>
        </w:tc>
        <w:tc>
          <w:tcPr>
            <w:tcW w:type="dxa" w:w="4350"/>
          </w:tcPr>
          <w:p>
            <w:pPr>
              <w:spacing w:before="0" w:after="0" w:line="240" w:lineRule="auto"/>
              <w:jc w:val="left"/>
            </w:pPr>
            <w:r/>
            <w:r>
              <w:rPr>
                <w:rFonts w:ascii="Calibri" w:hAnsi="Calibri"/>
                <w:b w:val="0"/>
                <w:color w:val="1A1A1A"/>
                <w:sz w:val="16"/>
              </w:rPr>
              <w:t>Native-grid thermal archive, QA layers, histograms, valid counts, band-mode and geolocation schemas.</w:t>
            </w:r>
          </w:p>
        </w:tc>
        <w:tc>
          <w:tcPr>
            <w:tcW w:type="dxa" w:w="4210"/>
          </w:tcPr>
          <w:p>
            <w:pPr>
              <w:spacing w:before="0" w:after="0" w:line="240" w:lineRule="auto"/>
              <w:jc w:val="left"/>
            </w:pPr>
            <w:r/>
            <w:r>
              <w:rPr>
                <w:rFonts w:ascii="Calibri" w:hAnsi="Calibri"/>
                <w:b w:val="0"/>
                <w:color w:val="1A1A1A"/>
                <w:sz w:val="16"/>
              </w:rPr>
              <w:t>No real v2 LST archive or Step 4 source checks.</w:t>
            </w:r>
          </w:p>
        </w:tc>
      </w:tr>
      <w:tr>
        <w:tc>
          <w:tcPr>
            <w:tcW w:type="dxa" w:w="800"/>
          </w:tcPr>
          <w:p>
            <w:pPr>
              <w:spacing w:before="0" w:after="0" w:line="240" w:lineRule="auto"/>
              <w:jc w:val="left"/>
            </w:pPr>
            <w:r/>
            <w:r>
              <w:rPr>
                <w:rFonts w:ascii="Calibri" w:hAnsi="Calibri"/>
                <w:b w:val="0"/>
                <w:color w:val="1A1A1A"/>
                <w:sz w:val="16"/>
              </w:rPr>
              <w:t>5</w:t>
            </w:r>
          </w:p>
        </w:tc>
        <w:tc>
          <w:tcPr>
            <w:tcW w:type="dxa" w:w="4350"/>
          </w:tcPr>
          <w:p>
            <w:pPr>
              <w:spacing w:before="0" w:after="0" w:line="240" w:lineRule="auto"/>
              <w:jc w:val="left"/>
            </w:pPr>
            <w:r/>
            <w:r>
              <w:rPr>
                <w:rFonts w:ascii="Calibri" w:hAnsi="Calibri"/>
                <w:b w:val="0"/>
                <w:color w:val="1A1A1A"/>
                <w:sz w:val="16"/>
              </w:rPr>
              <w:t>Albedo, vegetation-fusion error, radiation, ET/ESI comparisons and inventories.</w:t>
            </w:r>
          </w:p>
        </w:tc>
        <w:tc>
          <w:tcPr>
            <w:tcW w:type="dxa" w:w="4210"/>
          </w:tcPr>
          <w:p>
            <w:pPr>
              <w:spacing w:before="0" w:after="0" w:line="240" w:lineRule="auto"/>
              <w:jc w:val="left"/>
            </w:pPr>
            <w:r/>
            <w:r>
              <w:rPr>
                <w:rFonts w:ascii="Calibri" w:hAnsi="Calibri"/>
                <w:b w:val="0"/>
                <w:color w:val="1A1A1A"/>
                <w:sz w:val="16"/>
              </w:rPr>
              <w:t>No real supporting-product chain or estimates.</w:t>
            </w:r>
          </w:p>
        </w:tc>
      </w:tr>
      <w:tr>
        <w:tc>
          <w:tcPr>
            <w:tcW w:type="dxa" w:w="800"/>
          </w:tcPr>
          <w:p>
            <w:pPr>
              <w:spacing w:before="0" w:after="0" w:line="240" w:lineRule="auto"/>
              <w:jc w:val="left"/>
            </w:pPr>
            <w:r/>
            <w:r>
              <w:rPr>
                <w:rFonts w:ascii="Calibri" w:hAnsi="Calibri"/>
                <w:b w:val="0"/>
                <w:color w:val="1A1A1A"/>
                <w:sz w:val="16"/>
              </w:rPr>
              <w:t>6</w:t>
            </w:r>
          </w:p>
        </w:tc>
        <w:tc>
          <w:tcPr>
            <w:tcW w:type="dxa" w:w="4350"/>
          </w:tcPr>
          <w:p>
            <w:pPr>
              <w:spacing w:before="0" w:after="0" w:line="240" w:lineRule="auto"/>
              <w:jc w:val="left"/>
            </w:pPr>
            <w:r/>
            <w:r>
              <w:rPr>
                <w:rFonts w:ascii="Calibri" w:hAnsi="Calibri"/>
                <w:b w:val="0"/>
                <w:color w:val="1A1A1A"/>
                <w:sz w:val="16"/>
              </w:rPr>
              <w:t>Exact-time meteorology, station validation, HRRR/ERA5 comparison, interpolation and correlations.</w:t>
            </w:r>
          </w:p>
        </w:tc>
        <w:tc>
          <w:tcPr>
            <w:tcW w:type="dxa" w:w="4210"/>
          </w:tcPr>
          <w:p>
            <w:pPr>
              <w:spacing w:before="0" w:after="0" w:line="240" w:lineRule="auto"/>
              <w:jc w:val="left"/>
            </w:pPr>
            <w:r/>
            <w:r>
              <w:rPr>
                <w:rFonts w:ascii="Calibri" w:hAnsi="Calibri"/>
                <w:b w:val="0"/>
                <w:color w:val="1A1A1A"/>
                <w:sz w:val="16"/>
              </w:rPr>
              <w:t>No definitive exact-acquisition HRRR chain.</w:t>
            </w:r>
          </w:p>
        </w:tc>
      </w:tr>
      <w:tr>
        <w:tc>
          <w:tcPr>
            <w:tcW w:type="dxa" w:w="800"/>
          </w:tcPr>
          <w:p>
            <w:pPr>
              <w:spacing w:before="0" w:after="0" w:line="240" w:lineRule="auto"/>
              <w:jc w:val="left"/>
            </w:pPr>
            <w:r/>
            <w:r>
              <w:rPr>
                <w:rFonts w:ascii="Calibri" w:hAnsi="Calibri"/>
                <w:b w:val="0"/>
                <w:color w:val="1A1A1A"/>
                <w:sz w:val="16"/>
              </w:rPr>
              <w:t>7</w:t>
            </w:r>
          </w:p>
        </w:tc>
        <w:tc>
          <w:tcPr>
            <w:tcW w:type="dxa" w:w="4350"/>
          </w:tcPr>
          <w:p>
            <w:pPr>
              <w:spacing w:before="0" w:after="0" w:line="240" w:lineRule="auto"/>
              <w:jc w:val="left"/>
            </w:pPr>
            <w:r/>
            <w:r>
              <w:rPr>
                <w:rFonts w:ascii="Calibri" w:hAnsi="Calibri"/>
                <w:b w:val="0"/>
                <w:color w:val="1A1A1A"/>
                <w:sz w:val="16"/>
              </w:rPr>
              <w:t>Optical timing, image lag, canopy change, land-cover vintages and focal/buffer urban form.</w:t>
            </w:r>
          </w:p>
        </w:tc>
        <w:tc>
          <w:tcPr>
            <w:tcW w:type="dxa" w:w="4210"/>
          </w:tcPr>
          <w:p>
            <w:pPr>
              <w:spacing w:before="0" w:after="0" w:line="240" w:lineRule="auto"/>
              <w:jc w:val="left"/>
            </w:pPr>
            <w:r/>
            <w:r>
              <w:rPr>
                <w:rFonts w:ascii="Calibri" w:hAnsi="Calibri"/>
                <w:b w:val="0"/>
                <w:color w:val="1A1A1A"/>
                <w:sz w:val="16"/>
              </w:rPr>
              <w:t>No empirical multi-city optical/land-cover archive.</w:t>
            </w:r>
          </w:p>
        </w:tc>
      </w:tr>
      <w:tr>
        <w:tc>
          <w:tcPr>
            <w:tcW w:type="dxa" w:w="800"/>
          </w:tcPr>
          <w:p>
            <w:pPr>
              <w:spacing w:before="0" w:after="0" w:line="240" w:lineRule="auto"/>
              <w:jc w:val="left"/>
            </w:pPr>
            <w:r/>
            <w:r>
              <w:rPr>
                <w:rFonts w:ascii="Calibri" w:hAnsi="Calibri"/>
                <w:b w:val="0"/>
                <w:color w:val="1A1A1A"/>
                <w:sz w:val="16"/>
              </w:rPr>
              <w:t>8</w:t>
            </w:r>
          </w:p>
        </w:tc>
        <w:tc>
          <w:tcPr>
            <w:tcW w:type="dxa" w:w="4350"/>
          </w:tcPr>
          <w:p>
            <w:pPr>
              <w:spacing w:before="0" w:after="0" w:line="240" w:lineRule="auto"/>
              <w:jc w:val="left"/>
            </w:pPr>
            <w:r/>
            <w:r>
              <w:rPr>
                <w:rFonts w:ascii="Calibri" w:hAnsi="Calibri"/>
                <w:b w:val="0"/>
                <w:color w:val="1A1A1A"/>
                <w:sz w:val="16"/>
              </w:rPr>
              <w:t>Canopy thresholds, classification, matching balance, registration sensitivity and validation.</w:t>
            </w:r>
          </w:p>
        </w:tc>
        <w:tc>
          <w:tcPr>
            <w:tcW w:type="dxa" w:w="4210"/>
          </w:tcPr>
          <w:p>
            <w:pPr>
              <w:spacing w:before="0" w:after="0" w:line="240" w:lineRule="auto"/>
              <w:jc w:val="left"/>
            </w:pPr>
            <w:r/>
            <w:r>
              <w:rPr>
                <w:rFonts w:ascii="Calibri" w:hAnsi="Calibri"/>
                <w:b w:val="0"/>
                <w:color w:val="1A1A1A"/>
                <w:sz w:val="16"/>
              </w:rPr>
              <w:t>No outcome-blind empirical classifier/matching freeze.</w:t>
            </w:r>
          </w:p>
        </w:tc>
      </w:tr>
      <w:tr>
        <w:tc>
          <w:tcPr>
            <w:tcW w:type="dxa" w:w="800"/>
          </w:tcPr>
          <w:p>
            <w:pPr>
              <w:spacing w:before="0" w:after="0" w:line="240" w:lineRule="auto"/>
              <w:jc w:val="left"/>
            </w:pPr>
            <w:r/>
            <w:r>
              <w:rPr>
                <w:rFonts w:ascii="Calibri" w:hAnsi="Calibri"/>
                <w:b w:val="0"/>
                <w:color w:val="1A1A1A"/>
                <w:sz w:val="16"/>
              </w:rPr>
              <w:t>9</w:t>
            </w:r>
          </w:p>
        </w:tc>
        <w:tc>
          <w:tcPr>
            <w:tcW w:type="dxa" w:w="4350"/>
          </w:tcPr>
          <w:p>
            <w:pPr>
              <w:spacing w:before="0" w:after="0" w:line="240" w:lineRule="auto"/>
              <w:jc w:val="left"/>
            </w:pPr>
            <w:r/>
            <w:r>
              <w:rPr>
                <w:rFonts w:ascii="Calibri" w:hAnsi="Calibri"/>
                <w:b w:val="0"/>
                <w:color w:val="1A1A1A"/>
                <w:sz w:val="16"/>
              </w:rPr>
              <w:t>Analysis-table schema, missingness, distributions, completeness, irrigation evidence and dictionaries.</w:t>
            </w:r>
          </w:p>
        </w:tc>
        <w:tc>
          <w:tcPr>
            <w:tcW w:type="dxa" w:w="4210"/>
          </w:tcPr>
          <w:p>
            <w:pPr>
              <w:spacing w:before="0" w:after="0" w:line="240" w:lineRule="auto"/>
              <w:jc w:val="left"/>
            </w:pPr>
            <w:r/>
            <w:r>
              <w:rPr>
                <w:rFonts w:ascii="Calibri" w:hAnsi="Calibri"/>
                <w:b w:val="0"/>
                <w:color w:val="1A1A1A"/>
                <w:sz w:val="16"/>
              </w:rPr>
              <w:t>No canonical matched-set-by-pass empirical table.</w:t>
            </w:r>
          </w:p>
        </w:tc>
      </w:tr>
      <w:tr>
        <w:tc>
          <w:tcPr>
            <w:tcW w:type="dxa" w:w="800"/>
          </w:tcPr>
          <w:p>
            <w:pPr>
              <w:spacing w:before="0" w:after="0" w:line="240" w:lineRule="auto"/>
              <w:jc w:val="left"/>
            </w:pPr>
            <w:r/>
            <w:r>
              <w:rPr>
                <w:rFonts w:ascii="Calibri" w:hAnsi="Calibri"/>
                <w:b w:val="0"/>
                <w:color w:val="1A1A1A"/>
                <w:sz w:val="16"/>
              </w:rPr>
              <w:t>10</w:t>
            </w:r>
          </w:p>
        </w:tc>
        <w:tc>
          <w:tcPr>
            <w:tcW w:type="dxa" w:w="4350"/>
          </w:tcPr>
          <w:p>
            <w:pPr>
              <w:spacing w:before="0" w:after="0" w:line="240" w:lineRule="auto"/>
              <w:jc w:val="left"/>
            </w:pPr>
            <w:r/>
            <w:r>
              <w:rPr>
                <w:rFonts w:ascii="Calibri" w:hAnsi="Calibri"/>
                <w:b w:val="0"/>
                <w:color w:val="1A1A1A"/>
                <w:sz w:val="16"/>
              </w:rPr>
              <w:t>Time-of-day models, common support, endpoint forest, day/night separation and diagnostics.</w:t>
            </w:r>
          </w:p>
        </w:tc>
        <w:tc>
          <w:tcPr>
            <w:tcW w:type="dxa" w:w="4210"/>
          </w:tcPr>
          <w:p>
            <w:pPr>
              <w:spacing w:before="0" w:after="0" w:line="240" w:lineRule="auto"/>
              <w:jc w:val="left"/>
            </w:pPr>
            <w:r/>
            <w:r>
              <w:rPr>
                <w:rFonts w:ascii="Calibri" w:hAnsi="Calibri"/>
                <w:b w:val="0"/>
                <w:color w:val="1A1A1A"/>
                <w:sz w:val="16"/>
              </w:rPr>
              <w:t>No empirical cooling estimate.</w:t>
            </w:r>
          </w:p>
        </w:tc>
      </w:tr>
      <w:tr>
        <w:tc>
          <w:tcPr>
            <w:tcW w:type="dxa" w:w="800"/>
          </w:tcPr>
          <w:p>
            <w:pPr>
              <w:spacing w:before="0" w:after="0" w:line="240" w:lineRule="auto"/>
              <w:jc w:val="left"/>
            </w:pPr>
            <w:r/>
            <w:r>
              <w:rPr>
                <w:rFonts w:ascii="Calibri" w:hAnsi="Calibri"/>
                <w:b w:val="0"/>
                <w:color w:val="1A1A1A"/>
                <w:sz w:val="16"/>
              </w:rPr>
              <w:t>11</w:t>
            </w:r>
          </w:p>
        </w:tc>
        <w:tc>
          <w:tcPr>
            <w:tcW w:type="dxa" w:w="4350"/>
          </w:tcPr>
          <w:p>
            <w:pPr>
              <w:spacing w:before="0" w:after="0" w:line="240" w:lineRule="auto"/>
              <w:jc w:val="left"/>
            </w:pPr>
            <w:r/>
            <w:r>
              <w:rPr>
                <w:rFonts w:ascii="Calibri" w:hAnsi="Calibri"/>
                <w:b w:val="0"/>
                <w:color w:val="1A1A1A"/>
                <w:sz w:val="16"/>
              </w:rPr>
              <w:t>Leave-one-simulated-city-out checks, quality panels, canopy standardization and holdout schema.</w:t>
            </w:r>
          </w:p>
        </w:tc>
        <w:tc>
          <w:tcPr>
            <w:tcW w:type="dxa" w:w="4210"/>
          </w:tcPr>
          <w:p>
            <w:pPr>
              <w:spacing w:before="0" w:after="0" w:line="240" w:lineRule="auto"/>
              <w:jc w:val="left"/>
            </w:pPr>
            <w:r/>
            <w:r>
              <w:rPr>
                <w:rFonts w:ascii="Calibri" w:hAnsi="Calibri"/>
                <w:b w:val="0"/>
                <w:color w:val="1A1A1A"/>
                <w:sz w:val="16"/>
              </w:rPr>
              <w:t>No real holdout selection or generalization result.</w:t>
            </w:r>
          </w:p>
        </w:tc>
      </w:tr>
      <w:tr>
        <w:tc>
          <w:tcPr>
            <w:tcW w:type="dxa" w:w="800"/>
          </w:tcPr>
          <w:p>
            <w:pPr>
              <w:spacing w:before="0" w:after="0" w:line="240" w:lineRule="auto"/>
              <w:jc w:val="left"/>
            </w:pPr>
            <w:r/>
            <w:r>
              <w:rPr>
                <w:rFonts w:ascii="Calibri" w:hAnsi="Calibri"/>
                <w:b w:val="0"/>
                <w:color w:val="1A1A1A"/>
                <w:sz w:val="16"/>
              </w:rPr>
              <w:t>12</w:t>
            </w:r>
          </w:p>
        </w:tc>
        <w:tc>
          <w:tcPr>
            <w:tcW w:type="dxa" w:w="4350"/>
          </w:tcPr>
          <w:p>
            <w:pPr>
              <w:spacing w:before="0" w:after="0" w:line="240" w:lineRule="auto"/>
              <w:jc w:val="left"/>
            </w:pPr>
            <w:r/>
            <w:r>
              <w:rPr>
                <w:rFonts w:ascii="Calibri" w:hAnsi="Calibri"/>
                <w:b w:val="0"/>
                <w:color w:val="1A1A1A"/>
                <w:sz w:val="16"/>
              </w:rPr>
              <w:t>Demand × dryness surfaces, support masking, slices, model comparisons and transition criteria.</w:t>
            </w:r>
          </w:p>
        </w:tc>
        <w:tc>
          <w:tcPr>
            <w:tcW w:type="dxa" w:w="4210"/>
          </w:tcPr>
          <w:p>
            <w:pPr>
              <w:spacing w:before="0" w:after="0" w:line="240" w:lineRule="auto"/>
              <w:jc w:val="left"/>
            </w:pPr>
            <w:r/>
            <w:r>
              <w:rPr>
                <w:rFonts w:ascii="Calibri" w:hAnsi="Calibri"/>
                <w:b w:val="0"/>
                <w:color w:val="1A1A1A"/>
                <w:sz w:val="16"/>
              </w:rPr>
              <w:t>No empirical surface or threshold claim.</w:t>
            </w:r>
          </w:p>
        </w:tc>
      </w:tr>
      <w:tr>
        <w:tc>
          <w:tcPr>
            <w:tcW w:type="dxa" w:w="800"/>
          </w:tcPr>
          <w:p>
            <w:pPr>
              <w:spacing w:before="0" w:after="0" w:line="240" w:lineRule="auto"/>
              <w:jc w:val="left"/>
            </w:pPr>
            <w:r/>
            <w:r>
              <w:rPr>
                <w:rFonts w:ascii="Calibri" w:hAnsi="Calibri"/>
                <w:b w:val="0"/>
                <w:color w:val="1A1A1A"/>
                <w:sz w:val="16"/>
              </w:rPr>
              <w:t>13</w:t>
            </w:r>
          </w:p>
        </w:tc>
        <w:tc>
          <w:tcPr>
            <w:tcW w:type="dxa" w:w="4350"/>
          </w:tcPr>
          <w:p>
            <w:pPr>
              <w:spacing w:before="0" w:after="0" w:line="240" w:lineRule="auto"/>
              <w:jc w:val="left"/>
            </w:pPr>
            <w:r/>
            <w:r>
              <w:rPr>
                <w:rFonts w:ascii="Calibri" w:hAnsi="Calibri"/>
                <w:b w:val="0"/>
                <w:color w:val="1A1A1A"/>
                <w:sz w:val="16"/>
              </w:rPr>
              <w:t>Placebo, night, sensitivity, radiative attenuation and uncertainty-budget workflows.</w:t>
            </w:r>
          </w:p>
        </w:tc>
        <w:tc>
          <w:tcPr>
            <w:tcW w:type="dxa" w:w="4210"/>
          </w:tcPr>
          <w:p>
            <w:pPr>
              <w:spacing w:before="0" w:after="0" w:line="240" w:lineRule="auto"/>
              <w:jc w:val="left"/>
            </w:pPr>
            <w:r/>
            <w:r>
              <w:rPr>
                <w:rFonts w:ascii="Calibri" w:hAnsi="Calibri"/>
                <w:b w:val="0"/>
                <w:color w:val="1A1A1A"/>
                <w:sz w:val="16"/>
              </w:rPr>
              <w:t>No empirical robustness or detection-limit comparison.</w:t>
            </w:r>
          </w:p>
        </w:tc>
      </w:tr>
      <w:tr>
        <w:tc>
          <w:tcPr>
            <w:tcW w:type="dxa" w:w="800"/>
          </w:tcPr>
          <w:p>
            <w:pPr>
              <w:spacing w:before="0" w:after="0" w:line="240" w:lineRule="auto"/>
              <w:jc w:val="left"/>
            </w:pPr>
            <w:r/>
            <w:r>
              <w:rPr>
                <w:rFonts w:ascii="Calibri" w:hAnsi="Calibri"/>
                <w:b w:val="0"/>
                <w:color w:val="1A1A1A"/>
                <w:sz w:val="16"/>
              </w:rPr>
              <w:t>14</w:t>
            </w:r>
          </w:p>
        </w:tc>
        <w:tc>
          <w:tcPr>
            <w:tcW w:type="dxa" w:w="4350"/>
          </w:tcPr>
          <w:p>
            <w:pPr>
              <w:spacing w:before="0" w:after="0" w:line="240" w:lineRule="auto"/>
              <w:jc w:val="left"/>
            </w:pPr>
            <w:r/>
            <w:r>
              <w:rPr>
                <w:rFonts w:ascii="Calibri" w:hAnsi="Calibri"/>
                <w:b w:val="0"/>
                <w:color w:val="1A1A1A"/>
                <w:sz w:val="16"/>
              </w:rPr>
              <w:t>Six synthetic paper layouts; real STOP memo; confirmatory NOT RUN report; hashed package inventory.</w:t>
            </w:r>
          </w:p>
        </w:tc>
        <w:tc>
          <w:tcPr>
            <w:tcW w:type="dxa" w:w="4210"/>
          </w:tcPr>
          <w:p>
            <w:pPr>
              <w:spacing w:before="0" w:after="0" w:line="240" w:lineRule="auto"/>
              <w:jc w:val="left"/>
            </w:pPr>
            <w:r/>
            <w:r>
              <w:rPr>
                <w:rFonts w:ascii="Calibri" w:hAnsi="Calibri"/>
                <w:b w:val="0"/>
                <w:color w:val="1A1A1A"/>
                <w:sz w:val="16"/>
              </w:rPr>
              <w:t>No empirical manuscript, holdout/2026 confirmation, public scientific release or independent rebuild.</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Borders>
              <w:top w:val="single" w:sz="12" w:color="B26A00"/>
              <w:left w:val="single" w:sz="12" w:color="B26A00"/>
              <w:bottom w:val="single" w:sz="12" w:color="B26A00"/>
              <w:right w:val="single" w:sz="12" w:color="B26A00"/>
            </w:tcBorders>
          </w:tcPr>
          <w:p>
            <w:pPr>
              <w:spacing w:after="60"/>
            </w:pPr>
            <w:r>
              <w:rPr>
                <w:rFonts w:ascii="Calibri" w:hAnsi="Calibri"/>
                <w:b/>
                <w:color w:val="B26A00"/>
                <w:sz w:val="23"/>
              </w:rPr>
              <w:t>Coverage of the source guide</w:t>
            </w:r>
          </w:p>
          <w:p>
            <w:pPr>
              <w:spacing w:after="0" w:line="264" w:lineRule="auto"/>
            </w:pPr>
            <w:r>
              <w:rPr>
                <w:rFonts w:ascii="Calibri" w:hAnsi="Calibri"/>
                <w:color w:val="1A1A1A"/>
                <w:sz w:val="21"/>
              </w:rPr>
              <w:t>Artifacts occupy all 109 normalized guide ID slots: 7 canonical Step 1 deliverables plus 102 Step 2–14 package IDs. Coverage of an ID proves that the workflow and expected deliverable structure exist; only the evidence label determines whether it is an empirical scientific result.</w:t>
            </w:r>
          </w:p>
        </w:tc>
      </w:tr>
    </w:tbl>
    <w:p>
      <w:pPr>
        <w:spacing w:after="0"/>
      </w:pPr>
    </w:p>
    <w:p>
      <w:pPr>
        <w:pageBreakBefore/>
        <w:spacing w:before="0" w:after="0"/>
      </w:pPr>
    </w:p>
    <w:p>
      <w:pPr>
        <w:spacing w:before="0" w:after="100"/>
      </w:pPr>
      <w:r>
        <w:rPr>
          <w:rFonts w:ascii="Calibri" w:hAnsi="Calibri"/>
          <w:b/>
          <w:smallCaps/>
          <w:color w:val="2E74B5"/>
          <w:sz w:val="18"/>
        </w:rPr>
        <w:t>CANONICAL EMPIRICAL EVIDENCE</w:t>
      </w:r>
    </w:p>
    <w:p>
      <w:pPr>
        <w:pStyle w:val="Heading1"/>
        <w:keepNext/>
      </w:pPr>
      <w:r>
        <w:t>3. Step 1 — five-city weather-condition feasibility</w:t>
      </w:r>
    </w:p>
    <w:p>
      <w:pPr>
        <w:keepLines w:val="0"/>
        <w:spacing w:after="120" w:line="264" w:lineRule="auto"/>
      </w:pPr>
      <w:r>
        <w:rPr>
          <w:rFonts w:ascii="Calibri" w:hAnsi="Calibri"/>
          <w:color w:val="1A1A1A"/>
          <w:sz w:val="22"/>
        </w:rPr>
        <w:t>Step 1 is the only fully completed empirical scientific stage. It asks whether atmospheric demand and antecedent climatic dryness occupy enough independent combinations to support later interaction analyses. It does not use or estimate land-surface temperature.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Borders>
              <w:top w:val="single" w:sz="12" w:color="2E74B5"/>
              <w:left w:val="single" w:sz="12" w:color="2E74B5"/>
              <w:bottom w:val="single" w:sz="12" w:color="2E74B5"/>
              <w:right w:val="single" w:sz="12" w:color="2E74B5"/>
            </w:tcBorders>
          </w:tcPr>
          <w:p>
            <w:pPr>
              <w:spacing w:after="60"/>
            </w:pPr>
            <w:r>
              <w:rPr>
                <w:rFonts w:ascii="Calibri" w:hAnsi="Calibri"/>
                <w:b/>
                <w:color w:val="1F4D78"/>
                <w:sz w:val="23"/>
              </w:rPr>
              <w:t>Step 1 decision: cross_city_separation_only</w:t>
            </w:r>
          </w:p>
          <w:p>
            <w:pPr>
              <w:spacing w:after="0" w:line="264" w:lineRule="auto"/>
            </w:pPr>
            <w:r>
              <w:rPr>
                <w:rFonts w:ascii="Calibri" w:hAnsi="Calibri"/>
                <w:color w:val="1A1A1A"/>
                <w:sz w:val="21"/>
              </w:rPr>
              <w:t>The predeclared strong case required adequate clear-sky corner support in at least three cities. Only Los Angeles and Minneapolis–St. Paul passed. The current recommendation is a cross-city/common-support comparison, with an explicit city-confounding limitation and consideration of an additional city.</w:t>
            </w:r>
          </w:p>
        </w:tc>
      </w:tr>
    </w:tbl>
    <w:p>
      <w:pPr>
        <w:spacing w:after="0"/>
      </w:pPr>
    </w:p>
    <w:p>
      <w:pPr>
        <w:pStyle w:val="Heading2"/>
        <w:keepNext/>
      </w:pPr>
      <w:r>
        <w:t>City domains and clear-sky availability</w:t>
      </w:r>
    </w:p>
    <w:tbl>
      <w:tblPr>
        <w:tblStyle w:val="TableGrid"/>
        <w:tblW w:type="dxa" w:w="9360"/>
        <w:jc w:val="center"/>
        <w:tblLayout w:type="fixed"/>
        <w:tblLook w:firstColumn="1" w:firstRow="1" w:lastColumn="0" w:lastRow="0" w:noHBand="0" w:noVBand="1" w:val="04A0"/>
        <w:tblInd w:w="120" w:type="dxa"/>
      </w:tblPr>
      <w:tblGrid>
        <w:gridCol w:w="2100"/>
        <w:gridCol w:w="1000"/>
        <w:gridCol w:w="1500"/>
        <w:gridCol w:w="1500"/>
        <w:gridCol w:w="1500"/>
        <w:gridCol w:w="1760"/>
      </w:tblGrid>
      <w:tr>
        <w:trPr>
          <w:tblHeader w:val="true"/>
        </w:trPr>
        <w:tc>
          <w:tcPr>
            <w:tcW w:type="dxa" w:w="21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City</w:t>
            </w:r>
          </w:p>
        </w:tc>
        <w:tc>
          <w:tcPr>
            <w:tcW w:type="dxa" w:w="10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Census UA</w:t>
            </w:r>
          </w:p>
        </w:tc>
        <w:tc>
          <w:tcPr>
            <w:tcW w:type="dxa" w:w="1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Area (km²)</w:t>
            </w:r>
          </w:p>
        </w:tc>
        <w:tc>
          <w:tcPr>
            <w:tcW w:type="dxa" w:w="1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Summer days</w:t>
            </w:r>
          </w:p>
        </w:tc>
        <w:tc>
          <w:tcPr>
            <w:tcW w:type="dxa" w:w="1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Clear days</w:t>
            </w:r>
          </w:p>
        </w:tc>
        <w:tc>
          <w:tcPr>
            <w:tcW w:type="dxa" w:w="17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Clear %</w:t>
            </w:r>
          </w:p>
        </w:tc>
      </w:tr>
      <w:tr>
        <w:tc>
          <w:tcPr>
            <w:tcW w:type="dxa" w:w="2100"/>
          </w:tcPr>
          <w:p>
            <w:pPr>
              <w:spacing w:before="0" w:after="0" w:line="240" w:lineRule="auto"/>
              <w:jc w:val="left"/>
            </w:pPr>
            <w:r/>
            <w:r>
              <w:rPr>
                <w:rFonts w:ascii="Calibri" w:hAnsi="Calibri"/>
                <w:b w:val="0"/>
                <w:color w:val="1A1A1A"/>
                <w:sz w:val="17"/>
              </w:rPr>
              <w:t>Atlanta</w:t>
            </w:r>
          </w:p>
        </w:tc>
        <w:tc>
          <w:tcPr>
            <w:tcW w:type="dxa" w:w="1000"/>
          </w:tcPr>
          <w:p>
            <w:pPr>
              <w:spacing w:before="0" w:after="0" w:line="240" w:lineRule="auto"/>
              <w:jc w:val="left"/>
            </w:pPr>
            <w:r/>
            <w:r>
              <w:rPr>
                <w:rFonts w:ascii="Calibri" w:hAnsi="Calibri"/>
                <w:b w:val="0"/>
                <w:color w:val="1A1A1A"/>
                <w:sz w:val="17"/>
              </w:rPr>
              <w:t>03817</w:t>
            </w:r>
          </w:p>
        </w:tc>
        <w:tc>
          <w:tcPr>
            <w:tcW w:type="dxa" w:w="1500"/>
          </w:tcPr>
          <w:p>
            <w:pPr>
              <w:spacing w:before="0" w:after="0" w:line="240" w:lineRule="auto"/>
              <w:jc w:val="left"/>
            </w:pPr>
            <w:r/>
            <w:r>
              <w:rPr>
                <w:rFonts w:ascii="Calibri" w:hAnsi="Calibri"/>
                <w:b w:val="0"/>
                <w:color w:val="1A1A1A"/>
                <w:sz w:val="17"/>
              </w:rPr>
              <w:t>6,612.80</w:t>
            </w:r>
          </w:p>
        </w:tc>
        <w:tc>
          <w:tcPr>
            <w:tcW w:type="dxa" w:w="1500"/>
          </w:tcPr>
          <w:p>
            <w:pPr>
              <w:spacing w:before="0" w:after="0" w:line="240" w:lineRule="auto"/>
              <w:jc w:val="left"/>
            </w:pPr>
            <w:r/>
            <w:r>
              <w:rPr>
                <w:rFonts w:ascii="Calibri" w:hAnsi="Calibri"/>
                <w:b w:val="0"/>
                <w:color w:val="1A1A1A"/>
                <w:sz w:val="17"/>
              </w:rPr>
              <w:t>976</w:t>
            </w:r>
          </w:p>
        </w:tc>
        <w:tc>
          <w:tcPr>
            <w:tcW w:type="dxa" w:w="1500"/>
          </w:tcPr>
          <w:p>
            <w:pPr>
              <w:spacing w:before="0" w:after="0" w:line="240" w:lineRule="auto"/>
              <w:jc w:val="left"/>
            </w:pPr>
            <w:r/>
            <w:r>
              <w:rPr>
                <w:rFonts w:ascii="Calibri" w:hAnsi="Calibri"/>
                <w:b w:val="0"/>
                <w:color w:val="1A1A1A"/>
                <w:sz w:val="17"/>
              </w:rPr>
              <w:t>133</w:t>
            </w:r>
          </w:p>
        </w:tc>
        <w:tc>
          <w:tcPr>
            <w:tcW w:type="dxa" w:w="1760"/>
          </w:tcPr>
          <w:p>
            <w:pPr>
              <w:spacing w:before="0" w:after="0" w:line="240" w:lineRule="auto"/>
              <w:jc w:val="left"/>
            </w:pPr>
            <w:r/>
            <w:r>
              <w:rPr>
                <w:rFonts w:ascii="Calibri" w:hAnsi="Calibri"/>
                <w:b w:val="0"/>
                <w:color w:val="1A1A1A"/>
                <w:sz w:val="17"/>
              </w:rPr>
              <w:t>13.63%</w:t>
            </w:r>
          </w:p>
        </w:tc>
      </w:tr>
      <w:tr>
        <w:tc>
          <w:tcPr>
            <w:tcW w:type="dxa" w:w="2100"/>
          </w:tcPr>
          <w:p>
            <w:pPr>
              <w:spacing w:before="0" w:after="0" w:line="240" w:lineRule="auto"/>
              <w:jc w:val="left"/>
            </w:pPr>
            <w:r/>
            <w:r>
              <w:rPr>
                <w:rFonts w:ascii="Calibri" w:hAnsi="Calibri"/>
                <w:b w:val="0"/>
                <w:color w:val="1A1A1A"/>
                <w:sz w:val="17"/>
              </w:rPr>
              <w:t>Los Angeles</w:t>
            </w:r>
          </w:p>
        </w:tc>
        <w:tc>
          <w:tcPr>
            <w:tcW w:type="dxa" w:w="1000"/>
          </w:tcPr>
          <w:p>
            <w:pPr>
              <w:spacing w:before="0" w:after="0" w:line="240" w:lineRule="auto"/>
              <w:jc w:val="left"/>
            </w:pPr>
            <w:r/>
            <w:r>
              <w:rPr>
                <w:rFonts w:ascii="Calibri" w:hAnsi="Calibri"/>
                <w:b w:val="0"/>
                <w:color w:val="1A1A1A"/>
                <w:sz w:val="17"/>
              </w:rPr>
              <w:t>51445</w:t>
            </w:r>
          </w:p>
        </w:tc>
        <w:tc>
          <w:tcPr>
            <w:tcW w:type="dxa" w:w="1500"/>
          </w:tcPr>
          <w:p>
            <w:pPr>
              <w:spacing w:before="0" w:after="0" w:line="240" w:lineRule="auto"/>
              <w:jc w:val="left"/>
            </w:pPr>
            <w:r/>
            <w:r>
              <w:rPr>
                <w:rFonts w:ascii="Calibri" w:hAnsi="Calibri"/>
                <w:b w:val="0"/>
                <w:color w:val="1A1A1A"/>
                <w:sz w:val="17"/>
              </w:rPr>
              <w:t>4,242.65</w:t>
            </w:r>
          </w:p>
        </w:tc>
        <w:tc>
          <w:tcPr>
            <w:tcW w:type="dxa" w:w="1500"/>
          </w:tcPr>
          <w:p>
            <w:pPr>
              <w:spacing w:before="0" w:after="0" w:line="240" w:lineRule="auto"/>
              <w:jc w:val="left"/>
            </w:pPr>
            <w:r/>
            <w:r>
              <w:rPr>
                <w:rFonts w:ascii="Calibri" w:hAnsi="Calibri"/>
                <w:b w:val="0"/>
                <w:color w:val="1A1A1A"/>
                <w:sz w:val="17"/>
              </w:rPr>
              <w:t>976</w:t>
            </w:r>
          </w:p>
        </w:tc>
        <w:tc>
          <w:tcPr>
            <w:tcW w:type="dxa" w:w="1500"/>
          </w:tcPr>
          <w:p>
            <w:pPr>
              <w:spacing w:before="0" w:after="0" w:line="240" w:lineRule="auto"/>
              <w:jc w:val="left"/>
            </w:pPr>
            <w:r/>
            <w:r>
              <w:rPr>
                <w:rFonts w:ascii="Calibri" w:hAnsi="Calibri"/>
                <w:b w:val="0"/>
                <w:color w:val="1A1A1A"/>
                <w:sz w:val="17"/>
              </w:rPr>
              <w:t>659</w:t>
            </w:r>
          </w:p>
        </w:tc>
        <w:tc>
          <w:tcPr>
            <w:tcW w:type="dxa" w:w="1760"/>
          </w:tcPr>
          <w:p>
            <w:pPr>
              <w:spacing w:before="0" w:after="0" w:line="240" w:lineRule="auto"/>
              <w:jc w:val="left"/>
            </w:pPr>
            <w:r/>
            <w:r>
              <w:rPr>
                <w:rFonts w:ascii="Calibri" w:hAnsi="Calibri"/>
                <w:b w:val="0"/>
                <w:color w:val="1A1A1A"/>
                <w:sz w:val="17"/>
              </w:rPr>
              <w:t>67.52%</w:t>
            </w:r>
          </w:p>
        </w:tc>
      </w:tr>
      <w:tr>
        <w:tc>
          <w:tcPr>
            <w:tcW w:type="dxa" w:w="2100"/>
          </w:tcPr>
          <w:p>
            <w:pPr>
              <w:spacing w:before="0" w:after="0" w:line="240" w:lineRule="auto"/>
              <w:jc w:val="left"/>
            </w:pPr>
            <w:r/>
            <w:r>
              <w:rPr>
                <w:rFonts w:ascii="Calibri" w:hAnsi="Calibri"/>
                <w:b w:val="0"/>
                <w:color w:val="1A1A1A"/>
                <w:sz w:val="17"/>
              </w:rPr>
              <w:t>Miami</w:t>
            </w:r>
          </w:p>
        </w:tc>
        <w:tc>
          <w:tcPr>
            <w:tcW w:type="dxa" w:w="1000"/>
          </w:tcPr>
          <w:p>
            <w:pPr>
              <w:spacing w:before="0" w:after="0" w:line="240" w:lineRule="auto"/>
              <w:jc w:val="left"/>
            </w:pPr>
            <w:r/>
            <w:r>
              <w:rPr>
                <w:rFonts w:ascii="Calibri" w:hAnsi="Calibri"/>
                <w:b w:val="0"/>
                <w:color w:val="1A1A1A"/>
                <w:sz w:val="17"/>
              </w:rPr>
              <w:t>56602</w:t>
            </w:r>
          </w:p>
        </w:tc>
        <w:tc>
          <w:tcPr>
            <w:tcW w:type="dxa" w:w="1500"/>
          </w:tcPr>
          <w:p>
            <w:pPr>
              <w:spacing w:before="0" w:after="0" w:line="240" w:lineRule="auto"/>
              <w:jc w:val="left"/>
            </w:pPr>
            <w:r/>
            <w:r>
              <w:rPr>
                <w:rFonts w:ascii="Calibri" w:hAnsi="Calibri"/>
                <w:b w:val="0"/>
                <w:color w:val="1A1A1A"/>
                <w:sz w:val="17"/>
              </w:rPr>
              <w:t>3,223.01</w:t>
            </w:r>
          </w:p>
        </w:tc>
        <w:tc>
          <w:tcPr>
            <w:tcW w:type="dxa" w:w="1500"/>
          </w:tcPr>
          <w:p>
            <w:pPr>
              <w:spacing w:before="0" w:after="0" w:line="240" w:lineRule="auto"/>
              <w:jc w:val="left"/>
            </w:pPr>
            <w:r/>
            <w:r>
              <w:rPr>
                <w:rFonts w:ascii="Calibri" w:hAnsi="Calibri"/>
                <w:b w:val="0"/>
                <w:color w:val="1A1A1A"/>
                <w:sz w:val="17"/>
              </w:rPr>
              <w:t>976</w:t>
            </w:r>
          </w:p>
        </w:tc>
        <w:tc>
          <w:tcPr>
            <w:tcW w:type="dxa" w:w="1500"/>
          </w:tcPr>
          <w:p>
            <w:pPr>
              <w:spacing w:before="0" w:after="0" w:line="240" w:lineRule="auto"/>
              <w:jc w:val="left"/>
            </w:pPr>
            <w:r/>
            <w:r>
              <w:rPr>
                <w:rFonts w:ascii="Calibri" w:hAnsi="Calibri"/>
                <w:b w:val="0"/>
                <w:color w:val="1A1A1A"/>
                <w:sz w:val="17"/>
              </w:rPr>
              <w:t>68</w:t>
            </w:r>
          </w:p>
        </w:tc>
        <w:tc>
          <w:tcPr>
            <w:tcW w:type="dxa" w:w="1760"/>
          </w:tcPr>
          <w:p>
            <w:pPr>
              <w:spacing w:before="0" w:after="0" w:line="240" w:lineRule="auto"/>
              <w:jc w:val="left"/>
            </w:pPr>
            <w:r/>
            <w:r>
              <w:rPr>
                <w:rFonts w:ascii="Calibri" w:hAnsi="Calibri"/>
                <w:b w:val="0"/>
                <w:color w:val="1A1A1A"/>
                <w:sz w:val="17"/>
              </w:rPr>
              <w:t>6.97%</w:t>
            </w:r>
          </w:p>
        </w:tc>
      </w:tr>
      <w:tr>
        <w:tc>
          <w:tcPr>
            <w:tcW w:type="dxa" w:w="2100"/>
          </w:tcPr>
          <w:p>
            <w:pPr>
              <w:spacing w:before="0" w:after="0" w:line="240" w:lineRule="auto"/>
              <w:jc w:val="left"/>
            </w:pPr>
            <w:r/>
            <w:r>
              <w:rPr>
                <w:rFonts w:ascii="Calibri" w:hAnsi="Calibri"/>
                <w:b w:val="0"/>
                <w:color w:val="1A1A1A"/>
                <w:sz w:val="17"/>
              </w:rPr>
              <w:t>Minneapolis–St. Paul</w:t>
            </w:r>
          </w:p>
        </w:tc>
        <w:tc>
          <w:tcPr>
            <w:tcW w:type="dxa" w:w="1000"/>
          </w:tcPr>
          <w:p>
            <w:pPr>
              <w:spacing w:before="0" w:after="0" w:line="240" w:lineRule="auto"/>
              <w:jc w:val="left"/>
            </w:pPr>
            <w:r/>
            <w:r>
              <w:rPr>
                <w:rFonts w:ascii="Calibri" w:hAnsi="Calibri"/>
                <w:b w:val="0"/>
                <w:color w:val="1A1A1A"/>
                <w:sz w:val="17"/>
              </w:rPr>
              <w:t>57628</w:t>
            </w:r>
          </w:p>
        </w:tc>
        <w:tc>
          <w:tcPr>
            <w:tcW w:type="dxa" w:w="1500"/>
          </w:tcPr>
          <w:p>
            <w:pPr>
              <w:spacing w:before="0" w:after="0" w:line="240" w:lineRule="auto"/>
              <w:jc w:val="left"/>
            </w:pPr>
            <w:r/>
            <w:r>
              <w:rPr>
                <w:rFonts w:ascii="Calibri" w:hAnsi="Calibri"/>
                <w:b w:val="0"/>
                <w:color w:val="1A1A1A"/>
                <w:sz w:val="17"/>
              </w:rPr>
              <w:t>2,628.48</w:t>
            </w:r>
          </w:p>
        </w:tc>
        <w:tc>
          <w:tcPr>
            <w:tcW w:type="dxa" w:w="1500"/>
          </w:tcPr>
          <w:p>
            <w:pPr>
              <w:spacing w:before="0" w:after="0" w:line="240" w:lineRule="auto"/>
              <w:jc w:val="left"/>
            </w:pPr>
            <w:r/>
            <w:r>
              <w:rPr>
                <w:rFonts w:ascii="Calibri" w:hAnsi="Calibri"/>
                <w:b w:val="0"/>
                <w:color w:val="1A1A1A"/>
                <w:sz w:val="17"/>
              </w:rPr>
              <w:t>976</w:t>
            </w:r>
          </w:p>
        </w:tc>
        <w:tc>
          <w:tcPr>
            <w:tcW w:type="dxa" w:w="1500"/>
          </w:tcPr>
          <w:p>
            <w:pPr>
              <w:spacing w:before="0" w:after="0" w:line="240" w:lineRule="auto"/>
              <w:jc w:val="left"/>
            </w:pPr>
            <w:r/>
            <w:r>
              <w:rPr>
                <w:rFonts w:ascii="Calibri" w:hAnsi="Calibri"/>
                <w:b w:val="0"/>
                <w:color w:val="1A1A1A"/>
                <w:sz w:val="17"/>
              </w:rPr>
              <w:t>263</w:t>
            </w:r>
          </w:p>
        </w:tc>
        <w:tc>
          <w:tcPr>
            <w:tcW w:type="dxa" w:w="1760"/>
          </w:tcPr>
          <w:p>
            <w:pPr>
              <w:spacing w:before="0" w:after="0" w:line="240" w:lineRule="auto"/>
              <w:jc w:val="left"/>
            </w:pPr>
            <w:r/>
            <w:r>
              <w:rPr>
                <w:rFonts w:ascii="Calibri" w:hAnsi="Calibri"/>
                <w:b w:val="0"/>
                <w:color w:val="1A1A1A"/>
                <w:sz w:val="17"/>
              </w:rPr>
              <w:t>26.95%</w:t>
            </w:r>
          </w:p>
        </w:tc>
      </w:tr>
      <w:tr>
        <w:tc>
          <w:tcPr>
            <w:tcW w:type="dxa" w:w="2100"/>
          </w:tcPr>
          <w:p>
            <w:pPr>
              <w:spacing w:before="0" w:after="0" w:line="240" w:lineRule="auto"/>
              <w:jc w:val="left"/>
            </w:pPr>
            <w:r/>
            <w:r>
              <w:rPr>
                <w:rFonts w:ascii="Calibri" w:hAnsi="Calibri"/>
                <w:b w:val="0"/>
                <w:color w:val="1A1A1A"/>
                <w:sz w:val="17"/>
              </w:rPr>
              <w:t>Phoenix</w:t>
            </w:r>
          </w:p>
        </w:tc>
        <w:tc>
          <w:tcPr>
            <w:tcW w:type="dxa" w:w="1000"/>
          </w:tcPr>
          <w:p>
            <w:pPr>
              <w:spacing w:before="0" w:after="0" w:line="240" w:lineRule="auto"/>
              <w:jc w:val="left"/>
            </w:pPr>
            <w:r/>
            <w:r>
              <w:rPr>
                <w:rFonts w:ascii="Calibri" w:hAnsi="Calibri"/>
                <w:b w:val="0"/>
                <w:color w:val="1A1A1A"/>
                <w:sz w:val="17"/>
              </w:rPr>
              <w:t>69184</w:t>
            </w:r>
          </w:p>
        </w:tc>
        <w:tc>
          <w:tcPr>
            <w:tcW w:type="dxa" w:w="1500"/>
          </w:tcPr>
          <w:p>
            <w:pPr>
              <w:spacing w:before="0" w:after="0" w:line="240" w:lineRule="auto"/>
              <w:jc w:val="left"/>
            </w:pPr>
            <w:r/>
            <w:r>
              <w:rPr>
                <w:rFonts w:ascii="Calibri" w:hAnsi="Calibri"/>
                <w:b w:val="0"/>
                <w:color w:val="1A1A1A"/>
                <w:sz w:val="17"/>
              </w:rPr>
              <w:t>2,876.31</w:t>
            </w:r>
          </w:p>
        </w:tc>
        <w:tc>
          <w:tcPr>
            <w:tcW w:type="dxa" w:w="1500"/>
          </w:tcPr>
          <w:p>
            <w:pPr>
              <w:spacing w:before="0" w:after="0" w:line="240" w:lineRule="auto"/>
              <w:jc w:val="left"/>
            </w:pPr>
            <w:r/>
            <w:r>
              <w:rPr>
                <w:rFonts w:ascii="Calibri" w:hAnsi="Calibri"/>
                <w:b w:val="0"/>
                <w:color w:val="1A1A1A"/>
                <w:sz w:val="17"/>
              </w:rPr>
              <w:t>976</w:t>
            </w:r>
          </w:p>
        </w:tc>
        <w:tc>
          <w:tcPr>
            <w:tcW w:type="dxa" w:w="1500"/>
          </w:tcPr>
          <w:p>
            <w:pPr>
              <w:spacing w:before="0" w:after="0" w:line="240" w:lineRule="auto"/>
              <w:jc w:val="left"/>
            </w:pPr>
            <w:r/>
            <w:r>
              <w:rPr>
                <w:rFonts w:ascii="Calibri" w:hAnsi="Calibri"/>
                <w:b w:val="0"/>
                <w:color w:val="1A1A1A"/>
                <w:sz w:val="17"/>
              </w:rPr>
              <w:t>697</w:t>
            </w:r>
          </w:p>
        </w:tc>
        <w:tc>
          <w:tcPr>
            <w:tcW w:type="dxa" w:w="1760"/>
          </w:tcPr>
          <w:p>
            <w:pPr>
              <w:spacing w:before="0" w:after="0" w:line="240" w:lineRule="auto"/>
              <w:jc w:val="left"/>
            </w:pPr>
            <w:r/>
            <w:r>
              <w:rPr>
                <w:rFonts w:ascii="Calibri" w:hAnsi="Calibri"/>
                <w:b w:val="0"/>
                <w:color w:val="1A1A1A"/>
                <w:sz w:val="17"/>
              </w:rPr>
              <w:t>71.41%</w:t>
            </w:r>
          </w:p>
        </w:tc>
      </w:tr>
    </w:tbl>
    <w:p>
      <w:pPr>
        <w:spacing w:after="0"/>
      </w:pPr>
    </w:p>
    <w:p>
      <w:pPr>
        <w:pStyle w:val="Heading2"/>
        <w:keepNext/>
      </w:pPr>
      <w:r>
        <w:t>Thirty-day feasibility result</w:t>
      </w:r>
    </w:p>
    <w:tbl>
      <w:tblPr>
        <w:tblStyle w:val="TableGrid"/>
        <w:tblW w:type="dxa" w:w="9360"/>
        <w:jc w:val="center"/>
        <w:tblLayout w:type="fixed"/>
        <w:tblLook w:firstColumn="1" w:firstRow="1" w:lastColumn="0" w:lastRow="0" w:noHBand="0" w:noVBand="1" w:val="04A0"/>
        <w:tblInd w:w="120" w:type="dxa"/>
      </w:tblPr>
      <w:tblGrid>
        <w:gridCol w:w="1750"/>
        <w:gridCol w:w="1300"/>
        <w:gridCol w:w="1200"/>
        <w:gridCol w:w="1250"/>
        <w:gridCol w:w="2300"/>
        <w:gridCol w:w="1560"/>
      </w:tblGrid>
      <w:tr>
        <w:trPr>
          <w:tblHeader w:val="true"/>
        </w:trPr>
        <w:tc>
          <w:tcPr>
            <w:tcW w:type="dxa" w:w="175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City</w:t>
            </w:r>
          </w:p>
        </w:tc>
        <w:tc>
          <w:tcPr>
            <w:tcW w:type="dxa" w:w="13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High-demand / wet</w:t>
            </w:r>
          </w:p>
        </w:tc>
        <w:tc>
          <w:tcPr>
            <w:tcW w:type="dxa" w:w="12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Low-demand / dry</w:t>
            </w:r>
          </w:p>
        </w:tc>
        <w:tc>
          <w:tcPr>
            <w:tcW w:type="dxa" w:w="125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Combined share</w:t>
            </w:r>
          </w:p>
        </w:tc>
        <w:tc>
          <w:tcPr>
            <w:tcW w:type="dxa" w:w="23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Clear-sky Spearman ρ (95% CI)</w:t>
            </w:r>
          </w:p>
        </w:tc>
        <w:tc>
          <w:tcPr>
            <w:tcW w:type="dxa" w:w="15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Within-city support</w:t>
            </w:r>
          </w:p>
        </w:tc>
      </w:tr>
      <w:tr>
        <w:tc>
          <w:tcPr>
            <w:tcW w:type="dxa" w:w="1750"/>
          </w:tcPr>
          <w:p>
            <w:pPr>
              <w:spacing w:before="0" w:after="0" w:line="240" w:lineRule="auto"/>
              <w:jc w:val="left"/>
            </w:pPr>
            <w:r/>
            <w:r>
              <w:rPr>
                <w:rFonts w:ascii="Calibri" w:hAnsi="Calibri"/>
                <w:b w:val="0"/>
                <w:color w:val="1A1A1A"/>
                <w:sz w:val="17"/>
              </w:rPr>
              <w:t>Atlanta</w:t>
            </w:r>
          </w:p>
        </w:tc>
        <w:tc>
          <w:tcPr>
            <w:tcW w:type="dxa" w:w="1300"/>
          </w:tcPr>
          <w:p>
            <w:pPr>
              <w:spacing w:before="0" w:after="0" w:line="240" w:lineRule="auto"/>
              <w:jc w:val="left"/>
            </w:pPr>
            <w:r/>
            <w:r>
              <w:rPr>
                <w:rFonts w:ascii="Calibri" w:hAnsi="Calibri"/>
                <w:b w:val="0"/>
                <w:color w:val="1A1A1A"/>
                <w:sz w:val="17"/>
              </w:rPr>
              <w:t>11</w:t>
            </w:r>
          </w:p>
        </w:tc>
        <w:tc>
          <w:tcPr>
            <w:tcW w:type="dxa" w:w="1200"/>
          </w:tcPr>
          <w:p>
            <w:pPr>
              <w:spacing w:before="0" w:after="0" w:line="240" w:lineRule="auto"/>
              <w:jc w:val="left"/>
            </w:pPr>
            <w:r/>
            <w:r>
              <w:rPr>
                <w:rFonts w:ascii="Calibri" w:hAnsi="Calibri"/>
                <w:b w:val="0"/>
                <w:color w:val="1A1A1A"/>
                <w:sz w:val="17"/>
              </w:rPr>
              <w:t>2</w:t>
            </w:r>
          </w:p>
        </w:tc>
        <w:tc>
          <w:tcPr>
            <w:tcW w:type="dxa" w:w="1250"/>
          </w:tcPr>
          <w:p>
            <w:pPr>
              <w:spacing w:before="0" w:after="0" w:line="240" w:lineRule="auto"/>
              <w:jc w:val="left"/>
            </w:pPr>
            <w:r/>
            <w:r>
              <w:rPr>
                <w:rFonts w:ascii="Calibri" w:hAnsi="Calibri"/>
                <w:b w:val="0"/>
                <w:color w:val="1A1A1A"/>
                <w:sz w:val="17"/>
              </w:rPr>
              <w:t>9.8%</w:t>
            </w:r>
          </w:p>
        </w:tc>
        <w:tc>
          <w:tcPr>
            <w:tcW w:type="dxa" w:w="2300"/>
          </w:tcPr>
          <w:p>
            <w:pPr>
              <w:spacing w:before="0" w:after="0" w:line="240" w:lineRule="auto"/>
              <w:jc w:val="left"/>
            </w:pPr>
            <w:r/>
            <w:r>
              <w:rPr>
                <w:rFonts w:ascii="Calibri" w:hAnsi="Calibri"/>
                <w:b w:val="0"/>
                <w:color w:val="1A1A1A"/>
                <w:sz w:val="17"/>
              </w:rPr>
              <w:t>0.534 (0.249–0.714)</w:t>
            </w:r>
          </w:p>
        </w:tc>
        <w:tc>
          <w:tcPr>
            <w:tcW w:type="dxa" w:w="1560"/>
          </w:tcPr>
          <w:p>
            <w:pPr>
              <w:spacing w:before="0" w:after="0" w:line="240" w:lineRule="auto"/>
              <w:jc w:val="left"/>
            </w:pPr>
            <w:r/>
            <w:r>
              <w:rPr>
                <w:rFonts w:ascii="Calibri" w:hAnsi="Calibri"/>
                <w:b w:val="0"/>
                <w:color w:val="1A1A1A"/>
                <w:sz w:val="17"/>
              </w:rPr>
              <w:t>No</w:t>
            </w:r>
          </w:p>
        </w:tc>
      </w:tr>
      <w:tr>
        <w:tc>
          <w:tcPr>
            <w:tcW w:type="dxa" w:w="1750"/>
          </w:tcPr>
          <w:p>
            <w:pPr>
              <w:spacing w:before="0" w:after="0" w:line="240" w:lineRule="auto"/>
              <w:jc w:val="left"/>
            </w:pPr>
            <w:r/>
            <w:r>
              <w:rPr>
                <w:rFonts w:ascii="Calibri" w:hAnsi="Calibri"/>
                <w:b w:val="0"/>
                <w:color w:val="1A1A1A"/>
                <w:sz w:val="17"/>
              </w:rPr>
              <w:t>Los Angeles</w:t>
            </w:r>
          </w:p>
        </w:tc>
        <w:tc>
          <w:tcPr>
            <w:tcW w:type="dxa" w:w="1300"/>
          </w:tcPr>
          <w:p>
            <w:pPr>
              <w:spacing w:before="0" w:after="0" w:line="240" w:lineRule="auto"/>
              <w:jc w:val="left"/>
            </w:pPr>
            <w:r/>
            <w:r>
              <w:rPr>
                <w:rFonts w:ascii="Calibri" w:hAnsi="Calibri"/>
                <w:b w:val="0"/>
                <w:color w:val="1A1A1A"/>
                <w:sz w:val="17"/>
              </w:rPr>
              <w:t>53</w:t>
            </w:r>
          </w:p>
        </w:tc>
        <w:tc>
          <w:tcPr>
            <w:tcW w:type="dxa" w:w="1200"/>
          </w:tcPr>
          <w:p>
            <w:pPr>
              <w:spacing w:before="0" w:after="0" w:line="240" w:lineRule="auto"/>
              <w:jc w:val="left"/>
            </w:pPr>
            <w:r/>
            <w:r>
              <w:rPr>
                <w:rFonts w:ascii="Calibri" w:hAnsi="Calibri"/>
                <w:b w:val="0"/>
                <w:color w:val="1A1A1A"/>
                <w:sz w:val="17"/>
              </w:rPr>
              <w:t>29</w:t>
            </w:r>
          </w:p>
        </w:tc>
        <w:tc>
          <w:tcPr>
            <w:tcW w:type="dxa" w:w="1250"/>
          </w:tcPr>
          <w:p>
            <w:pPr>
              <w:spacing w:before="0" w:after="0" w:line="240" w:lineRule="auto"/>
              <w:jc w:val="left"/>
            </w:pPr>
            <w:r/>
            <w:r>
              <w:rPr>
                <w:rFonts w:ascii="Calibri" w:hAnsi="Calibri"/>
                <w:b w:val="0"/>
                <w:color w:val="1A1A1A"/>
                <w:sz w:val="17"/>
              </w:rPr>
              <w:t>12.4%</w:t>
            </w:r>
          </w:p>
        </w:tc>
        <w:tc>
          <w:tcPr>
            <w:tcW w:type="dxa" w:w="2300"/>
          </w:tcPr>
          <w:p>
            <w:pPr>
              <w:spacing w:before="0" w:after="0" w:line="240" w:lineRule="auto"/>
              <w:jc w:val="left"/>
            </w:pPr>
            <w:r/>
            <w:r>
              <w:rPr>
                <w:rFonts w:ascii="Calibri" w:hAnsi="Calibri"/>
                <w:b w:val="0"/>
                <w:color w:val="1A1A1A"/>
                <w:sz w:val="17"/>
              </w:rPr>
              <w:t>0.321 (0.135–0.452)</w:t>
            </w:r>
          </w:p>
        </w:tc>
        <w:tc>
          <w:tcPr>
            <w:tcW w:type="dxa" w:w="1560"/>
          </w:tcPr>
          <w:p>
            <w:pPr>
              <w:spacing w:before="0" w:after="0" w:line="240" w:lineRule="auto"/>
              <w:jc w:val="left"/>
            </w:pPr>
            <w:r/>
            <w:r>
              <w:rPr>
                <w:rFonts w:ascii="Calibri" w:hAnsi="Calibri"/>
                <w:b w:val="0"/>
                <w:color w:val="1A1A1A"/>
                <w:sz w:val="17"/>
              </w:rPr>
              <w:t>Yes</w:t>
            </w:r>
          </w:p>
        </w:tc>
      </w:tr>
      <w:tr>
        <w:tc>
          <w:tcPr>
            <w:tcW w:type="dxa" w:w="1750"/>
          </w:tcPr>
          <w:p>
            <w:pPr>
              <w:spacing w:before="0" w:after="0" w:line="240" w:lineRule="auto"/>
              <w:jc w:val="left"/>
            </w:pPr>
            <w:r/>
            <w:r>
              <w:rPr>
                <w:rFonts w:ascii="Calibri" w:hAnsi="Calibri"/>
                <w:b w:val="0"/>
                <w:color w:val="1A1A1A"/>
                <w:sz w:val="17"/>
              </w:rPr>
              <w:t>Miami</w:t>
            </w:r>
          </w:p>
        </w:tc>
        <w:tc>
          <w:tcPr>
            <w:tcW w:type="dxa" w:w="1300"/>
          </w:tcPr>
          <w:p>
            <w:pPr>
              <w:spacing w:before="0" w:after="0" w:line="240" w:lineRule="auto"/>
              <w:jc w:val="left"/>
            </w:pPr>
            <w:r/>
            <w:r>
              <w:rPr>
                <w:rFonts w:ascii="Calibri" w:hAnsi="Calibri"/>
                <w:b w:val="0"/>
                <w:color w:val="1A1A1A"/>
                <w:sz w:val="17"/>
              </w:rPr>
              <w:t>2</w:t>
            </w:r>
          </w:p>
        </w:tc>
        <w:tc>
          <w:tcPr>
            <w:tcW w:type="dxa" w:w="1200"/>
          </w:tcPr>
          <w:p>
            <w:pPr>
              <w:spacing w:before="0" w:after="0" w:line="240" w:lineRule="auto"/>
              <w:jc w:val="left"/>
            </w:pPr>
            <w:r/>
            <w:r>
              <w:rPr>
                <w:rFonts w:ascii="Calibri" w:hAnsi="Calibri"/>
                <w:b w:val="0"/>
                <w:color w:val="1A1A1A"/>
                <w:sz w:val="17"/>
              </w:rPr>
              <w:t>2</w:t>
            </w:r>
          </w:p>
        </w:tc>
        <w:tc>
          <w:tcPr>
            <w:tcW w:type="dxa" w:w="1250"/>
          </w:tcPr>
          <w:p>
            <w:pPr>
              <w:spacing w:before="0" w:after="0" w:line="240" w:lineRule="auto"/>
              <w:jc w:val="left"/>
            </w:pPr>
            <w:r/>
            <w:r>
              <w:rPr>
                <w:rFonts w:ascii="Calibri" w:hAnsi="Calibri"/>
                <w:b w:val="0"/>
                <w:color w:val="1A1A1A"/>
                <w:sz w:val="17"/>
              </w:rPr>
              <w:t>5.9%</w:t>
            </w:r>
          </w:p>
        </w:tc>
        <w:tc>
          <w:tcPr>
            <w:tcW w:type="dxa" w:w="2300"/>
          </w:tcPr>
          <w:p>
            <w:pPr>
              <w:spacing w:before="0" w:after="0" w:line="240" w:lineRule="auto"/>
              <w:jc w:val="left"/>
            </w:pPr>
            <w:r/>
            <w:r>
              <w:rPr>
                <w:rFonts w:ascii="Calibri" w:hAnsi="Calibri"/>
                <w:b w:val="0"/>
                <w:color w:val="1A1A1A"/>
                <w:sz w:val="17"/>
              </w:rPr>
              <w:t>0.328 (0.048–0.613)</w:t>
            </w:r>
          </w:p>
        </w:tc>
        <w:tc>
          <w:tcPr>
            <w:tcW w:type="dxa" w:w="1560"/>
          </w:tcPr>
          <w:p>
            <w:pPr>
              <w:spacing w:before="0" w:after="0" w:line="240" w:lineRule="auto"/>
              <w:jc w:val="left"/>
            </w:pPr>
            <w:r/>
            <w:r>
              <w:rPr>
                <w:rFonts w:ascii="Calibri" w:hAnsi="Calibri"/>
                <w:b w:val="0"/>
                <w:color w:val="1A1A1A"/>
                <w:sz w:val="17"/>
              </w:rPr>
              <w:t>No</w:t>
            </w:r>
          </w:p>
        </w:tc>
      </w:tr>
      <w:tr>
        <w:tc>
          <w:tcPr>
            <w:tcW w:type="dxa" w:w="1750"/>
          </w:tcPr>
          <w:p>
            <w:pPr>
              <w:spacing w:before="0" w:after="0" w:line="240" w:lineRule="auto"/>
              <w:jc w:val="left"/>
            </w:pPr>
            <w:r/>
            <w:r>
              <w:rPr>
                <w:rFonts w:ascii="Calibri" w:hAnsi="Calibri"/>
                <w:b w:val="0"/>
                <w:color w:val="1A1A1A"/>
                <w:sz w:val="17"/>
              </w:rPr>
              <w:t>Minneapolis–St. Paul</w:t>
            </w:r>
          </w:p>
        </w:tc>
        <w:tc>
          <w:tcPr>
            <w:tcW w:type="dxa" w:w="1300"/>
          </w:tcPr>
          <w:p>
            <w:pPr>
              <w:spacing w:before="0" w:after="0" w:line="240" w:lineRule="auto"/>
              <w:jc w:val="left"/>
            </w:pPr>
            <w:r/>
            <w:r>
              <w:rPr>
                <w:rFonts w:ascii="Calibri" w:hAnsi="Calibri"/>
                <w:b w:val="0"/>
                <w:color w:val="1A1A1A"/>
                <w:sz w:val="17"/>
              </w:rPr>
              <w:t>31</w:t>
            </w:r>
          </w:p>
        </w:tc>
        <w:tc>
          <w:tcPr>
            <w:tcW w:type="dxa" w:w="1200"/>
          </w:tcPr>
          <w:p>
            <w:pPr>
              <w:spacing w:before="0" w:after="0" w:line="240" w:lineRule="auto"/>
              <w:jc w:val="left"/>
            </w:pPr>
            <w:r/>
            <w:r>
              <w:rPr>
                <w:rFonts w:ascii="Calibri" w:hAnsi="Calibri"/>
                <w:b w:val="0"/>
                <w:color w:val="1A1A1A"/>
                <w:sz w:val="17"/>
              </w:rPr>
              <w:t>5</w:t>
            </w:r>
          </w:p>
        </w:tc>
        <w:tc>
          <w:tcPr>
            <w:tcW w:type="dxa" w:w="1250"/>
          </w:tcPr>
          <w:p>
            <w:pPr>
              <w:spacing w:before="0" w:after="0" w:line="240" w:lineRule="auto"/>
              <w:jc w:val="left"/>
            </w:pPr>
            <w:r/>
            <w:r>
              <w:rPr>
                <w:rFonts w:ascii="Calibri" w:hAnsi="Calibri"/>
                <w:b w:val="0"/>
                <w:color w:val="1A1A1A"/>
                <w:sz w:val="17"/>
              </w:rPr>
              <w:t>13.7%</w:t>
            </w:r>
          </w:p>
        </w:tc>
        <w:tc>
          <w:tcPr>
            <w:tcW w:type="dxa" w:w="2300"/>
          </w:tcPr>
          <w:p>
            <w:pPr>
              <w:spacing w:before="0" w:after="0" w:line="240" w:lineRule="auto"/>
              <w:jc w:val="left"/>
            </w:pPr>
            <w:r/>
            <w:r>
              <w:rPr>
                <w:rFonts w:ascii="Calibri" w:hAnsi="Calibri"/>
                <w:b w:val="0"/>
                <w:color w:val="1A1A1A"/>
                <w:sz w:val="17"/>
              </w:rPr>
              <w:t>0.540 (0.201–0.678)</w:t>
            </w:r>
          </w:p>
        </w:tc>
        <w:tc>
          <w:tcPr>
            <w:tcW w:type="dxa" w:w="1560"/>
          </w:tcPr>
          <w:p>
            <w:pPr>
              <w:spacing w:before="0" w:after="0" w:line="240" w:lineRule="auto"/>
              <w:jc w:val="left"/>
            </w:pPr>
            <w:r/>
            <w:r>
              <w:rPr>
                <w:rFonts w:ascii="Calibri" w:hAnsi="Calibri"/>
                <w:b w:val="0"/>
                <w:color w:val="1A1A1A"/>
                <w:sz w:val="17"/>
              </w:rPr>
              <w:t>Yes</w:t>
            </w:r>
          </w:p>
        </w:tc>
      </w:tr>
      <w:tr>
        <w:tc>
          <w:tcPr>
            <w:tcW w:type="dxa" w:w="1750"/>
          </w:tcPr>
          <w:p>
            <w:pPr>
              <w:spacing w:before="0" w:after="0" w:line="240" w:lineRule="auto"/>
              <w:jc w:val="left"/>
            </w:pPr>
            <w:r/>
            <w:r>
              <w:rPr>
                <w:rFonts w:ascii="Calibri" w:hAnsi="Calibri"/>
                <w:b w:val="0"/>
                <w:color w:val="1A1A1A"/>
                <w:sz w:val="17"/>
              </w:rPr>
              <w:t>Phoenix</w:t>
            </w:r>
          </w:p>
        </w:tc>
        <w:tc>
          <w:tcPr>
            <w:tcW w:type="dxa" w:w="1300"/>
          </w:tcPr>
          <w:p>
            <w:pPr>
              <w:spacing w:before="0" w:after="0" w:line="240" w:lineRule="auto"/>
              <w:jc w:val="left"/>
            </w:pPr>
            <w:r/>
            <w:r>
              <w:rPr>
                <w:rFonts w:ascii="Calibri" w:hAnsi="Calibri"/>
                <w:b w:val="0"/>
                <w:color w:val="1A1A1A"/>
                <w:sz w:val="17"/>
              </w:rPr>
              <w:t>29</w:t>
            </w:r>
          </w:p>
        </w:tc>
        <w:tc>
          <w:tcPr>
            <w:tcW w:type="dxa" w:w="1200"/>
          </w:tcPr>
          <w:p>
            <w:pPr>
              <w:spacing w:before="0" w:after="0" w:line="240" w:lineRule="auto"/>
              <w:jc w:val="left"/>
            </w:pPr>
            <w:r/>
            <w:r>
              <w:rPr>
                <w:rFonts w:ascii="Calibri" w:hAnsi="Calibri"/>
                <w:b w:val="0"/>
                <w:color w:val="1A1A1A"/>
                <w:sz w:val="17"/>
              </w:rPr>
              <w:t>14</w:t>
            </w:r>
          </w:p>
        </w:tc>
        <w:tc>
          <w:tcPr>
            <w:tcW w:type="dxa" w:w="1250"/>
          </w:tcPr>
          <w:p>
            <w:pPr>
              <w:spacing w:before="0" w:after="0" w:line="240" w:lineRule="auto"/>
              <w:jc w:val="left"/>
            </w:pPr>
            <w:r/>
            <w:r>
              <w:rPr>
                <w:rFonts w:ascii="Calibri" w:hAnsi="Calibri"/>
                <w:b w:val="0"/>
                <w:color w:val="1A1A1A"/>
                <w:sz w:val="17"/>
              </w:rPr>
              <w:t>6.2%</w:t>
            </w:r>
          </w:p>
        </w:tc>
        <w:tc>
          <w:tcPr>
            <w:tcW w:type="dxa" w:w="2300"/>
          </w:tcPr>
          <w:p>
            <w:pPr>
              <w:spacing w:before="0" w:after="0" w:line="240" w:lineRule="auto"/>
              <w:jc w:val="left"/>
            </w:pPr>
            <w:r/>
            <w:r>
              <w:rPr>
                <w:rFonts w:ascii="Calibri" w:hAnsi="Calibri"/>
                <w:b w:val="0"/>
                <w:color w:val="1A1A1A"/>
                <w:sz w:val="17"/>
              </w:rPr>
              <w:t>0.524 (0.421–0.593)</w:t>
            </w:r>
          </w:p>
        </w:tc>
        <w:tc>
          <w:tcPr>
            <w:tcW w:type="dxa" w:w="1560"/>
          </w:tcPr>
          <w:p>
            <w:pPr>
              <w:spacing w:before="0" w:after="0" w:line="240" w:lineRule="auto"/>
              <w:jc w:val="left"/>
            </w:pPr>
            <w:r/>
            <w:r>
              <w:rPr>
                <w:rFonts w:ascii="Calibri" w:hAnsi="Calibri"/>
                <w:b w:val="0"/>
                <w:color w:val="1A1A1A"/>
                <w:sz w:val="17"/>
              </w:rPr>
              <w:t>No</w:t>
            </w:r>
          </w:p>
        </w:tc>
      </w:tr>
    </w:tbl>
    <w:p>
      <w:pPr>
        <w:spacing w:after="0"/>
      </w:pPr>
    </w:p>
    <w:p>
      <w:pPr>
        <w:keepLines w:val="0"/>
        <w:spacing w:after="120" w:line="264" w:lineRule="auto"/>
      </w:pPr>
      <w:r>
        <w:rPr>
          <w:rFonts w:ascii="Calibri" w:hAnsi="Calibri"/>
          <w:color w:val="1A1A1A"/>
          <w:sz w:val="22"/>
        </w:rPr>
        <w:t>The clear-sky screen used Census-domain mean ERA5 total cloud cover at the hour nearest 14:00 local solar time, with a frozen threshold of 0.25. Spearman intervals use whole-summer blocks rather than treating individual days as independent.</w:t>
      </w:r>
    </w:p>
    <w:p>
      <w:pPr>
        <w:pageBreakBefore/>
        <w:spacing w:before="0" w:after="0"/>
      </w:pPr>
    </w:p>
    <w:p>
      <w:pPr>
        <w:spacing w:before="0" w:after="100"/>
      </w:pPr>
      <w:r>
        <w:rPr>
          <w:rFonts w:ascii="Calibri" w:hAnsi="Calibri"/>
          <w:b/>
          <w:smallCaps/>
          <w:color w:val="2E74B5"/>
          <w:sz w:val="18"/>
        </w:rPr>
        <w:t>STEP 1 VISUAL EVIDENCE</w:t>
      </w:r>
    </w:p>
    <w:p>
      <w:pPr>
        <w:pStyle w:val="Heading1"/>
        <w:keepNext/>
      </w:pPr>
      <w:r>
        <w:t>Clear-sky sampling changes the available joint support</w:t>
      </w:r>
    </w:p>
    <w:p>
      <w:pPr>
        <w:keepLines/>
        <w:spacing w:before="60" w:after="80"/>
        <w:jc w:val="center"/>
      </w:pPr>
      <w:r>
        <w:drawing>
          <wp:inline xmlns:a="http://schemas.openxmlformats.org/drawingml/2006/main" xmlns:pic="http://schemas.openxmlformats.org/drawingml/2006/picture">
            <wp:extent cx="5806440" cy="3251606"/>
            <wp:docPr id="1" name="Picture 1"/>
            <wp:cNvGraphicFramePr>
              <a:graphicFrameLocks noChangeAspect="1"/>
            </wp:cNvGraphicFramePr>
            <a:graphic>
              <a:graphicData uri="http://schemas.openxmlformats.org/drawingml/2006/picture">
                <pic:pic>
                  <pic:nvPicPr>
                    <pic:cNvPr id="0" name="F1.2_clear_sky_overlay.png"/>
                    <pic:cNvPicPr/>
                  </pic:nvPicPr>
                  <pic:blipFill>
                    <a:blip r:embed="rId11"/>
                    <a:stretch>
                      <a:fillRect/>
                    </a:stretch>
                  </pic:blipFill>
                  <pic:spPr>
                    <a:xfrm>
                      <a:off x="0" y="0"/>
                      <a:ext cx="5806440" cy="3251606"/>
                    </a:xfrm>
                    <a:prstGeom prst="rect"/>
                  </pic:spPr>
                </pic:pic>
              </a:graphicData>
            </a:graphic>
          </wp:inline>
        </w:drawing>
      </w:r>
    </w:p>
    <w:p>
      <w:pPr>
        <w:keepLines/>
        <w:spacing w:before="0" w:after="80"/>
      </w:pPr>
      <w:r>
        <w:rPr>
          <w:rFonts w:ascii="Calibri" w:hAnsi="Calibri"/>
          <w:b/>
          <w:color w:val="1F4D78"/>
          <w:sz w:val="18"/>
        </w:rPr>
        <w:t xml:space="preserve">Figure 1 (F1.2). </w:t>
      </w:r>
      <w:r>
        <w:rPr>
          <w:rFonts w:ascii="Calibri" w:hAnsi="Calibri"/>
          <w:color w:val="1A1A1A"/>
          <w:sz w:val="18"/>
        </w:rPr>
        <w:t>Thirty-day atmospheric-demand and antecedent-dryness support across five cities. All summer days are grey and likely clear-sky days are blue; the shaded off-diagonal corners are the diagnostic cells. Clear-sky filtering substantially thins support in Atlanta, Miami, and Phoenix.</w:t>
      </w:r>
    </w:p>
    <w:p>
      <w:pPr>
        <w:keepLines/>
        <w:spacing w:before="0" w:after="160"/>
      </w:pPr>
      <w:r>
        <w:rPr>
          <w:rFonts w:ascii="Calibri" w:hAnsi="Calibri"/>
          <w:i/>
          <w:color w:val="5B6573"/>
          <w:sz w:val="16"/>
        </w:rPr>
        <w:t>Evidence status: Canonical empirical meteorological screening; no thermal outcome. Source: data/processed/v2/task1/step1/figures/F1.2_clear_sky_overlay.png</w:t>
      </w:r>
    </w:p>
    <w:p>
      <w:pPr>
        <w:keepLines w:val="0"/>
        <w:spacing w:after="120" w:line="264" w:lineRule="auto"/>
      </w:pPr>
      <w:r>
        <w:rPr>
          <w:rFonts w:ascii="Calibri" w:hAnsi="Calibri"/>
          <w:color w:val="1A1A1A"/>
          <w:sz w:val="22"/>
        </w:rPr>
        <w:t>The figure shows why a simple ‘hot versus dry’ interaction is difficult to identify within several cities: demand and dryness are positively correlated, and the rare off-diagonal combinations become even thinner after clear-sky selection. Los Angeles and Minneapolis–St. Paul retain the best within-city support, but the five-city panel does not satisfy the strong three-city rule.</w:t>
      </w:r>
    </w:p>
    <w:p>
      <w:pPr>
        <w:keepLines/>
        <w:spacing w:before="60" w:after="80"/>
        <w:jc w:val="center"/>
      </w:pPr>
      <w:r>
        <w:drawing>
          <wp:inline xmlns:a="http://schemas.openxmlformats.org/drawingml/2006/main" xmlns:pic="http://schemas.openxmlformats.org/drawingml/2006/picture">
            <wp:extent cx="5806440" cy="1923207"/>
            <wp:docPr id="2" name="Picture 2"/>
            <wp:cNvGraphicFramePr>
              <a:graphicFrameLocks noChangeAspect="1"/>
            </wp:cNvGraphicFramePr>
            <a:graphic>
              <a:graphicData uri="http://schemas.openxmlformats.org/drawingml/2006/picture">
                <pic:pic>
                  <pic:nvPicPr>
                    <pic:cNvPr id="0" name="F1.3_corner_counts.png"/>
                    <pic:cNvPicPr/>
                  </pic:nvPicPr>
                  <pic:blipFill>
                    <a:blip r:embed="rId12"/>
                    <a:stretch>
                      <a:fillRect/>
                    </a:stretch>
                  </pic:blipFill>
                  <pic:spPr>
                    <a:xfrm>
                      <a:off x="0" y="0"/>
                      <a:ext cx="5806440" cy="1923207"/>
                    </a:xfrm>
                    <a:prstGeom prst="rect"/>
                  </pic:spPr>
                </pic:pic>
              </a:graphicData>
            </a:graphic>
          </wp:inline>
        </w:drawing>
      </w:r>
    </w:p>
    <w:p>
      <w:pPr>
        <w:keepLines/>
        <w:spacing w:before="0" w:after="80"/>
      </w:pPr>
      <w:r>
        <w:rPr>
          <w:rFonts w:ascii="Calibri" w:hAnsi="Calibri"/>
          <w:b/>
          <w:color w:val="1F4D78"/>
          <w:sz w:val="18"/>
        </w:rPr>
        <w:t xml:space="preserve">Figure 2 (F1.3). </w:t>
      </w:r>
      <w:r>
        <w:rPr>
          <w:rFonts w:ascii="Calibri" w:hAnsi="Calibri"/>
          <w:color w:val="1A1A1A"/>
          <w:sz w:val="18"/>
        </w:rPr>
        <w:t>Proportions in the two diagnostic corner cells before and after likely clear-sky sampling, with Wilson 95% confidence intervals. These bars describe sampling support, not tree-cooling effects.</w:t>
      </w:r>
    </w:p>
    <w:p>
      <w:pPr>
        <w:keepLines/>
        <w:spacing w:before="0" w:after="160"/>
      </w:pPr>
      <w:r>
        <w:rPr>
          <w:rFonts w:ascii="Calibri" w:hAnsi="Calibri"/>
          <w:i/>
          <w:color w:val="5B6573"/>
          <w:sz w:val="16"/>
        </w:rPr>
        <w:t>Evidence status: Canonical empirical meteorological screening; no thermal outcome. Source: data/processed/v2/task1/step1/figures/F1.3_corner_counts.png</w:t>
      </w:r>
    </w:p>
    <w:p>
      <w:pPr>
        <w:pageBreakBefore/>
        <w:spacing w:before="0" w:after="0"/>
      </w:pPr>
    </w:p>
    <w:p>
      <w:pPr>
        <w:spacing w:before="0" w:after="100"/>
      </w:pPr>
      <w:r>
        <w:rPr>
          <w:rFonts w:ascii="Calibri" w:hAnsi="Calibri"/>
          <w:b/>
          <w:smallCaps/>
          <w:color w:val="2E74B5"/>
          <w:sz w:val="18"/>
        </w:rPr>
        <w:t>STEP 1 SENSITIVITY AND QA</w:t>
      </w:r>
    </w:p>
    <w:p>
      <w:pPr>
        <w:pStyle w:val="Heading1"/>
        <w:keepNext/>
      </w:pPr>
      <w:r>
        <w:t>Thirty-day versus sixty-day antecedent windows</w:t>
      </w:r>
    </w:p>
    <w:p>
      <w:pPr>
        <w:keepLines w:val="0"/>
        <w:spacing w:after="120" w:line="264" w:lineRule="auto"/>
      </w:pPr>
      <w:r>
        <w:rPr>
          <w:rFonts w:ascii="Calibri" w:hAnsi="Calibri"/>
          <w:color w:val="1A1A1A"/>
          <w:sz w:val="22"/>
        </w:rPr>
        <w:t>The ≥10% combined corner-share diagnostic changes in three cities between the required 30- and 60-day windows. This is not the full within-city support rule (≥5 days per corner and |ρ|&lt;0.8), so window choice remains a declared sensitivity.</w:t>
      </w:r>
    </w:p>
    <w:tbl>
      <w:tblPr>
        <w:tblStyle w:val="TableGrid"/>
        <w:tblW w:type="dxa" w:w="9360"/>
        <w:jc w:val="center"/>
        <w:tblLayout w:type="fixed"/>
        <w:tblLook w:firstColumn="1" w:firstRow="1" w:lastColumn="0" w:lastRow="0" w:noHBand="0" w:noVBand="1" w:val="04A0"/>
        <w:tblInd w:w="120" w:type="dxa"/>
      </w:tblPr>
      <w:tblGrid>
        <w:gridCol w:w="2300"/>
        <w:gridCol w:w="2500"/>
        <w:gridCol w:w="1700"/>
        <w:gridCol w:w="2860"/>
      </w:tblGrid>
      <w:tr>
        <w:trPr>
          <w:tblHeader w:val="true"/>
        </w:trPr>
        <w:tc>
          <w:tcPr>
            <w:tcW w:type="dxa" w:w="23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City</w:t>
            </w:r>
          </w:p>
        </w:tc>
        <w:tc>
          <w:tcPr>
            <w:tcW w:type="dxa" w:w="2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30-day clear-sky corner share</w:t>
            </w:r>
          </w:p>
        </w:tc>
        <w:tc>
          <w:tcPr>
            <w:tcW w:type="dxa" w:w="17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60-day share</w:t>
            </w:r>
          </w:p>
        </w:tc>
        <w:tc>
          <w:tcPr>
            <w:tcW w:type="dxa" w:w="28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≥10% share status stable?</w:t>
            </w:r>
          </w:p>
        </w:tc>
      </w:tr>
      <w:tr>
        <w:tc>
          <w:tcPr>
            <w:tcW w:type="dxa" w:w="2300"/>
          </w:tcPr>
          <w:p>
            <w:pPr>
              <w:spacing w:before="0" w:after="0" w:line="240" w:lineRule="auto"/>
              <w:jc w:val="left"/>
            </w:pPr>
            <w:r/>
            <w:r>
              <w:rPr>
                <w:rFonts w:ascii="Calibri" w:hAnsi="Calibri"/>
                <w:b w:val="0"/>
                <w:color w:val="1A1A1A"/>
                <w:sz w:val="17"/>
              </w:rPr>
              <w:t>Atlanta</w:t>
            </w:r>
          </w:p>
        </w:tc>
        <w:tc>
          <w:tcPr>
            <w:tcW w:type="dxa" w:w="2500"/>
          </w:tcPr>
          <w:p>
            <w:pPr>
              <w:spacing w:before="0" w:after="0" w:line="240" w:lineRule="auto"/>
              <w:jc w:val="left"/>
            </w:pPr>
            <w:r/>
            <w:r>
              <w:rPr>
                <w:rFonts w:ascii="Calibri" w:hAnsi="Calibri"/>
                <w:b w:val="0"/>
                <w:color w:val="1A1A1A"/>
                <w:sz w:val="17"/>
              </w:rPr>
              <w:t>9.8%</w:t>
            </w:r>
          </w:p>
        </w:tc>
        <w:tc>
          <w:tcPr>
            <w:tcW w:type="dxa" w:w="1700"/>
          </w:tcPr>
          <w:p>
            <w:pPr>
              <w:spacing w:before="0" w:after="0" w:line="240" w:lineRule="auto"/>
              <w:jc w:val="left"/>
            </w:pPr>
            <w:r/>
            <w:r>
              <w:rPr>
                <w:rFonts w:ascii="Calibri" w:hAnsi="Calibri"/>
                <w:b w:val="0"/>
                <w:color w:val="1A1A1A"/>
                <w:sz w:val="17"/>
              </w:rPr>
              <w:t>11.3%</w:t>
            </w:r>
          </w:p>
        </w:tc>
        <w:tc>
          <w:tcPr>
            <w:tcW w:type="dxa" w:w="2860"/>
          </w:tcPr>
          <w:p>
            <w:pPr>
              <w:spacing w:before="0" w:after="0" w:line="240" w:lineRule="auto"/>
              <w:jc w:val="left"/>
            </w:pPr>
            <w:r/>
            <w:r>
              <w:rPr>
                <w:rFonts w:ascii="Calibri" w:hAnsi="Calibri"/>
                <w:b w:val="0"/>
                <w:color w:val="1A1A1A"/>
                <w:sz w:val="17"/>
              </w:rPr>
              <w:t>No</w:t>
            </w:r>
          </w:p>
        </w:tc>
      </w:tr>
      <w:tr>
        <w:tc>
          <w:tcPr>
            <w:tcW w:type="dxa" w:w="2300"/>
          </w:tcPr>
          <w:p>
            <w:pPr>
              <w:spacing w:before="0" w:after="0" w:line="240" w:lineRule="auto"/>
              <w:jc w:val="left"/>
            </w:pPr>
            <w:r/>
            <w:r>
              <w:rPr>
                <w:rFonts w:ascii="Calibri" w:hAnsi="Calibri"/>
                <w:b w:val="0"/>
                <w:color w:val="1A1A1A"/>
                <w:sz w:val="17"/>
              </w:rPr>
              <w:t>Los Angeles</w:t>
            </w:r>
          </w:p>
        </w:tc>
        <w:tc>
          <w:tcPr>
            <w:tcW w:type="dxa" w:w="2500"/>
          </w:tcPr>
          <w:p>
            <w:pPr>
              <w:spacing w:before="0" w:after="0" w:line="240" w:lineRule="auto"/>
              <w:jc w:val="left"/>
            </w:pPr>
            <w:r/>
            <w:r>
              <w:rPr>
                <w:rFonts w:ascii="Calibri" w:hAnsi="Calibri"/>
                <w:b w:val="0"/>
                <w:color w:val="1A1A1A"/>
                <w:sz w:val="17"/>
              </w:rPr>
              <w:t>12.4%</w:t>
            </w:r>
          </w:p>
        </w:tc>
        <w:tc>
          <w:tcPr>
            <w:tcW w:type="dxa" w:w="1700"/>
          </w:tcPr>
          <w:p>
            <w:pPr>
              <w:spacing w:before="0" w:after="0" w:line="240" w:lineRule="auto"/>
              <w:jc w:val="left"/>
            </w:pPr>
            <w:r/>
            <w:r>
              <w:rPr>
                <w:rFonts w:ascii="Calibri" w:hAnsi="Calibri"/>
                <w:b w:val="0"/>
                <w:color w:val="1A1A1A"/>
                <w:sz w:val="17"/>
              </w:rPr>
              <w:t>12.9%</w:t>
            </w:r>
          </w:p>
        </w:tc>
        <w:tc>
          <w:tcPr>
            <w:tcW w:type="dxa" w:w="2860"/>
          </w:tcPr>
          <w:p>
            <w:pPr>
              <w:spacing w:before="0" w:after="0" w:line="240" w:lineRule="auto"/>
              <w:jc w:val="left"/>
            </w:pPr>
            <w:r/>
            <w:r>
              <w:rPr>
                <w:rFonts w:ascii="Calibri" w:hAnsi="Calibri"/>
                <w:b w:val="0"/>
                <w:color w:val="1A1A1A"/>
                <w:sz w:val="17"/>
              </w:rPr>
              <w:t>Yes</w:t>
            </w:r>
          </w:p>
        </w:tc>
      </w:tr>
      <w:tr>
        <w:tc>
          <w:tcPr>
            <w:tcW w:type="dxa" w:w="2300"/>
          </w:tcPr>
          <w:p>
            <w:pPr>
              <w:spacing w:before="0" w:after="0" w:line="240" w:lineRule="auto"/>
              <w:jc w:val="left"/>
            </w:pPr>
            <w:r/>
            <w:r>
              <w:rPr>
                <w:rFonts w:ascii="Calibri" w:hAnsi="Calibri"/>
                <w:b w:val="0"/>
                <w:color w:val="1A1A1A"/>
                <w:sz w:val="17"/>
              </w:rPr>
              <w:t>Miami</w:t>
            </w:r>
          </w:p>
        </w:tc>
        <w:tc>
          <w:tcPr>
            <w:tcW w:type="dxa" w:w="2500"/>
          </w:tcPr>
          <w:p>
            <w:pPr>
              <w:spacing w:before="0" w:after="0" w:line="240" w:lineRule="auto"/>
              <w:jc w:val="left"/>
            </w:pPr>
            <w:r/>
            <w:r>
              <w:rPr>
                <w:rFonts w:ascii="Calibri" w:hAnsi="Calibri"/>
                <w:b w:val="0"/>
                <w:color w:val="1A1A1A"/>
                <w:sz w:val="17"/>
              </w:rPr>
              <w:t>5.9%</w:t>
            </w:r>
          </w:p>
        </w:tc>
        <w:tc>
          <w:tcPr>
            <w:tcW w:type="dxa" w:w="1700"/>
          </w:tcPr>
          <w:p>
            <w:pPr>
              <w:spacing w:before="0" w:after="0" w:line="240" w:lineRule="auto"/>
              <w:jc w:val="left"/>
            </w:pPr>
            <w:r/>
            <w:r>
              <w:rPr>
                <w:rFonts w:ascii="Calibri" w:hAnsi="Calibri"/>
                <w:b w:val="0"/>
                <w:color w:val="1A1A1A"/>
                <w:sz w:val="17"/>
              </w:rPr>
              <w:t>20.6%</w:t>
            </w:r>
          </w:p>
        </w:tc>
        <w:tc>
          <w:tcPr>
            <w:tcW w:type="dxa" w:w="2860"/>
          </w:tcPr>
          <w:p>
            <w:pPr>
              <w:spacing w:before="0" w:after="0" w:line="240" w:lineRule="auto"/>
              <w:jc w:val="left"/>
            </w:pPr>
            <w:r/>
            <w:r>
              <w:rPr>
                <w:rFonts w:ascii="Calibri" w:hAnsi="Calibri"/>
                <w:b w:val="0"/>
                <w:color w:val="1A1A1A"/>
                <w:sz w:val="17"/>
              </w:rPr>
              <w:t>No</w:t>
            </w:r>
          </w:p>
        </w:tc>
      </w:tr>
      <w:tr>
        <w:tc>
          <w:tcPr>
            <w:tcW w:type="dxa" w:w="2300"/>
          </w:tcPr>
          <w:p>
            <w:pPr>
              <w:spacing w:before="0" w:after="0" w:line="240" w:lineRule="auto"/>
              <w:jc w:val="left"/>
            </w:pPr>
            <w:r/>
            <w:r>
              <w:rPr>
                <w:rFonts w:ascii="Calibri" w:hAnsi="Calibri"/>
                <w:b w:val="0"/>
                <w:color w:val="1A1A1A"/>
                <w:sz w:val="17"/>
              </w:rPr>
              <w:t>Minneapolis–St. Paul</w:t>
            </w:r>
          </w:p>
        </w:tc>
        <w:tc>
          <w:tcPr>
            <w:tcW w:type="dxa" w:w="2500"/>
          </w:tcPr>
          <w:p>
            <w:pPr>
              <w:spacing w:before="0" w:after="0" w:line="240" w:lineRule="auto"/>
              <w:jc w:val="left"/>
            </w:pPr>
            <w:r/>
            <w:r>
              <w:rPr>
                <w:rFonts w:ascii="Calibri" w:hAnsi="Calibri"/>
                <w:b w:val="0"/>
                <w:color w:val="1A1A1A"/>
                <w:sz w:val="17"/>
              </w:rPr>
              <w:t>13.7%</w:t>
            </w:r>
          </w:p>
        </w:tc>
        <w:tc>
          <w:tcPr>
            <w:tcW w:type="dxa" w:w="1700"/>
          </w:tcPr>
          <w:p>
            <w:pPr>
              <w:spacing w:before="0" w:after="0" w:line="240" w:lineRule="auto"/>
              <w:jc w:val="left"/>
            </w:pPr>
            <w:r/>
            <w:r>
              <w:rPr>
                <w:rFonts w:ascii="Calibri" w:hAnsi="Calibri"/>
                <w:b w:val="0"/>
                <w:color w:val="1A1A1A"/>
                <w:sz w:val="17"/>
              </w:rPr>
              <w:t>7.2%</w:t>
            </w:r>
          </w:p>
        </w:tc>
        <w:tc>
          <w:tcPr>
            <w:tcW w:type="dxa" w:w="2860"/>
          </w:tcPr>
          <w:p>
            <w:pPr>
              <w:spacing w:before="0" w:after="0" w:line="240" w:lineRule="auto"/>
              <w:jc w:val="left"/>
            </w:pPr>
            <w:r/>
            <w:r>
              <w:rPr>
                <w:rFonts w:ascii="Calibri" w:hAnsi="Calibri"/>
                <w:b w:val="0"/>
                <w:color w:val="1A1A1A"/>
                <w:sz w:val="17"/>
              </w:rPr>
              <w:t>No</w:t>
            </w:r>
          </w:p>
        </w:tc>
      </w:tr>
      <w:tr>
        <w:tc>
          <w:tcPr>
            <w:tcW w:type="dxa" w:w="2300"/>
          </w:tcPr>
          <w:p>
            <w:pPr>
              <w:spacing w:before="0" w:after="0" w:line="240" w:lineRule="auto"/>
              <w:jc w:val="left"/>
            </w:pPr>
            <w:r/>
            <w:r>
              <w:rPr>
                <w:rFonts w:ascii="Calibri" w:hAnsi="Calibri"/>
                <w:b w:val="0"/>
                <w:color w:val="1A1A1A"/>
                <w:sz w:val="17"/>
              </w:rPr>
              <w:t>Phoenix</w:t>
            </w:r>
          </w:p>
        </w:tc>
        <w:tc>
          <w:tcPr>
            <w:tcW w:type="dxa" w:w="2500"/>
          </w:tcPr>
          <w:p>
            <w:pPr>
              <w:spacing w:before="0" w:after="0" w:line="240" w:lineRule="auto"/>
              <w:jc w:val="left"/>
            </w:pPr>
            <w:r/>
            <w:r>
              <w:rPr>
                <w:rFonts w:ascii="Calibri" w:hAnsi="Calibri"/>
                <w:b w:val="0"/>
                <w:color w:val="1A1A1A"/>
                <w:sz w:val="17"/>
              </w:rPr>
              <w:t>6.2%</w:t>
            </w:r>
          </w:p>
        </w:tc>
        <w:tc>
          <w:tcPr>
            <w:tcW w:type="dxa" w:w="1700"/>
          </w:tcPr>
          <w:p>
            <w:pPr>
              <w:spacing w:before="0" w:after="0" w:line="240" w:lineRule="auto"/>
              <w:jc w:val="left"/>
            </w:pPr>
            <w:r/>
            <w:r>
              <w:rPr>
                <w:rFonts w:ascii="Calibri" w:hAnsi="Calibri"/>
                <w:b w:val="0"/>
                <w:color w:val="1A1A1A"/>
                <w:sz w:val="17"/>
              </w:rPr>
              <w:t>8.2%</w:t>
            </w:r>
          </w:p>
        </w:tc>
        <w:tc>
          <w:tcPr>
            <w:tcW w:type="dxa" w:w="2860"/>
          </w:tcPr>
          <w:p>
            <w:pPr>
              <w:spacing w:before="0" w:after="0" w:line="240" w:lineRule="auto"/>
              <w:jc w:val="left"/>
            </w:pPr>
            <w:r/>
            <w:r>
              <w:rPr>
                <w:rFonts w:ascii="Calibri" w:hAnsi="Calibri"/>
                <w:b w:val="0"/>
                <w:color w:val="1A1A1A"/>
                <w:sz w:val="17"/>
              </w:rPr>
              <w:t>Yes</w:t>
            </w:r>
          </w:p>
        </w:tc>
      </w:tr>
    </w:tbl>
    <w:p>
      <w:pPr>
        <w:spacing w:after="0"/>
      </w:pPr>
    </w:p>
    <w:p>
      <w:pPr>
        <w:keepLines/>
        <w:spacing w:before="60" w:after="80"/>
        <w:jc w:val="center"/>
      </w:pPr>
      <w:r>
        <w:drawing>
          <wp:inline xmlns:a="http://schemas.openxmlformats.org/drawingml/2006/main" xmlns:pic="http://schemas.openxmlformats.org/drawingml/2006/picture">
            <wp:extent cx="5212080" cy="2918765"/>
            <wp:docPr id="3" name="Picture 3"/>
            <wp:cNvGraphicFramePr>
              <a:graphicFrameLocks noChangeAspect="1"/>
            </wp:cNvGraphicFramePr>
            <a:graphic>
              <a:graphicData uri="http://schemas.openxmlformats.org/drawingml/2006/picture">
                <pic:pic>
                  <pic:nvPicPr>
                    <pic:cNvPr id="0" name="F1.4_joint_60d.png"/>
                    <pic:cNvPicPr/>
                  </pic:nvPicPr>
                  <pic:blipFill>
                    <a:blip r:embed="rId13"/>
                    <a:stretch>
                      <a:fillRect/>
                    </a:stretch>
                  </pic:blipFill>
                  <pic:spPr>
                    <a:xfrm>
                      <a:off x="0" y="0"/>
                      <a:ext cx="5212080" cy="2918765"/>
                    </a:xfrm>
                    <a:prstGeom prst="rect"/>
                  </pic:spPr>
                </pic:pic>
              </a:graphicData>
            </a:graphic>
          </wp:inline>
        </w:drawing>
      </w:r>
    </w:p>
    <w:p>
      <w:pPr>
        <w:keepLines/>
        <w:spacing w:before="0" w:after="80"/>
      </w:pPr>
      <w:r>
        <w:rPr>
          <w:rFonts w:ascii="Calibri" w:hAnsi="Calibri"/>
          <w:b/>
          <w:color w:val="1F4D78"/>
          <w:sz w:val="18"/>
        </w:rPr>
        <w:t xml:space="preserve">Figure 3 (F1.4). </w:t>
      </w:r>
      <w:r>
        <w:rPr>
          <w:rFonts w:ascii="Calibri" w:hAnsi="Calibri"/>
          <w:color w:val="1A1A1A"/>
          <w:sz w:val="18"/>
        </w:rPr>
        <w:t>Sixty-day sensitivity version of the five-city joint-support figure. Its differences from the 30-day screen are carried forward as a design sensitivity rather than resolved by selecting a preferred window.</w:t>
      </w:r>
    </w:p>
    <w:p>
      <w:pPr>
        <w:keepLines/>
        <w:spacing w:before="0" w:after="160"/>
      </w:pPr>
      <w:r>
        <w:rPr>
          <w:rFonts w:ascii="Calibri" w:hAnsi="Calibri"/>
          <w:i/>
          <w:color w:val="5B6573"/>
          <w:sz w:val="16"/>
        </w:rPr>
        <w:t>Evidence status: Canonical empirical meteorological sensitivity; no thermal outcome. Source: data/processed/v2/task1/step1/figures/F1.4_joint_60d.png</w:t>
      </w:r>
    </w:p>
    <w:p>
      <w:pPr>
        <w:pStyle w:val="Heading2"/>
        <w:keepNext/>
      </w:pPr>
      <w:r>
        <w:t>Quality checks and documented limitation</w:t>
      </w:r>
    </w:p>
    <w:p>
      <w:pPr>
        <w:pStyle w:val="ListBullet"/>
        <w:spacing w:after="160" w:line="280" w:lineRule="auto"/>
        <w:ind w:left="720" w:hanging="360"/>
      </w:pPr>
      <w:r>
        <w:rPr>
          <w:rFonts w:ascii="Calibri" w:hAnsi="Calibri"/>
          <w:color w:val="1A1A1A"/>
          <w:sz w:val="22"/>
        </w:rPr>
        <w:t>Step 1 contains 4,880 unique city-date rows: 976 summer days for each of five cities across eight summers.</w:t>
      </w:r>
    </w:p>
    <w:p>
      <w:pPr>
        <w:pStyle w:val="ListBullet"/>
        <w:spacing w:after="160" w:line="280" w:lineRule="auto"/>
        <w:ind w:left="720" w:hanging="360"/>
      </w:pPr>
      <w:r>
        <w:rPr>
          <w:rFonts w:ascii="Calibri" w:hAnsi="Calibri"/>
          <w:color w:val="1A1A1A"/>
          <w:sz w:val="22"/>
        </w:rPr>
        <w:t>Unit, percentile, cell-count, bootstrap, permutation, figure, and geometry-validity checks were completed; the repair changed no clear-day, cell, corner, or gate result.</w:t>
      </w:r>
    </w:p>
    <w:p>
      <w:pPr>
        <w:pStyle w:val="ListBullet"/>
        <w:spacing w:after="160" w:line="280" w:lineRule="auto"/>
        <w:ind w:left="720" w:hanging="360"/>
      </w:pPr>
      <w:r>
        <w:rPr>
          <w:rFonts w:ascii="Calibri" w:hAnsi="Calibri"/>
          <w:color w:val="1A1A1A"/>
          <w:sz w:val="22"/>
        </w:rPr>
        <w:t>The analysis used 2,000 whole-summer bootstrap draws and 2,000 permutations with seed 20260801.</w:t>
      </w:r>
    </w:p>
    <w:p>
      <w:pPr>
        <w:pStyle w:val="ListBullet"/>
        <w:spacing w:after="160" w:line="280" w:lineRule="auto"/>
        <w:ind w:left="720" w:hanging="360"/>
      </w:pPr>
      <w:r>
        <w:rPr>
          <w:rFonts w:ascii="Calibri" w:hAnsi="Calibri"/>
          <w:color w:val="1A1A1A"/>
          <w:sz w:val="22"/>
        </w:rPr>
        <w:t>Phoenix’s 30-day balance was negative in June in all 8 summers, but July’s median rose above June’s in only 3 of 8. The sign check passed; the stricter annual monsoon-rise diagnostic did not.</w:t>
      </w:r>
    </w:p>
    <w:p>
      <w:pPr>
        <w:pageBreakBefore/>
        <w:spacing w:before="0" w:after="0"/>
      </w:pPr>
    </w:p>
    <w:p>
      <w:pPr>
        <w:spacing w:before="0" w:after="100"/>
      </w:pPr>
      <w:r>
        <w:rPr>
          <w:rFonts w:ascii="Calibri" w:hAnsi="Calibri"/>
          <w:b/>
          <w:smallCaps/>
          <w:color w:val="2E74B5"/>
          <w:sz w:val="18"/>
        </w:rPr>
        <w:t>EMPIRICAL BUT INCOMPLETE</w:t>
      </w:r>
    </w:p>
    <w:p>
      <w:pPr>
        <w:pStyle w:val="Heading1"/>
        <w:keepNext/>
      </w:pPr>
      <w:r>
        <w:t>4. Step 2 — satellite catalogue, quality screening, and geometry remediation</w:t>
      </w:r>
    </w:p>
    <w:p>
      <w:pPr>
        <w:keepLines w:val="0"/>
        <w:spacing w:after="120" w:line="264" w:lineRule="auto"/>
      </w:pPr>
      <w:r>
        <w:rPr>
          <w:rFonts w:ascii="Calibri" w:hAnsi="Calibri"/>
          <w:color w:val="1A1A1A"/>
          <w:sz w:val="22"/>
        </w:rPr>
        <w:t>Step 2 was intended to replace the daily weather screen with the actual conditions sampled by usable ECOSTRESS passes. Substantial real-data work was completed, but the definitive usable-pass total does not exist because the cloud-independent geometry audit was stopped before completion.</w:t>
      </w:r>
    </w:p>
    <w:p>
      <w:pPr>
        <w:pStyle w:val="Heading2"/>
        <w:keepNext/>
      </w:pPr>
      <w:r>
        <w:t>Catalogue results</w:t>
      </w:r>
    </w:p>
    <w:tbl>
      <w:tblPr>
        <w:tblStyle w:val="TableGrid"/>
        <w:tblW w:type="dxa" w:w="9360"/>
        <w:jc w:val="center"/>
        <w:tblLayout w:type="fixed"/>
        <w:tblLook w:firstColumn="1" w:firstRow="1" w:lastColumn="0" w:lastRow="0" w:noHBand="0" w:noVBand="1" w:val="04A0"/>
        <w:tblInd w:w="120" w:type="dxa"/>
      </w:tblPr>
      <w:tblGrid>
        <w:gridCol w:w="6200"/>
        <w:gridCol w:w="3160"/>
      </w:tblGrid>
      <w:tr>
        <w:trPr>
          <w:tblHeader w:val="true"/>
        </w:trPr>
        <w:tc>
          <w:tcPr>
            <w:tcW w:type="dxa" w:w="62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8"/>
              </w:rPr>
              <w:t>City</w:t>
            </w:r>
          </w:p>
        </w:tc>
        <w:tc>
          <w:tcPr>
            <w:tcW w:type="dxa" w:w="31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8"/>
              </w:rPr>
              <w:t>Daytime catalogue-ceiling passes</w:t>
            </w:r>
          </w:p>
        </w:tc>
      </w:tr>
      <w:tr>
        <w:tc>
          <w:tcPr>
            <w:tcW w:type="dxa" w:w="6200"/>
          </w:tcPr>
          <w:p>
            <w:pPr>
              <w:spacing w:before="0" w:after="0" w:line="240" w:lineRule="auto"/>
              <w:jc w:val="left"/>
            </w:pPr>
            <w:r/>
            <w:r>
              <w:rPr>
                <w:rFonts w:ascii="Calibri" w:hAnsi="Calibri"/>
                <w:b w:val="0"/>
                <w:color w:val="1A1A1A"/>
                <w:sz w:val="18"/>
              </w:rPr>
              <w:t>Atlanta</w:t>
            </w:r>
          </w:p>
        </w:tc>
        <w:tc>
          <w:tcPr>
            <w:tcW w:type="dxa" w:w="3160"/>
          </w:tcPr>
          <w:p>
            <w:pPr>
              <w:spacing w:before="0" w:after="0" w:line="240" w:lineRule="auto"/>
              <w:jc w:val="left"/>
            </w:pPr>
            <w:r/>
            <w:r>
              <w:rPr>
                <w:rFonts w:ascii="Calibri" w:hAnsi="Calibri"/>
                <w:b w:val="0"/>
                <w:color w:val="1A1A1A"/>
                <w:sz w:val="18"/>
              </w:rPr>
              <w:t>213</w:t>
            </w:r>
          </w:p>
        </w:tc>
      </w:tr>
      <w:tr>
        <w:tc>
          <w:tcPr>
            <w:tcW w:type="dxa" w:w="6200"/>
          </w:tcPr>
          <w:p>
            <w:pPr>
              <w:spacing w:before="0" w:after="0" w:line="240" w:lineRule="auto"/>
              <w:jc w:val="left"/>
            </w:pPr>
            <w:r/>
            <w:r>
              <w:rPr>
                <w:rFonts w:ascii="Calibri" w:hAnsi="Calibri"/>
                <w:b w:val="0"/>
                <w:color w:val="1A1A1A"/>
                <w:sz w:val="18"/>
              </w:rPr>
              <w:t>Los Angeles</w:t>
            </w:r>
          </w:p>
        </w:tc>
        <w:tc>
          <w:tcPr>
            <w:tcW w:type="dxa" w:w="3160"/>
          </w:tcPr>
          <w:p>
            <w:pPr>
              <w:spacing w:before="0" w:after="0" w:line="240" w:lineRule="auto"/>
              <w:jc w:val="left"/>
            </w:pPr>
            <w:r/>
            <w:r>
              <w:rPr>
                <w:rFonts w:ascii="Calibri" w:hAnsi="Calibri"/>
                <w:b w:val="0"/>
                <w:color w:val="1A1A1A"/>
                <w:sz w:val="18"/>
              </w:rPr>
              <w:t>212</w:t>
            </w:r>
          </w:p>
        </w:tc>
      </w:tr>
      <w:tr>
        <w:tc>
          <w:tcPr>
            <w:tcW w:type="dxa" w:w="6200"/>
          </w:tcPr>
          <w:p>
            <w:pPr>
              <w:spacing w:before="0" w:after="0" w:line="240" w:lineRule="auto"/>
              <w:jc w:val="left"/>
            </w:pPr>
            <w:r/>
            <w:r>
              <w:rPr>
                <w:rFonts w:ascii="Calibri" w:hAnsi="Calibri"/>
                <w:b w:val="0"/>
                <w:color w:val="1A1A1A"/>
                <w:sz w:val="18"/>
              </w:rPr>
              <w:t>Miami</w:t>
            </w:r>
          </w:p>
        </w:tc>
        <w:tc>
          <w:tcPr>
            <w:tcW w:type="dxa" w:w="3160"/>
          </w:tcPr>
          <w:p>
            <w:pPr>
              <w:spacing w:before="0" w:after="0" w:line="240" w:lineRule="auto"/>
              <w:jc w:val="left"/>
            </w:pPr>
            <w:r/>
            <w:r>
              <w:rPr>
                <w:rFonts w:ascii="Calibri" w:hAnsi="Calibri"/>
                <w:b w:val="0"/>
                <w:color w:val="1A1A1A"/>
                <w:sz w:val="18"/>
              </w:rPr>
              <w:t>120</w:t>
            </w:r>
          </w:p>
        </w:tc>
      </w:tr>
      <w:tr>
        <w:tc>
          <w:tcPr>
            <w:tcW w:type="dxa" w:w="6200"/>
          </w:tcPr>
          <w:p>
            <w:pPr>
              <w:spacing w:before="0" w:after="0" w:line="240" w:lineRule="auto"/>
              <w:jc w:val="left"/>
            </w:pPr>
            <w:r/>
            <w:r>
              <w:rPr>
                <w:rFonts w:ascii="Calibri" w:hAnsi="Calibri"/>
                <w:b w:val="0"/>
                <w:color w:val="1A1A1A"/>
                <w:sz w:val="18"/>
              </w:rPr>
              <w:t>Minneapolis–St. Paul</w:t>
            </w:r>
          </w:p>
        </w:tc>
        <w:tc>
          <w:tcPr>
            <w:tcW w:type="dxa" w:w="3160"/>
          </w:tcPr>
          <w:p>
            <w:pPr>
              <w:spacing w:before="0" w:after="0" w:line="240" w:lineRule="auto"/>
              <w:jc w:val="left"/>
            </w:pPr>
            <w:r/>
            <w:r>
              <w:rPr>
                <w:rFonts w:ascii="Calibri" w:hAnsi="Calibri"/>
                <w:b w:val="0"/>
                <w:color w:val="1A1A1A"/>
                <w:sz w:val="18"/>
              </w:rPr>
              <w:t>298</w:t>
            </w:r>
          </w:p>
        </w:tc>
      </w:tr>
      <w:tr>
        <w:tc>
          <w:tcPr>
            <w:tcW w:type="dxa" w:w="6200"/>
          </w:tcPr>
          <w:p>
            <w:pPr>
              <w:spacing w:before="0" w:after="0" w:line="240" w:lineRule="auto"/>
              <w:jc w:val="left"/>
            </w:pPr>
            <w:r/>
            <w:r>
              <w:rPr>
                <w:rFonts w:ascii="Calibri" w:hAnsi="Calibri"/>
                <w:b w:val="0"/>
                <w:color w:val="1A1A1A"/>
                <w:sz w:val="18"/>
              </w:rPr>
              <w:t>Phoenix</w:t>
            </w:r>
          </w:p>
        </w:tc>
        <w:tc>
          <w:tcPr>
            <w:tcW w:type="dxa" w:w="3160"/>
          </w:tcPr>
          <w:p>
            <w:pPr>
              <w:spacing w:before="0" w:after="0" w:line="240" w:lineRule="auto"/>
              <w:jc w:val="left"/>
            </w:pPr>
            <w:r/>
            <w:r>
              <w:rPr>
                <w:rFonts w:ascii="Calibri" w:hAnsi="Calibri"/>
                <w:b w:val="0"/>
                <w:color w:val="1A1A1A"/>
                <w:sz w:val="18"/>
              </w:rPr>
              <w:t>212</w:t>
            </w:r>
          </w:p>
        </w:tc>
      </w:tr>
      <w:tr>
        <w:tc>
          <w:tcPr>
            <w:tcW w:type="dxa" w:w="6200"/>
          </w:tcPr>
          <w:p>
            <w:pPr>
              <w:spacing w:before="0" w:after="0" w:line="240" w:lineRule="auto"/>
              <w:jc w:val="left"/>
            </w:pPr>
            <w:r/>
            <w:r>
              <w:rPr>
                <w:rFonts w:ascii="Calibri" w:hAnsi="Calibri"/>
                <w:b w:val="0"/>
                <w:color w:val="1A1A1A"/>
                <w:sz w:val="18"/>
              </w:rPr>
              <w:t>Total</w:t>
            </w:r>
          </w:p>
        </w:tc>
        <w:tc>
          <w:tcPr>
            <w:tcW w:type="dxa" w:w="3160"/>
          </w:tcPr>
          <w:p>
            <w:pPr>
              <w:spacing w:before="0" w:after="0" w:line="240" w:lineRule="auto"/>
              <w:jc w:val="left"/>
            </w:pPr>
            <w:r/>
            <w:r>
              <w:rPr>
                <w:rFonts w:ascii="Calibri" w:hAnsi="Calibri"/>
                <w:b w:val="0"/>
                <w:color w:val="1A1A1A"/>
                <w:sz w:val="18"/>
              </w:rPr>
              <w:t>1,055</w:t>
            </w:r>
          </w:p>
        </w:tc>
      </w:tr>
    </w:tbl>
    <w:p>
      <w:pPr>
        <w:spacing w:after="0"/>
      </w:pPr>
    </w:p>
    <w:p>
      <w:pPr>
        <w:keepLines w:val="0"/>
        <w:spacing w:after="120" w:line="264" w:lineRule="auto"/>
      </w:pPr>
      <w:r>
        <w:rPr>
          <w:rFonts w:ascii="Calibri" w:hAnsi="Calibri"/>
          <w:color w:val="1A1A1A"/>
          <w:sz w:val="22"/>
        </w:rPr>
        <w:t>The live search returned 13,577 tiled granules. Provenance-preserving deduplication reduced these to 2,968 physical city-orbit passes, of which 1,055 fell between 10:00 and 18:00 local solar time. These counts precede definitive geometry, cloud, and pixel-quality screening.</w:t>
      </w:r>
    </w:p>
    <w:p>
      <w:pPr>
        <w:keepLines/>
        <w:spacing w:before="60" w:after="80"/>
        <w:jc w:val="center"/>
      </w:pPr>
      <w:r>
        <w:drawing>
          <wp:inline xmlns:a="http://schemas.openxmlformats.org/drawingml/2006/main" xmlns:pic="http://schemas.openxmlformats.org/drawingml/2006/picture">
            <wp:extent cx="5806440" cy="1687342"/>
            <wp:docPr id="4" name="Picture 4"/>
            <wp:cNvGraphicFramePr>
              <a:graphicFrameLocks noChangeAspect="1"/>
            </wp:cNvGraphicFramePr>
            <a:graphic>
              <a:graphicData uri="http://schemas.openxmlformats.org/drawingml/2006/picture">
                <pic:pic>
                  <pic:nvPicPr>
                    <pic:cNvPr id="0" name="F2.2_daytime_catalogue_ceiling_heatmaps.png"/>
                    <pic:cNvPicPr/>
                  </pic:nvPicPr>
                  <pic:blipFill>
                    <a:blip r:embed="rId14"/>
                    <a:stretch>
                      <a:fillRect/>
                    </a:stretch>
                  </pic:blipFill>
                  <pic:spPr>
                    <a:xfrm>
                      <a:off x="0" y="0"/>
                      <a:ext cx="5806440" cy="1687342"/>
                    </a:xfrm>
                    <a:prstGeom prst="rect"/>
                  </pic:spPr>
                </pic:pic>
              </a:graphicData>
            </a:graphic>
          </wp:inline>
        </w:drawing>
      </w:r>
    </w:p>
    <w:p>
      <w:pPr>
        <w:keepLines/>
        <w:spacing w:before="0" w:after="80"/>
      </w:pPr>
      <w:r>
        <w:rPr>
          <w:rFonts w:ascii="Calibri" w:hAnsi="Calibri"/>
          <w:b/>
          <w:color w:val="1F4D78"/>
          <w:sz w:val="18"/>
        </w:rPr>
        <w:t xml:space="preserve">Figure 4 (partial F2.2). </w:t>
      </w:r>
      <w:r>
        <w:rPr>
          <w:rFonts w:ascii="Calibri" w:hAnsi="Calibri"/>
          <w:color w:val="1A1A1A"/>
          <w:sz w:val="18"/>
        </w:rPr>
        <w:t>Daytime catalogue ceiling by city, year, and local-solar-time stratum. Minneapolis–St. Paul has the largest upper bound and Miami the smallest. The counts are not usable passes.</w:t>
      </w:r>
    </w:p>
    <w:p>
      <w:pPr>
        <w:keepLines/>
        <w:spacing w:before="0" w:after="160"/>
      </w:pPr>
      <w:r>
        <w:rPr>
          <w:rFonts w:ascii="Calibri" w:hAnsi="Calibri"/>
          <w:i/>
          <w:color w:val="5B6573"/>
          <w:sz w:val="16"/>
        </w:rPr>
        <w:t>Evidence status: Empirical nonthermal catalogue metadata; partial and gate-ineligible. Source: data/processed/v2/task1/step2_catalogue_audit/figures/F2.2_daytime_catalogue_ceiling_heatmaps.png</w:t>
      </w:r>
    </w:p>
    <w:p>
      <w:pPr>
        <w:pageBreakBefore/>
        <w:spacing w:before="0" w:after="0"/>
      </w:pPr>
    </w:p>
    <w:p>
      <w:pPr>
        <w:spacing w:before="0" w:after="100"/>
      </w:pPr>
      <w:r>
        <w:rPr>
          <w:rFonts w:ascii="Calibri" w:hAnsi="Calibri"/>
          <w:b/>
          <w:smallCaps/>
          <w:color w:val="2E74B5"/>
          <w:sz w:val="18"/>
        </w:rPr>
        <w:t>STEP 2 REMEDIATION RECORD</w:t>
      </w:r>
    </w:p>
    <w:p>
      <w:pPr>
        <w:pStyle w:val="Heading1"/>
        <w:keepNext/>
      </w:pPr>
      <w:r>
        <w:t>Why the first quality count was rejected</w:t>
      </w:r>
    </w:p>
    <w:p>
      <w:pPr>
        <w:keepLines w:val="0"/>
        <w:spacing w:after="120" w:line="264" w:lineRule="auto"/>
      </w:pPr>
      <w:r>
        <w:rPr>
          <w:rFonts w:ascii="Calibri" w:hAnsi="Calibri"/>
          <w:color w:val="1A1A1A"/>
          <w:sz w:val="22"/>
        </w:rPr>
        <w:t>An initial tiled-product screen left 107 nominal pre-cloud candidates. The exhaustive audit then found that tiled view angle was not cloud independent: across 127 cloud-bearing layer pairs, all 400,414 cloudy pixels had invalid tiled view_zenith values. The earlier 95% view-coverage rule therefore partly measured retrieval availability rather than physical geometry. The provisional expected total of 106.4273 pass-equivalents (floor 106) was retained only as failed diagnostic evidence and was not used as a certified count.</w:t>
      </w:r>
    </w:p>
    <w:p>
      <w:pPr>
        <w:pStyle w:val="Heading2"/>
        <w:keepNext/>
      </w:pPr>
      <w:r>
        <w:t>Cloud-independent L1B GEO remediation</w:t>
      </w:r>
    </w:p>
    <w:tbl>
      <w:tblPr>
        <w:tblStyle w:val="TableGrid"/>
        <w:tblW w:type="dxa" w:w="9360"/>
        <w:jc w:val="center"/>
        <w:tblLayout w:type="fixed"/>
        <w:tblLook w:firstColumn="1" w:firstRow="1" w:lastColumn="0" w:lastRow="0" w:noHBand="0" w:noVBand="1" w:val="04A0"/>
        <w:tblInd w:w="120" w:type="dxa"/>
      </w:tblPr>
      <w:tblGrid>
        <w:gridCol w:w="2600"/>
        <w:gridCol w:w="1600"/>
        <w:gridCol w:w="5160"/>
      </w:tblGrid>
      <w:tr>
        <w:trPr>
          <w:tblHeader w:val="true"/>
        </w:trPr>
        <w:tc>
          <w:tcPr>
            <w:tcW w:type="dxa" w:w="26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Checkpoint fact</w:t>
            </w:r>
          </w:p>
        </w:tc>
        <w:tc>
          <w:tcPr>
            <w:tcW w:type="dxa" w:w="16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Verified value</w:t>
            </w:r>
          </w:p>
        </w:tc>
        <w:tc>
          <w:tcPr>
            <w:tcW w:type="dxa" w:w="51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Interpretation</w:t>
            </w:r>
          </w:p>
        </w:tc>
      </w:tr>
      <w:tr>
        <w:tc>
          <w:tcPr>
            <w:tcW w:type="dxa" w:w="2600"/>
          </w:tcPr>
          <w:p>
            <w:pPr>
              <w:spacing w:before="0" w:after="0" w:line="240" w:lineRule="auto"/>
              <w:jc w:val="left"/>
            </w:pPr>
            <w:r/>
            <w:r>
              <w:rPr>
                <w:rFonts w:ascii="Calibri" w:hAnsi="Calibri"/>
                <w:b w:val="0"/>
                <w:color w:val="1A1A1A"/>
                <w:sz w:val="17"/>
              </w:rPr>
              <w:t>Original metadata candidates</w:t>
            </w:r>
          </w:p>
        </w:tc>
        <w:tc>
          <w:tcPr>
            <w:tcW w:type="dxa" w:w="1600"/>
          </w:tcPr>
          <w:p>
            <w:pPr>
              <w:spacing w:before="0" w:after="0" w:line="240" w:lineRule="auto"/>
              <w:jc w:val="left"/>
            </w:pPr>
            <w:r/>
            <w:r>
              <w:rPr>
                <w:rFonts w:ascii="Calibri" w:hAnsi="Calibri"/>
                <w:b w:val="0"/>
                <w:color w:val="1A1A1A"/>
                <w:sz w:val="17"/>
              </w:rPr>
              <w:t>942</w:t>
            </w:r>
          </w:p>
        </w:tc>
        <w:tc>
          <w:tcPr>
            <w:tcW w:type="dxa" w:w="5160"/>
          </w:tcPr>
          <w:p>
            <w:pPr>
              <w:spacing w:before="0" w:after="0" w:line="240" w:lineRule="auto"/>
              <w:jc w:val="left"/>
            </w:pPr>
            <w:r/>
            <w:r>
              <w:rPr>
                <w:rFonts w:ascii="Calibri" w:hAnsi="Calibri"/>
                <w:b w:val="0"/>
                <w:color w:val="1A1A1A"/>
                <w:sz w:val="17"/>
              </w:rPr>
              <w:t>Required cloud-independent geometry census under the original rule.</w:t>
            </w:r>
          </w:p>
        </w:tc>
      </w:tr>
      <w:tr>
        <w:tc>
          <w:tcPr>
            <w:tcW w:type="dxa" w:w="2600"/>
          </w:tcPr>
          <w:p>
            <w:pPr>
              <w:spacing w:before="0" w:after="0" w:line="240" w:lineRule="auto"/>
              <w:jc w:val="left"/>
            </w:pPr>
            <w:r/>
            <w:r>
              <w:rPr>
                <w:rFonts w:ascii="Calibri" w:hAnsi="Calibri"/>
                <w:b w:val="0"/>
                <w:color w:val="1A1A1A"/>
                <w:sz w:val="17"/>
              </w:rPr>
              <w:t>Exact GEO scene identities</w:t>
            </w:r>
          </w:p>
        </w:tc>
        <w:tc>
          <w:tcPr>
            <w:tcW w:type="dxa" w:w="1600"/>
          </w:tcPr>
          <w:p>
            <w:pPr>
              <w:spacing w:before="0" w:after="0" w:line="240" w:lineRule="auto"/>
              <w:jc w:val="left"/>
            </w:pPr>
            <w:r/>
            <w:r>
              <w:rPr>
                <w:rFonts w:ascii="Calibri" w:hAnsi="Calibri"/>
                <w:b w:val="0"/>
                <w:color w:val="1A1A1A"/>
                <w:sz w:val="17"/>
              </w:rPr>
              <w:t>1,370</w:t>
            </w:r>
          </w:p>
        </w:tc>
        <w:tc>
          <w:tcPr>
            <w:tcW w:type="dxa" w:w="5160"/>
          </w:tcPr>
          <w:p>
            <w:pPr>
              <w:spacing w:before="0" w:after="0" w:line="240" w:lineRule="auto"/>
              <w:jc w:val="left"/>
            </w:pPr>
            <w:r/>
            <w:r>
              <w:rPr>
                <w:rFonts w:ascii="Calibri" w:hAnsi="Calibri"/>
                <w:b w:val="0"/>
                <w:color w:val="1A1A1A"/>
                <w:sz w:val="17"/>
              </w:rPr>
              <w:t>Mission-exact orbit/scene identities resolved from frozen provenance.</w:t>
            </w:r>
          </w:p>
        </w:tc>
      </w:tr>
      <w:tr>
        <w:tc>
          <w:tcPr>
            <w:tcW w:type="dxa" w:w="2600"/>
          </w:tcPr>
          <w:p>
            <w:pPr>
              <w:spacing w:before="0" w:after="0" w:line="240" w:lineRule="auto"/>
              <w:jc w:val="left"/>
            </w:pPr>
            <w:r/>
            <w:r>
              <w:rPr>
                <w:rFonts w:ascii="Calibri" w:hAnsi="Calibri"/>
                <w:b w:val="0"/>
                <w:color w:val="1A1A1A"/>
                <w:sz w:val="17"/>
              </w:rPr>
              <w:t>Available / unavailable exact scenes</w:t>
            </w:r>
          </w:p>
        </w:tc>
        <w:tc>
          <w:tcPr>
            <w:tcW w:type="dxa" w:w="1600"/>
          </w:tcPr>
          <w:p>
            <w:pPr>
              <w:spacing w:before="0" w:after="0" w:line="240" w:lineRule="auto"/>
              <w:jc w:val="left"/>
            </w:pPr>
            <w:r/>
            <w:r>
              <w:rPr>
                <w:rFonts w:ascii="Calibri" w:hAnsi="Calibri"/>
                <w:b w:val="0"/>
                <w:color w:val="1A1A1A"/>
                <w:sz w:val="17"/>
              </w:rPr>
              <w:t>1,329 / 41</w:t>
            </w:r>
          </w:p>
        </w:tc>
        <w:tc>
          <w:tcPr>
            <w:tcW w:type="dxa" w:w="5160"/>
          </w:tcPr>
          <w:p>
            <w:pPr>
              <w:spacing w:before="0" w:after="0" w:line="240" w:lineRule="auto"/>
              <w:jc w:val="left"/>
            </w:pPr>
            <w:r/>
            <w:r>
              <w:rPr>
                <w:rFonts w:ascii="Calibri" w:hAnsi="Calibri"/>
                <w:b w:val="0"/>
                <w:color w:val="1A1A1A"/>
                <w:sz w:val="17"/>
              </w:rPr>
              <w:t>Forty-one official objects repeatedly returned 404 while controls succeeded.</w:t>
            </w:r>
          </w:p>
        </w:tc>
      </w:tr>
      <w:tr>
        <w:tc>
          <w:tcPr>
            <w:tcW w:type="dxa" w:w="2600"/>
          </w:tcPr>
          <w:p>
            <w:pPr>
              <w:spacing w:before="0" w:after="0" w:line="240" w:lineRule="auto"/>
              <w:jc w:val="left"/>
            </w:pPr>
            <w:r/>
            <w:r>
              <w:rPr>
                <w:rFonts w:ascii="Calibri" w:hAnsi="Calibri"/>
                <w:b w:val="0"/>
                <w:color w:val="1A1A1A"/>
                <w:sz w:val="17"/>
              </w:rPr>
              <w:t>Candidate passes affected</w:t>
            </w:r>
          </w:p>
        </w:tc>
        <w:tc>
          <w:tcPr>
            <w:tcW w:type="dxa" w:w="1600"/>
          </w:tcPr>
          <w:p>
            <w:pPr>
              <w:spacing w:before="0" w:after="0" w:line="240" w:lineRule="auto"/>
              <w:jc w:val="left"/>
            </w:pPr>
            <w:r/>
            <w:r>
              <w:rPr>
                <w:rFonts w:ascii="Calibri" w:hAnsi="Calibri"/>
                <w:b w:val="0"/>
                <w:color w:val="1A1A1A"/>
                <w:sz w:val="17"/>
              </w:rPr>
              <w:t>31</w:t>
            </w:r>
          </w:p>
        </w:tc>
        <w:tc>
          <w:tcPr>
            <w:tcW w:type="dxa" w:w="5160"/>
          </w:tcPr>
          <w:p>
            <w:pPr>
              <w:spacing w:before="0" w:after="0" w:line="240" w:lineRule="auto"/>
              <w:jc w:val="left"/>
            </w:pPr>
            <w:r/>
            <w:r>
              <w:rPr>
                <w:rFonts w:ascii="Calibri" w:hAnsi="Calibri"/>
                <w:b w:val="0"/>
                <w:color w:val="1A1A1A"/>
                <w:sz w:val="17"/>
              </w:rPr>
              <w:t>Excluded before geometry only under the separately approved archive-available profile.</w:t>
            </w:r>
          </w:p>
        </w:tc>
      </w:tr>
      <w:tr>
        <w:tc>
          <w:tcPr>
            <w:tcW w:type="dxa" w:w="2600"/>
          </w:tcPr>
          <w:p>
            <w:pPr>
              <w:spacing w:before="0" w:after="0" w:line="240" w:lineRule="auto"/>
              <w:jc w:val="left"/>
            </w:pPr>
            <w:r/>
            <w:r>
              <w:rPr>
                <w:rFonts w:ascii="Calibri" w:hAnsi="Calibri"/>
                <w:b w:val="0"/>
                <w:color w:val="1A1A1A"/>
                <w:sz w:val="17"/>
              </w:rPr>
              <w:t>Archive-available candidates</w:t>
            </w:r>
          </w:p>
        </w:tc>
        <w:tc>
          <w:tcPr>
            <w:tcW w:type="dxa" w:w="1600"/>
          </w:tcPr>
          <w:p>
            <w:pPr>
              <w:spacing w:before="0" w:after="0" w:line="240" w:lineRule="auto"/>
              <w:jc w:val="left"/>
            </w:pPr>
            <w:r/>
            <w:r>
              <w:rPr>
                <w:rFonts w:ascii="Calibri" w:hAnsi="Calibri"/>
                <w:b w:val="0"/>
                <w:color w:val="1A1A1A"/>
                <w:sz w:val="17"/>
              </w:rPr>
              <w:t>911</w:t>
            </w:r>
          </w:p>
        </w:tc>
        <w:tc>
          <w:tcPr>
            <w:tcW w:type="dxa" w:w="5160"/>
          </w:tcPr>
          <w:p>
            <w:pPr>
              <w:spacing w:before="0" w:after="0" w:line="240" w:lineRule="auto"/>
              <w:jc w:val="left"/>
            </w:pPr>
            <w:r/>
            <w:r>
              <w:rPr>
                <w:rFonts w:ascii="Calibri" w:hAnsi="Calibri"/>
                <w:b w:val="0"/>
                <w:color w:val="1A1A1A"/>
                <w:sz w:val="17"/>
              </w:rPr>
              <w:t>Revised estimand; missing scenes were not imputed or replaced.</w:t>
            </w:r>
          </w:p>
        </w:tc>
      </w:tr>
      <w:tr>
        <w:tc>
          <w:tcPr>
            <w:tcW w:type="dxa" w:w="2600"/>
          </w:tcPr>
          <w:p>
            <w:pPr>
              <w:spacing w:before="0" w:after="0" w:line="240" w:lineRule="auto"/>
              <w:jc w:val="left"/>
            </w:pPr>
            <w:r/>
            <w:r>
              <w:rPr>
                <w:rFonts w:ascii="Calibri" w:hAnsi="Calibri"/>
                <w:b w:val="0"/>
                <w:color w:val="1A1A1A"/>
                <w:sz w:val="17"/>
              </w:rPr>
              <w:t>Geometry evaluated</w:t>
            </w:r>
          </w:p>
        </w:tc>
        <w:tc>
          <w:tcPr>
            <w:tcW w:type="dxa" w:w="1600"/>
          </w:tcPr>
          <w:p>
            <w:pPr>
              <w:spacing w:before="0" w:after="0" w:line="240" w:lineRule="auto"/>
              <w:jc w:val="left"/>
            </w:pPr>
            <w:r/>
            <w:r>
              <w:rPr>
                <w:rFonts w:ascii="Calibri" w:hAnsi="Calibri"/>
                <w:b w:val="0"/>
                <w:color w:val="1A1A1A"/>
                <w:sz w:val="17"/>
              </w:rPr>
              <w:t>710</w:t>
            </w:r>
          </w:p>
        </w:tc>
        <w:tc>
          <w:tcPr>
            <w:tcW w:type="dxa" w:w="5160"/>
          </w:tcPr>
          <w:p>
            <w:pPr>
              <w:spacing w:before="0" w:after="0" w:line="240" w:lineRule="auto"/>
              <w:jc w:val="left"/>
            </w:pPr>
            <w:r/>
            <w:r>
              <w:rPr>
                <w:rFonts w:ascii="Calibri" w:hAnsi="Calibri"/>
                <w:b w:val="0"/>
                <w:color w:val="1A1A1A"/>
                <w:sz w:val="17"/>
              </w:rPr>
              <w:t>173 pass; 537 fail; zero unresolved among evaluated candidates.</w:t>
            </w:r>
          </w:p>
        </w:tc>
      </w:tr>
      <w:tr>
        <w:tc>
          <w:tcPr>
            <w:tcW w:type="dxa" w:w="2600"/>
          </w:tcPr>
          <w:p>
            <w:pPr>
              <w:spacing w:before="0" w:after="0" w:line="240" w:lineRule="auto"/>
              <w:jc w:val="left"/>
            </w:pPr>
            <w:r/>
            <w:r>
              <w:rPr>
                <w:rFonts w:ascii="Calibri" w:hAnsi="Calibri"/>
                <w:b w:val="0"/>
                <w:color w:val="1A1A1A"/>
                <w:sz w:val="17"/>
              </w:rPr>
              <w:t>Geometry unevaluated</w:t>
            </w:r>
          </w:p>
        </w:tc>
        <w:tc>
          <w:tcPr>
            <w:tcW w:type="dxa" w:w="1600"/>
          </w:tcPr>
          <w:p>
            <w:pPr>
              <w:spacing w:before="0" w:after="0" w:line="240" w:lineRule="auto"/>
              <w:jc w:val="left"/>
            </w:pPr>
            <w:r/>
            <w:r>
              <w:rPr>
                <w:rFonts w:ascii="Calibri" w:hAnsi="Calibri"/>
                <w:b w:val="0"/>
                <w:color w:val="1A1A1A"/>
                <w:sz w:val="17"/>
              </w:rPr>
              <w:t>201</w:t>
            </w:r>
          </w:p>
        </w:tc>
        <w:tc>
          <w:tcPr>
            <w:tcW w:type="dxa" w:w="5160"/>
          </w:tcPr>
          <w:p>
            <w:pPr>
              <w:spacing w:before="0" w:after="0" w:line="240" w:lineRule="auto"/>
              <w:jc w:val="left"/>
            </w:pPr>
            <w:r/>
            <w:r>
              <w:rPr>
                <w:rFonts w:ascii="Calibri" w:hAnsi="Calibri"/>
                <w:b w:val="0"/>
                <w:color w:val="1A1A1A"/>
                <w:sz w:val="17"/>
              </w:rPr>
              <w:t>All Phoenix candidates plus 14 Minneapolis–St. Paul candidates remained incomplete.</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Borders>
              <w:top w:val="single" w:sz="12" w:color="A61B1B"/>
              <w:left w:val="single" w:sz="12" w:color="A61B1B"/>
              <w:bottom w:val="single" w:sz="12" w:color="A61B1B"/>
              <w:right w:val="single" w:sz="12" w:color="A61B1B"/>
            </w:tcBorders>
          </w:tcPr>
          <w:p>
            <w:pPr>
              <w:spacing w:after="60"/>
            </w:pPr>
            <w:r>
              <w:rPr>
                <w:rFonts w:ascii="Calibri" w:hAnsi="Calibri"/>
                <w:b/>
                <w:color w:val="A61B1B"/>
                <w:sz w:val="23"/>
              </w:rPr>
              <w:t>Active gate: STOP_USER_SKIPPED_D0047_GEOMETRY_710_OF_911</w:t>
            </w:r>
          </w:p>
          <w:p>
            <w:pPr>
              <w:spacing w:after="0" w:line="264" w:lineRule="auto"/>
            </w:pPr>
            <w:r>
              <w:rPr>
                <w:rFonts w:ascii="Calibri" w:hAnsi="Calibri"/>
                <w:color w:val="1A1A1A"/>
                <w:sz w:val="21"/>
              </w:rPr>
              <w:t>The 173/710 partial geometry pass fraction cannot be extrapolated: Phoenix’s 187 retained candidates were all still unevaluated, as were 14 Minneapolis–St. Paul candidates. Cloud survival, exact-acquisition HRRR, F2.5, and the definitive usable-pass total were never reached.</w:t>
            </w:r>
          </w:p>
        </w:tc>
      </w:tr>
    </w:tbl>
    <w:p>
      <w:pPr>
        <w:spacing w:after="0"/>
      </w:pPr>
    </w:p>
    <w:p>
      <w:pPr>
        <w:pStyle w:val="Heading2"/>
        <w:keepNext/>
      </w:pPr>
      <w:r>
        <w:t>The 41 unavailable GEO objects</w:t>
      </w:r>
    </w:p>
    <w:p>
      <w:pPr>
        <w:keepLines w:val="0"/>
        <w:spacing w:after="120" w:line="264" w:lineRule="auto"/>
      </w:pPr>
      <w:r>
        <w:rPr>
          <w:rFonts w:ascii="Calibri" w:hAnsi="Calibri"/>
          <w:color w:val="1A1A1A"/>
          <w:sz w:val="22"/>
        </w:rPr>
        <w:t>The project repeatedly attempted exact CMR searches, canonical HDF5/DMR++/OPeNDAP endpoints, and authenticated eight-byte HDF5 signature reads. Known-good sibling controls succeeded before and after the batches, while all 41 targets returned HTTP 404. A renewed Earthdata token produced the same result, ruling out token expiry. The missing objects affect 31 candidates—24 in 2020 and 7 in 2024—and were never assigned zero coverage, imputed, or replaced with adjacent scenes. The append-only decision log records that an LP DAAC restoration/re-indexing request was sent with the exact evidence packet; no external delivery receipt is stored in the repository.</w:t>
      </w:r>
    </w:p>
    <w:tbl>
      <w:tblPr>
        <w:tblStyle w:val="TableGrid"/>
        <w:tblW w:type="dxa" w:w="9360"/>
        <w:jc w:val="center"/>
        <w:tblLayout w:type="fixed"/>
        <w:tblLook w:firstColumn="1" w:firstRow="1" w:lastColumn="0" w:lastRow="0" w:noHBand="0" w:noVBand="1" w:val="04A0"/>
        <w:tblInd w:w="120" w:type="dxa"/>
      </w:tblPr>
      <w:tblGrid>
        <w:gridCol w:w="6200"/>
        <w:gridCol w:w="3160"/>
      </w:tblGrid>
      <w:tr>
        <w:trPr>
          <w:tblHeader w:val="true"/>
        </w:trPr>
        <w:tc>
          <w:tcPr>
            <w:tcW w:type="dxa" w:w="62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8"/>
              </w:rPr>
              <w:t>City</w:t>
            </w:r>
          </w:p>
        </w:tc>
        <w:tc>
          <w:tcPr>
            <w:tcW w:type="dxa" w:w="31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8"/>
              </w:rPr>
              <w:t>Archive-unavailable candidate exclusions</w:t>
            </w:r>
          </w:p>
        </w:tc>
      </w:tr>
      <w:tr>
        <w:tc>
          <w:tcPr>
            <w:tcW w:type="dxa" w:w="6200"/>
          </w:tcPr>
          <w:p>
            <w:pPr>
              <w:spacing w:before="0" w:after="0" w:line="240" w:lineRule="auto"/>
              <w:jc w:val="left"/>
            </w:pPr>
            <w:r/>
            <w:r>
              <w:rPr>
                <w:rFonts w:ascii="Calibri" w:hAnsi="Calibri"/>
                <w:b w:val="0"/>
                <w:color w:val="1A1A1A"/>
                <w:sz w:val="18"/>
              </w:rPr>
              <w:t>Atlanta</w:t>
            </w:r>
          </w:p>
        </w:tc>
        <w:tc>
          <w:tcPr>
            <w:tcW w:type="dxa" w:w="3160"/>
          </w:tcPr>
          <w:p>
            <w:pPr>
              <w:spacing w:before="0" w:after="0" w:line="240" w:lineRule="auto"/>
              <w:jc w:val="left"/>
            </w:pPr>
            <w:r/>
            <w:r>
              <w:rPr>
                <w:rFonts w:ascii="Calibri" w:hAnsi="Calibri"/>
                <w:b w:val="0"/>
                <w:color w:val="1A1A1A"/>
                <w:sz w:val="18"/>
              </w:rPr>
              <w:t>8</w:t>
            </w:r>
          </w:p>
        </w:tc>
      </w:tr>
      <w:tr>
        <w:tc>
          <w:tcPr>
            <w:tcW w:type="dxa" w:w="6200"/>
          </w:tcPr>
          <w:p>
            <w:pPr>
              <w:spacing w:before="0" w:after="0" w:line="240" w:lineRule="auto"/>
              <w:jc w:val="left"/>
            </w:pPr>
            <w:r/>
            <w:r>
              <w:rPr>
                <w:rFonts w:ascii="Calibri" w:hAnsi="Calibri"/>
                <w:b w:val="0"/>
                <w:color w:val="1A1A1A"/>
                <w:sz w:val="18"/>
              </w:rPr>
              <w:t>Los Angeles</w:t>
            </w:r>
          </w:p>
        </w:tc>
        <w:tc>
          <w:tcPr>
            <w:tcW w:type="dxa" w:w="3160"/>
          </w:tcPr>
          <w:p>
            <w:pPr>
              <w:spacing w:before="0" w:after="0" w:line="240" w:lineRule="auto"/>
              <w:jc w:val="left"/>
            </w:pPr>
            <w:r/>
            <w:r>
              <w:rPr>
                <w:rFonts w:ascii="Calibri" w:hAnsi="Calibri"/>
                <w:b w:val="0"/>
                <w:color w:val="1A1A1A"/>
                <w:sz w:val="18"/>
              </w:rPr>
              <w:t>8</w:t>
            </w:r>
          </w:p>
        </w:tc>
      </w:tr>
      <w:tr>
        <w:tc>
          <w:tcPr>
            <w:tcW w:type="dxa" w:w="6200"/>
          </w:tcPr>
          <w:p>
            <w:pPr>
              <w:spacing w:before="0" w:after="0" w:line="240" w:lineRule="auto"/>
              <w:jc w:val="left"/>
            </w:pPr>
            <w:r/>
            <w:r>
              <w:rPr>
                <w:rFonts w:ascii="Calibri" w:hAnsi="Calibri"/>
                <w:b w:val="0"/>
                <w:color w:val="1A1A1A"/>
                <w:sz w:val="18"/>
              </w:rPr>
              <w:t>Miami</w:t>
            </w:r>
          </w:p>
        </w:tc>
        <w:tc>
          <w:tcPr>
            <w:tcW w:type="dxa" w:w="3160"/>
          </w:tcPr>
          <w:p>
            <w:pPr>
              <w:spacing w:before="0" w:after="0" w:line="240" w:lineRule="auto"/>
              <w:jc w:val="left"/>
            </w:pPr>
            <w:r/>
            <w:r>
              <w:rPr>
                <w:rFonts w:ascii="Calibri" w:hAnsi="Calibri"/>
                <w:b w:val="0"/>
                <w:color w:val="1A1A1A"/>
                <w:sz w:val="18"/>
              </w:rPr>
              <w:t>1</w:t>
            </w:r>
          </w:p>
        </w:tc>
      </w:tr>
      <w:tr>
        <w:tc>
          <w:tcPr>
            <w:tcW w:type="dxa" w:w="6200"/>
          </w:tcPr>
          <w:p>
            <w:pPr>
              <w:spacing w:before="0" w:after="0" w:line="240" w:lineRule="auto"/>
              <w:jc w:val="left"/>
            </w:pPr>
            <w:r/>
            <w:r>
              <w:rPr>
                <w:rFonts w:ascii="Calibri" w:hAnsi="Calibri"/>
                <w:b w:val="0"/>
                <w:color w:val="1A1A1A"/>
                <w:sz w:val="18"/>
              </w:rPr>
              <w:t>Minneapolis–St. Paul</w:t>
            </w:r>
          </w:p>
        </w:tc>
        <w:tc>
          <w:tcPr>
            <w:tcW w:type="dxa" w:w="3160"/>
          </w:tcPr>
          <w:p>
            <w:pPr>
              <w:spacing w:before="0" w:after="0" w:line="240" w:lineRule="auto"/>
              <w:jc w:val="left"/>
            </w:pPr>
            <w:r/>
            <w:r>
              <w:rPr>
                <w:rFonts w:ascii="Calibri" w:hAnsi="Calibri"/>
                <w:b w:val="0"/>
                <w:color w:val="1A1A1A"/>
                <w:sz w:val="18"/>
              </w:rPr>
              <w:t>8</w:t>
            </w:r>
          </w:p>
        </w:tc>
      </w:tr>
      <w:tr>
        <w:tc>
          <w:tcPr>
            <w:tcW w:type="dxa" w:w="6200"/>
          </w:tcPr>
          <w:p>
            <w:pPr>
              <w:spacing w:before="0" w:after="0" w:line="240" w:lineRule="auto"/>
              <w:jc w:val="left"/>
            </w:pPr>
            <w:r/>
            <w:r>
              <w:rPr>
                <w:rFonts w:ascii="Calibri" w:hAnsi="Calibri"/>
                <w:b w:val="0"/>
                <w:color w:val="1A1A1A"/>
                <w:sz w:val="18"/>
              </w:rPr>
              <w:t>Phoenix</w:t>
            </w:r>
          </w:p>
        </w:tc>
        <w:tc>
          <w:tcPr>
            <w:tcW w:type="dxa" w:w="3160"/>
          </w:tcPr>
          <w:p>
            <w:pPr>
              <w:spacing w:before="0" w:after="0" w:line="240" w:lineRule="auto"/>
              <w:jc w:val="left"/>
            </w:pPr>
            <w:r/>
            <w:r>
              <w:rPr>
                <w:rFonts w:ascii="Calibri" w:hAnsi="Calibri"/>
                <w:b w:val="0"/>
                <w:color w:val="1A1A1A"/>
                <w:sz w:val="18"/>
              </w:rPr>
              <w:t>6</w:t>
            </w:r>
          </w:p>
        </w:tc>
      </w:tr>
    </w:tbl>
    <w:p>
      <w:pPr>
        <w:spacing w:after="0"/>
      </w:pPr>
    </w:p>
    <w:p>
      <w:pPr>
        <w:pageBreakBefore/>
        <w:spacing w:before="0" w:after="0"/>
      </w:pPr>
    </w:p>
    <w:p>
      <w:pPr>
        <w:spacing w:before="0" w:after="100"/>
      </w:pPr>
      <w:r>
        <w:rPr>
          <w:rFonts w:ascii="Calibri" w:hAnsi="Calibri"/>
          <w:b/>
          <w:smallCaps/>
          <w:color w:val="2E74B5"/>
          <w:sz w:val="18"/>
        </w:rPr>
        <w:t>PLANNING AND CODE VALIDATION</w:t>
      </w:r>
    </w:p>
    <w:p>
      <w:pPr>
        <w:pStyle w:val="Heading1"/>
        <w:keepNext/>
      </w:pPr>
      <w:r>
        <w:t>5. Step 3 — preliminary simulation and power checks</w:t>
      </w:r>
    </w:p>
    <w:p>
      <w:pPr>
        <w:keepLines w:val="0"/>
        <w:spacing w:after="120" w:line="264" w:lineRule="auto"/>
      </w:pPr>
      <w:r>
        <w:rPr>
          <w:rFonts w:ascii="Calibri" w:hAnsi="Calibri"/>
          <w:color w:val="1A1A1A"/>
          <w:sz w:val="22"/>
        </w:rPr>
        <w:t>A pass-clustered simulator was run at the 1,055-pass daytime catalogue ceiling to exercise the intended power, coefficient-recovery, transition false-positive, and bootstrap calculations. This validates the analysis machinery and supplies rough planning scales, but it cannot certify power because 1,055 is not the real usable-pass count and the predictor template used daily-weather proxies rather than complete exact-acquisition weather.</w:t>
      </w:r>
    </w:p>
    <w:tbl>
      <w:tblPr>
        <w:tblStyle w:val="TableGrid"/>
        <w:tblW w:type="dxa" w:w="9360"/>
        <w:jc w:val="center"/>
        <w:tblLayout w:type="fixed"/>
        <w:tblLook w:firstColumn="1" w:firstRow="1" w:lastColumn="0" w:lastRow="0" w:noHBand="0" w:noVBand="1" w:val="04A0"/>
        <w:tblInd w:w="120" w:type="dxa"/>
      </w:tblPr>
      <w:tblGrid>
        <w:gridCol w:w="3600"/>
        <w:gridCol w:w="3000"/>
        <w:gridCol w:w="2760"/>
      </w:tblGrid>
      <w:tr>
        <w:trPr>
          <w:tblHeader w:val="true"/>
        </w:trPr>
        <w:tc>
          <w:tcPr>
            <w:tcW w:type="dxa" w:w="36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Model / target effect</w:t>
            </w:r>
          </w:p>
        </w:tc>
        <w:tc>
          <w:tcPr>
            <w:tcW w:type="dxa" w:w="30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Approx. minimum passes for 80% power</w:t>
            </w:r>
          </w:p>
        </w:tc>
        <w:tc>
          <w:tcPr>
            <w:tcW w:type="dxa" w:w="27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Status</w:t>
            </w:r>
          </w:p>
        </w:tc>
      </w:tr>
      <w:tr>
        <w:tc>
          <w:tcPr>
            <w:tcW w:type="dxa" w:w="3600"/>
          </w:tcPr>
          <w:p>
            <w:pPr>
              <w:spacing w:before="0" w:after="0" w:line="240" w:lineRule="auto"/>
              <w:jc w:val="left"/>
            </w:pPr>
            <w:r/>
            <w:r>
              <w:rPr>
                <w:rFonts w:ascii="Calibri" w:hAnsi="Calibri"/>
                <w:b w:val="0"/>
                <w:color w:val="1A1A1A"/>
                <w:sz w:val="17"/>
              </w:rPr>
              <w:t>Demand × dryness, 0.75 K</w:t>
            </w:r>
          </w:p>
        </w:tc>
        <w:tc>
          <w:tcPr>
            <w:tcW w:type="dxa" w:w="3000"/>
          </w:tcPr>
          <w:p>
            <w:pPr>
              <w:spacing w:before="0" w:after="0" w:line="240" w:lineRule="auto"/>
              <w:jc w:val="left"/>
            </w:pPr>
            <w:r/>
            <w:r>
              <w:rPr>
                <w:rFonts w:ascii="Calibri" w:hAnsi="Calibri"/>
                <w:b w:val="0"/>
                <w:color w:val="1A1A1A"/>
                <w:sz w:val="17"/>
              </w:rPr>
              <w:t>800</w:t>
            </w:r>
          </w:p>
        </w:tc>
        <w:tc>
          <w:tcPr>
            <w:tcW w:type="dxa" w:w="2760"/>
            <w:shd w:fill="FFF4D6"/>
          </w:tcPr>
          <w:p>
            <w:pPr>
              <w:spacing w:before="0" w:after="0" w:line="240" w:lineRule="auto"/>
              <w:jc w:val="left"/>
            </w:pPr>
            <w:r/>
            <w:r>
              <w:rPr>
                <w:rFonts w:ascii="Calibri" w:hAnsi="Calibri"/>
                <w:b w:val="0"/>
                <w:color w:val="1A1A1A"/>
                <w:sz w:val="17"/>
              </w:rPr>
              <w:t>Preliminary planning only</w:t>
            </w:r>
          </w:p>
        </w:tc>
      </w:tr>
      <w:tr>
        <w:tc>
          <w:tcPr>
            <w:tcW w:type="dxa" w:w="3600"/>
          </w:tcPr>
          <w:p>
            <w:pPr>
              <w:spacing w:before="0" w:after="0" w:line="240" w:lineRule="auto"/>
              <w:jc w:val="left"/>
            </w:pPr>
            <w:r/>
            <w:r>
              <w:rPr>
                <w:rFonts w:ascii="Calibri" w:hAnsi="Calibri"/>
                <w:b w:val="0"/>
                <w:color w:val="1A1A1A"/>
                <w:sz w:val="17"/>
              </w:rPr>
              <w:t>Demand × dryness, 1.50 K</w:t>
            </w:r>
          </w:p>
        </w:tc>
        <w:tc>
          <w:tcPr>
            <w:tcW w:type="dxa" w:w="3000"/>
          </w:tcPr>
          <w:p>
            <w:pPr>
              <w:spacing w:before="0" w:after="0" w:line="240" w:lineRule="auto"/>
              <w:jc w:val="left"/>
            </w:pPr>
            <w:r/>
            <w:r>
              <w:rPr>
                <w:rFonts w:ascii="Calibri" w:hAnsi="Calibri"/>
                <w:b w:val="0"/>
                <w:color w:val="1A1A1A"/>
                <w:sz w:val="17"/>
              </w:rPr>
              <w:t>200</w:t>
            </w:r>
          </w:p>
        </w:tc>
        <w:tc>
          <w:tcPr>
            <w:tcW w:type="dxa" w:w="2760"/>
            <w:shd w:fill="FFF4D6"/>
          </w:tcPr>
          <w:p>
            <w:pPr>
              <w:spacing w:before="0" w:after="0" w:line="240" w:lineRule="auto"/>
              <w:jc w:val="left"/>
            </w:pPr>
            <w:r/>
            <w:r>
              <w:rPr>
                <w:rFonts w:ascii="Calibri" w:hAnsi="Calibri"/>
                <w:b w:val="0"/>
                <w:color w:val="1A1A1A"/>
                <w:sz w:val="17"/>
              </w:rPr>
              <w:t>Preliminary planning only</w:t>
            </w:r>
          </w:p>
        </w:tc>
      </w:tr>
      <w:tr>
        <w:tc>
          <w:tcPr>
            <w:tcW w:type="dxa" w:w="3600"/>
          </w:tcPr>
          <w:p>
            <w:pPr>
              <w:spacing w:before="0" w:after="0" w:line="240" w:lineRule="auto"/>
              <w:jc w:val="left"/>
            </w:pPr>
            <w:r/>
            <w:r>
              <w:rPr>
                <w:rFonts w:ascii="Calibri" w:hAnsi="Calibri"/>
                <w:b w:val="0"/>
                <w:color w:val="1A1A1A"/>
                <w:sz w:val="17"/>
              </w:rPr>
              <w:t>Demand × dryness, 2.25 K</w:t>
            </w:r>
          </w:p>
        </w:tc>
        <w:tc>
          <w:tcPr>
            <w:tcW w:type="dxa" w:w="3000"/>
          </w:tcPr>
          <w:p>
            <w:pPr>
              <w:spacing w:before="0" w:after="0" w:line="240" w:lineRule="auto"/>
              <w:jc w:val="left"/>
            </w:pPr>
            <w:r/>
            <w:r>
              <w:rPr>
                <w:rFonts w:ascii="Calibri" w:hAnsi="Calibri"/>
                <w:b w:val="0"/>
                <w:color w:val="1A1A1A"/>
                <w:sz w:val="17"/>
              </w:rPr>
              <w:t>100</w:t>
            </w:r>
          </w:p>
        </w:tc>
        <w:tc>
          <w:tcPr>
            <w:tcW w:type="dxa" w:w="2760"/>
            <w:shd w:fill="FFF4D6"/>
          </w:tcPr>
          <w:p>
            <w:pPr>
              <w:spacing w:before="0" w:after="0" w:line="240" w:lineRule="auto"/>
              <w:jc w:val="left"/>
            </w:pPr>
            <w:r/>
            <w:r>
              <w:rPr>
                <w:rFonts w:ascii="Calibri" w:hAnsi="Calibri"/>
                <w:b w:val="0"/>
                <w:color w:val="1A1A1A"/>
                <w:sz w:val="17"/>
              </w:rPr>
              <w:t>Preliminary planning only</w:t>
            </w:r>
          </w:p>
        </w:tc>
      </w:tr>
      <w:tr>
        <w:tc>
          <w:tcPr>
            <w:tcW w:type="dxa" w:w="3600"/>
          </w:tcPr>
          <w:p>
            <w:pPr>
              <w:spacing w:before="0" w:after="0" w:line="240" w:lineRule="auto"/>
              <w:jc w:val="left"/>
            </w:pPr>
            <w:r/>
            <w:r>
              <w:rPr>
                <w:rFonts w:ascii="Calibri" w:hAnsi="Calibri"/>
                <w:b w:val="0"/>
                <w:color w:val="1A1A1A"/>
                <w:sz w:val="17"/>
              </w:rPr>
              <w:t>Demand × dryness × time, 1.50 K</w:t>
            </w:r>
          </w:p>
        </w:tc>
        <w:tc>
          <w:tcPr>
            <w:tcW w:type="dxa" w:w="3000"/>
          </w:tcPr>
          <w:p>
            <w:pPr>
              <w:spacing w:before="0" w:after="0" w:line="240" w:lineRule="auto"/>
              <w:jc w:val="left"/>
            </w:pPr>
            <w:r/>
            <w:r>
              <w:rPr>
                <w:rFonts w:ascii="Calibri" w:hAnsi="Calibri"/>
                <w:b w:val="0"/>
                <w:color w:val="1A1A1A"/>
                <w:sz w:val="17"/>
              </w:rPr>
              <w:t>400</w:t>
            </w:r>
          </w:p>
        </w:tc>
        <w:tc>
          <w:tcPr>
            <w:tcW w:type="dxa" w:w="2760"/>
            <w:shd w:fill="FFF4D6"/>
          </w:tcPr>
          <w:p>
            <w:pPr>
              <w:spacing w:before="0" w:after="0" w:line="240" w:lineRule="auto"/>
              <w:jc w:val="left"/>
            </w:pPr>
            <w:r/>
            <w:r>
              <w:rPr>
                <w:rFonts w:ascii="Calibri" w:hAnsi="Calibri"/>
                <w:b w:val="0"/>
                <w:color w:val="1A1A1A"/>
                <w:sz w:val="17"/>
              </w:rPr>
              <w:t>Preliminary planning only</w:t>
            </w:r>
          </w:p>
        </w:tc>
      </w:tr>
    </w:tbl>
    <w:p>
      <w:pPr>
        <w:spacing w:after="0"/>
      </w:pPr>
    </w:p>
    <w:p>
      <w:pPr>
        <w:keepLines/>
        <w:spacing w:before="60" w:after="80"/>
        <w:jc w:val="center"/>
      </w:pPr>
      <w:r>
        <w:drawing>
          <wp:inline xmlns:a="http://schemas.openxmlformats.org/drawingml/2006/main" xmlns:pic="http://schemas.openxmlformats.org/drawingml/2006/picture">
            <wp:extent cx="4983480" cy="3592332"/>
            <wp:docPr id="5" name="Picture 5"/>
            <wp:cNvGraphicFramePr>
              <a:graphicFrameLocks noChangeAspect="1"/>
            </wp:cNvGraphicFramePr>
            <a:graphic>
              <a:graphicData uri="http://schemas.openxmlformats.org/drawingml/2006/picture">
                <pic:pic>
                  <pic:nvPicPr>
                    <pic:cNvPr id="0" name="F3.1_power_curves.png"/>
                    <pic:cNvPicPr/>
                  </pic:nvPicPr>
                  <pic:blipFill>
                    <a:blip r:embed="rId15"/>
                    <a:stretch>
                      <a:fillRect/>
                    </a:stretch>
                  </pic:blipFill>
                  <pic:spPr>
                    <a:xfrm>
                      <a:off x="0" y="0"/>
                      <a:ext cx="4983480" cy="3592332"/>
                    </a:xfrm>
                    <a:prstGeom prst="rect"/>
                  </pic:spPr>
                </pic:pic>
              </a:graphicData>
            </a:graphic>
          </wp:inline>
        </w:drawing>
      </w:r>
    </w:p>
    <w:p>
      <w:pPr>
        <w:keepLines/>
        <w:spacing w:before="0" w:after="80"/>
      </w:pPr>
      <w:r>
        <w:rPr>
          <w:rFonts w:ascii="Calibri" w:hAnsi="Calibri"/>
          <w:b/>
          <w:color w:val="1F4D78"/>
          <w:sz w:val="18"/>
        </w:rPr>
        <w:t xml:space="preserve">Figure 5 (preliminary F3.1). </w:t>
      </w:r>
      <w:r>
        <w:rPr>
          <w:rFonts w:ascii="Calibri" w:hAnsi="Calibri"/>
          <w:color w:val="1A1A1A"/>
          <w:sz w:val="18"/>
        </w:rPr>
        <w:t>Simulated interaction detection probability versus independent-pass scenarios. The vertical marker is the unfiltered 1,055-pass catalogue ceiling, not a certified usable-pass count.</w:t>
      </w:r>
    </w:p>
    <w:p>
      <w:pPr>
        <w:keepLines/>
        <w:spacing w:before="0" w:after="160"/>
      </w:pPr>
      <w:r>
        <w:rPr>
          <w:rFonts w:ascii="Calibri" w:hAnsi="Calibri"/>
          <w:i/>
          <w:color w:val="5B6573"/>
          <w:sz w:val="16"/>
        </w:rPr>
        <w:t>Evidence status: Preliminary simulation/code validation; scientifically gate-ineligible. Source: data/processed/v2/task1/step3_preliminary_ceiling/figures/F3.1_power_curves.png</w:t>
      </w:r>
    </w:p>
    <w:p>
      <w:pPr>
        <w:pStyle w:val="ListBullet"/>
        <w:spacing w:after="160" w:line="280" w:lineRule="auto"/>
        <w:ind w:left="720" w:hanging="360"/>
      </w:pPr>
      <w:r>
        <w:rPr>
          <w:rFonts w:ascii="Calibri" w:hAnsi="Calibri"/>
          <w:color w:val="1A1A1A"/>
          <w:sz w:val="22"/>
        </w:rPr>
        <w:t>The maximum corrected transition-test false-positive rate across tested counts was 6.2% against a nominal 5% target.</w:t>
      </w:r>
    </w:p>
    <w:p>
      <w:pPr>
        <w:pStyle w:val="ListBullet"/>
        <w:spacing w:after="160" w:line="280" w:lineRule="auto"/>
        <w:ind w:left="720" w:hanging="360"/>
      </w:pPr>
      <w:r>
        <w:rPr>
          <w:rFonts w:ascii="Calibri" w:hAnsi="Calibri"/>
          <w:color w:val="1A1A1A"/>
          <w:sz w:val="22"/>
        </w:rPr>
        <w:t>Pass-level block-bootstrap intervals behaved more conservatively than deliberately naive row-level intervals, supporting pass-clustered uncertainty as the intended method.</w:t>
      </w:r>
    </w:p>
    <w:p>
      <w:pPr>
        <w:pageBreakBefore/>
        <w:spacing w:before="0" w:after="0"/>
      </w:pPr>
    </w:p>
    <w:p>
      <w:pPr>
        <w:spacing w:before="0" w:after="100"/>
      </w:pPr>
      <w:r>
        <w:rPr>
          <w:rFonts w:ascii="Calibri" w:hAnsi="Calibri"/>
          <w:b/>
          <w:smallCaps/>
          <w:color w:val="2E74B5"/>
          <w:sz w:val="18"/>
        </w:rPr>
        <w:t>QUARANTINED WORKFLOW DEMONSTRATION</w:t>
      </w:r>
    </w:p>
    <w:p>
      <w:pPr>
        <w:pStyle w:val="Heading1"/>
        <w:keepNext/>
      </w:pPr>
      <w:r>
        <w:t>6. Steps 4–14 — what the illustrative package accomplishes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Borders>
              <w:top w:val="single" w:sz="12" w:color="A61B1B"/>
              <w:left w:val="single" w:sz="12" w:color="A61B1B"/>
              <w:bottom w:val="single" w:sz="12" w:color="A61B1B"/>
              <w:right w:val="single" w:sz="12" w:color="A61B1B"/>
            </w:tcBorders>
          </w:tcPr>
          <w:p>
            <w:pPr>
              <w:spacing w:after="60"/>
            </w:pPr>
            <w:r>
              <w:rPr>
                <w:rFonts w:ascii="Calibri" w:hAnsi="Calibri"/>
                <w:b/>
                <w:color w:val="A61B1B"/>
                <w:sz w:val="23"/>
              </w:rPr>
              <w:t>Synthetic content is not a study result</w:t>
            </w:r>
          </w:p>
          <w:p>
            <w:pPr>
              <w:spacing w:after="0" w:line="264" w:lineRule="auto"/>
            </w:pPr>
            <w:r>
              <w:rPr>
                <w:rFonts w:ascii="Calibri" w:hAnsi="Calibri"/>
                <w:color w:val="1A1A1A"/>
                <w:sz w:val="21"/>
              </w:rPr>
              <w:t>After the live geometry run was stopped, the remaining guide was completed as a deterministic, offline demonstration under illustrative_only/steps02_14. The package shows expected schemas, figures, model outputs, checks, and reporting structure without opening LST/thermal data, selecting a holdout, opening 2026, or activating Task 2.</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1900"/>
        <w:gridCol w:w="3900"/>
        <w:gridCol w:w="3560"/>
      </w:tblGrid>
      <w:tr>
        <w:trPr>
          <w:tblHeader w:val="true"/>
        </w:trPr>
        <w:tc>
          <w:tcPr>
            <w:tcW w:type="dxa" w:w="19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Workflow block</w:t>
            </w:r>
          </w:p>
        </w:tc>
        <w:tc>
          <w:tcPr>
            <w:tcW w:type="dxa" w:w="39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What was demonstrated</w:t>
            </w:r>
          </w:p>
        </w:tc>
        <w:tc>
          <w:tcPr>
            <w:tcW w:type="dxa" w:w="35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Review value</w:t>
            </w:r>
          </w:p>
        </w:tc>
      </w:tr>
      <w:tr>
        <w:tc>
          <w:tcPr>
            <w:tcW w:type="dxa" w:w="1900"/>
          </w:tcPr>
          <w:p>
            <w:pPr>
              <w:spacing w:before="0" w:after="0" w:line="240" w:lineRule="auto"/>
              <w:jc w:val="left"/>
            </w:pPr>
            <w:r/>
            <w:r>
              <w:rPr>
                <w:rFonts w:ascii="Calibri" w:hAnsi="Calibri"/>
                <w:b w:val="0"/>
                <w:color w:val="1A1A1A"/>
                <w:sz w:val="17"/>
              </w:rPr>
              <w:t>Steps 4–6: data products and weather</w:t>
            </w:r>
          </w:p>
        </w:tc>
        <w:tc>
          <w:tcPr>
            <w:tcW w:type="dxa" w:w="3900"/>
          </w:tcPr>
          <w:p>
            <w:pPr>
              <w:spacing w:before="0" w:after="0" w:line="240" w:lineRule="auto"/>
              <w:jc w:val="left"/>
            </w:pPr>
            <w:r/>
            <w:r>
              <w:rPr>
                <w:rFonts w:ascii="Calibri" w:hAnsi="Calibri"/>
                <w:b w:val="0"/>
                <w:color w:val="1A1A1A"/>
                <w:sz w:val="17"/>
              </w:rPr>
              <w:t>Native-grid archive structure; masking and QA; albedo/ET/radiation; exact-time meteorology and station comparisons.</w:t>
            </w:r>
          </w:p>
        </w:tc>
        <w:tc>
          <w:tcPr>
            <w:tcW w:type="dxa" w:w="3560"/>
          </w:tcPr>
          <w:p>
            <w:pPr>
              <w:spacing w:before="0" w:after="0" w:line="240" w:lineRule="auto"/>
              <w:jc w:val="left"/>
            </w:pPr>
            <w:r/>
            <w:r>
              <w:rPr>
                <w:rFonts w:ascii="Calibri" w:hAnsi="Calibri"/>
                <w:b w:val="0"/>
                <w:color w:val="1A1A1A"/>
                <w:sz w:val="17"/>
              </w:rPr>
              <w:t>Lets a reviewer inspect variable definitions, expected checks, and failure handling before expensive downloads.</w:t>
            </w:r>
          </w:p>
        </w:tc>
      </w:tr>
      <w:tr>
        <w:tc>
          <w:tcPr>
            <w:tcW w:type="dxa" w:w="1900"/>
          </w:tcPr>
          <w:p>
            <w:pPr>
              <w:spacing w:before="0" w:after="0" w:line="240" w:lineRule="auto"/>
              <w:jc w:val="left"/>
            </w:pPr>
            <w:r/>
            <w:r>
              <w:rPr>
                <w:rFonts w:ascii="Calibri" w:hAnsi="Calibri"/>
                <w:b w:val="0"/>
                <w:color w:val="1A1A1A"/>
                <w:sz w:val="17"/>
              </w:rPr>
              <w:t>Steps 7–9: land cover and analysis table</w:t>
            </w:r>
          </w:p>
        </w:tc>
        <w:tc>
          <w:tcPr>
            <w:tcW w:type="dxa" w:w="3900"/>
          </w:tcPr>
          <w:p>
            <w:pPr>
              <w:spacing w:before="0" w:after="0" w:line="240" w:lineRule="auto"/>
              <w:jc w:val="left"/>
            </w:pPr>
            <w:r/>
            <w:r>
              <w:rPr>
                <w:rFonts w:ascii="Calibri" w:hAnsi="Calibri"/>
                <w:b w:val="0"/>
                <w:color w:val="1A1A1A"/>
                <w:sz w:val="17"/>
              </w:rPr>
              <w:t>Optical timing; canopy change; thresholding and classification; matching balance; registration sensitivity; analysis-table schema.</w:t>
            </w:r>
          </w:p>
        </w:tc>
        <w:tc>
          <w:tcPr>
            <w:tcW w:type="dxa" w:w="3560"/>
          </w:tcPr>
          <w:p>
            <w:pPr>
              <w:spacing w:before="0" w:after="0" w:line="240" w:lineRule="auto"/>
              <w:jc w:val="left"/>
            </w:pPr>
            <w:r/>
            <w:r>
              <w:rPr>
                <w:rFonts w:ascii="Calibri" w:hAnsi="Calibri"/>
                <w:b w:val="0"/>
                <w:color w:val="1A1A1A"/>
                <w:sz w:val="17"/>
              </w:rPr>
              <w:t>Shows how leakage, classification error, covariate imbalance, and missingness would be audited.</w:t>
            </w:r>
          </w:p>
        </w:tc>
      </w:tr>
      <w:tr>
        <w:tc>
          <w:tcPr>
            <w:tcW w:type="dxa" w:w="1900"/>
          </w:tcPr>
          <w:p>
            <w:pPr>
              <w:spacing w:before="0" w:after="0" w:line="240" w:lineRule="auto"/>
              <w:jc w:val="left"/>
            </w:pPr>
            <w:r/>
            <w:r>
              <w:rPr>
                <w:rFonts w:ascii="Calibri" w:hAnsi="Calibri"/>
                <w:b w:val="0"/>
                <w:color w:val="1A1A1A"/>
                <w:sz w:val="17"/>
              </w:rPr>
              <w:t>Steps 10–12: primary and interaction models</w:t>
            </w:r>
          </w:p>
        </w:tc>
        <w:tc>
          <w:tcPr>
            <w:tcW w:type="dxa" w:w="3900"/>
          </w:tcPr>
          <w:p>
            <w:pPr>
              <w:spacing w:before="0" w:after="0" w:line="240" w:lineRule="auto"/>
              <w:jc w:val="left"/>
            </w:pPr>
            <w:r/>
            <w:r>
              <w:rPr>
                <w:rFonts w:ascii="Calibri" w:hAnsi="Calibri"/>
                <w:b w:val="0"/>
                <w:color w:val="1A1A1A"/>
                <w:sz w:val="17"/>
              </w:rPr>
              <w:t>Time-of-day estimates; common support; city pooling; leave-one-city-out; demand × dryness surfaces; transition-model criteria.</w:t>
            </w:r>
          </w:p>
        </w:tc>
        <w:tc>
          <w:tcPr>
            <w:tcW w:type="dxa" w:w="3560"/>
          </w:tcPr>
          <w:p>
            <w:pPr>
              <w:spacing w:before="0" w:after="0" w:line="240" w:lineRule="auto"/>
              <w:jc w:val="left"/>
            </w:pPr>
            <w:r/>
            <w:r>
              <w:rPr>
                <w:rFonts w:ascii="Calibri" w:hAnsi="Calibri"/>
                <w:b w:val="0"/>
                <w:color w:val="1A1A1A"/>
                <w:sz w:val="17"/>
              </w:rPr>
              <w:t>Demonstrates the planned inferential presentation and masks unsupported regions.</w:t>
            </w:r>
          </w:p>
        </w:tc>
      </w:tr>
      <w:tr>
        <w:tc>
          <w:tcPr>
            <w:tcW w:type="dxa" w:w="1900"/>
          </w:tcPr>
          <w:p>
            <w:pPr>
              <w:spacing w:before="0" w:after="0" w:line="240" w:lineRule="auto"/>
              <w:jc w:val="left"/>
            </w:pPr>
            <w:r/>
            <w:r>
              <w:rPr>
                <w:rFonts w:ascii="Calibri" w:hAnsi="Calibri"/>
                <w:b w:val="0"/>
                <w:color w:val="1A1A1A"/>
                <w:sz w:val="17"/>
              </w:rPr>
              <w:t>Steps 13–14: robustness and reporting</w:t>
            </w:r>
          </w:p>
        </w:tc>
        <w:tc>
          <w:tcPr>
            <w:tcW w:type="dxa" w:w="3900"/>
          </w:tcPr>
          <w:p>
            <w:pPr>
              <w:spacing w:before="0" w:after="0" w:line="240" w:lineRule="auto"/>
              <w:jc w:val="left"/>
            </w:pPr>
            <w:r/>
            <w:r>
              <w:rPr>
                <w:rFonts w:ascii="Calibri" w:hAnsi="Calibri"/>
                <w:b w:val="0"/>
                <w:color w:val="1A1A1A"/>
                <w:sz w:val="17"/>
              </w:rPr>
              <w:t>Placebo/night tests; sensitivity tornado; uncertainty budget; six paper layouts; STOP memo; confirmatory NOT RUN protocol; package inventory.</w:t>
            </w:r>
          </w:p>
        </w:tc>
        <w:tc>
          <w:tcPr>
            <w:tcW w:type="dxa" w:w="3560"/>
          </w:tcPr>
          <w:p>
            <w:pPr>
              <w:spacing w:before="0" w:after="0" w:line="240" w:lineRule="auto"/>
              <w:jc w:val="left"/>
            </w:pPr>
            <w:r/>
            <w:r>
              <w:rPr>
                <w:rFonts w:ascii="Calibri" w:hAnsi="Calibri"/>
                <w:b w:val="0"/>
                <w:color w:val="1A1A1A"/>
                <w:sz w:val="17"/>
              </w:rPr>
              <w:t>Makes the final decision logic and reporting discipline reviewable before empirical outcome access.</w:t>
            </w:r>
          </w:p>
        </w:tc>
      </w:tr>
    </w:tbl>
    <w:p>
      <w:pPr>
        <w:spacing w:after="0"/>
      </w:pPr>
    </w:p>
    <w:p>
      <w:pPr>
        <w:pStyle w:val="Heading2"/>
        <w:keepNext/>
      </w:pPr>
      <w:r>
        <w:t>Package completeness and reproducibility</w:t>
      </w:r>
    </w:p>
    <w:p>
      <w:pPr>
        <w:pStyle w:val="ListBullet"/>
        <w:spacing w:after="160" w:line="280" w:lineRule="auto"/>
        <w:ind w:left="720" w:hanging="360"/>
      </w:pPr>
      <w:r>
        <w:rPr>
          <w:rFonts w:ascii="Calibri" w:hAnsi="Calibri"/>
          <w:color w:val="1A1A1A"/>
          <w:sz w:val="22"/>
        </w:rPr>
        <w:t>102/102 unique Step 2–14 guide IDs present.</w:t>
      </w:r>
    </w:p>
    <w:p>
      <w:pPr>
        <w:pStyle w:val="ListBullet"/>
        <w:spacing w:after="160" w:line="280" w:lineRule="auto"/>
        <w:ind w:left="720" w:hanging="360"/>
      </w:pPr>
      <w:r>
        <w:rPr>
          <w:rFonts w:ascii="Calibri" w:hAnsi="Calibri"/>
          <w:color w:val="1A1A1A"/>
          <w:sz w:val="22"/>
        </w:rPr>
        <w:t>120 non-manifest artifacts: 72 visibly labelled figures and 40 origin-labelled CSV tables, plus memos and package records.</w:t>
      </w:r>
    </w:p>
    <w:p>
      <w:pPr>
        <w:pStyle w:val="ListBullet"/>
        <w:spacing w:after="160" w:line="280" w:lineRule="auto"/>
        <w:ind w:left="720" w:hanging="360"/>
      </w:pPr>
      <w:r>
        <w:rPr>
          <w:rFonts w:ascii="Calibri" w:hAnsi="Calibri"/>
          <w:color w:val="1A1A1A"/>
          <w:sz w:val="22"/>
        </w:rPr>
        <w:t>All synthetic outputs use seed 20260805 and are package-indexed as gate-ineligible; tables are origin-labelled and marked canonical_eligible=false.</w:t>
      </w:r>
    </w:p>
    <w:p>
      <w:pPr>
        <w:pStyle w:val="ListBullet"/>
        <w:spacing w:after="160" w:line="280" w:lineRule="auto"/>
        <w:ind w:left="720" w:hanging="360"/>
      </w:pPr>
      <w:r>
        <w:rPr>
          <w:rFonts w:ascii="Calibri" w:hAnsi="Calibri"/>
          <w:color w:val="1A1A1A"/>
          <w:sz w:val="22"/>
        </w:rPr>
        <w:t>The authoritative manifest records SHA-256 hashes for every non-manifest artifact; source inventory contains 20 hashed code/governance entries.</w:t>
      </w:r>
    </w:p>
    <w:p>
      <w:pPr>
        <w:pStyle w:val="ListBullet"/>
        <w:spacing w:after="160" w:line="280" w:lineRule="auto"/>
        <w:ind w:left="720" w:hanging="360"/>
      </w:pPr>
      <w:r>
        <w:rPr>
          <w:rFonts w:ascii="Calibri" w:hAnsi="Calibri"/>
          <w:color w:val="1A1A1A"/>
          <w:sz w:val="22"/>
        </w:rPr>
        <w:t>Manifest SHA-256: 9027f655a9a611c2ee8c6e6e2c17f1a0c5078b670141e9d941496c44c50d7642.</w:t>
      </w:r>
    </w:p>
    <w:p>
      <w:pPr>
        <w:pStyle w:val="ListBullet"/>
        <w:spacing w:after="160" w:line="280" w:lineRule="auto"/>
        <w:ind w:left="720" w:hanging="360"/>
      </w:pPr>
      <w:r>
        <w:rPr>
          <w:rFonts w:ascii="Calibri" w:hAnsi="Calibri"/>
          <w:color w:val="1A1A1A"/>
          <w:sz w:val="22"/>
        </w:rPr>
        <w:t>Release archive SHA-256: e457fca0bd26af69115dead7730105ae0fabca518a1c9b7a2d4fa803775a64f2.</w:t>
      </w:r>
    </w:p>
    <w:p>
      <w:pPr>
        <w:pStyle w:val="Heading2"/>
        <w:keepNext/>
      </w:pPr>
      <w:r>
        <w:t>Illustrative numbers that must not be cited as findings</w:t>
      </w:r>
    </w:p>
    <w:p>
      <w:pPr>
        <w:keepLines w:val="0"/>
        <w:spacing w:after="120" w:line="264" w:lineRule="auto"/>
      </w:pPr>
      <w:r>
        <w:rPr>
          <w:rFonts w:ascii="Calibri" w:hAnsi="Calibri"/>
          <w:color w:val="1A1A1A"/>
          <w:sz w:val="22"/>
        </w:rPr>
        <w:t>For example, the synthetic endpoint table contains a fabricated equal-city late-minus-morning contrast of 0.7355 K (synthetic interval 0.6280–0.8430 K), and the synthetic robustness workflow contains a 0.057 K pavement placebo and −0.715 K night contrast. These values prove only that reporting and sensitivity code paths work. They are not estimates for Phoenix or any other real city.</w:t>
      </w:r>
    </w:p>
    <w:p>
      <w:pPr>
        <w:pageBreakBefore/>
        <w:spacing w:before="0" w:after="0"/>
      </w:pPr>
    </w:p>
    <w:p>
      <w:pPr>
        <w:spacing w:before="0" w:after="100"/>
      </w:pPr>
      <w:r>
        <w:rPr>
          <w:rFonts w:ascii="Calibri" w:hAnsi="Calibri"/>
          <w:b/>
          <w:smallCaps/>
          <w:color w:val="2E74B5"/>
          <w:sz w:val="18"/>
        </w:rPr>
        <w:t>ILLUSTRATIVE OUTPUT EXAMPLES</w:t>
      </w:r>
    </w:p>
    <w:p>
      <w:pPr>
        <w:pStyle w:val="Heading1"/>
        <w:keepNext/>
      </w:pPr>
      <w:r>
        <w:t>Planned study design and primary-result format</w:t>
      </w:r>
    </w:p>
    <w:p>
      <w:pPr>
        <w:keepLines/>
        <w:spacing w:before="60" w:after="80"/>
        <w:jc w:val="center"/>
      </w:pPr>
      <w:r>
        <w:drawing>
          <wp:inline xmlns:a="http://schemas.openxmlformats.org/drawingml/2006/main" xmlns:pic="http://schemas.openxmlformats.org/drawingml/2006/picture">
            <wp:extent cx="5806440" cy="2351625"/>
            <wp:docPr id="6" name="Picture 6"/>
            <wp:cNvGraphicFramePr>
              <a:graphicFrameLocks noChangeAspect="1"/>
            </wp:cNvGraphicFramePr>
            <a:graphic>
              <a:graphicData uri="http://schemas.openxmlformats.org/drawingml/2006/picture">
                <pic:pic>
                  <pic:nvPicPr>
                    <pic:cNvPr id="0" name="ILLUSTRATIVE_F14.1_PAPER_FIGURE_1_study_design.png"/>
                    <pic:cNvPicPr/>
                  </pic:nvPicPr>
                  <pic:blipFill>
                    <a:blip r:embed="rId16"/>
                    <a:stretch>
                      <a:fillRect/>
                    </a:stretch>
                  </pic:blipFill>
                  <pic:spPr>
                    <a:xfrm>
                      <a:off x="0" y="0"/>
                      <a:ext cx="5806440" cy="2351625"/>
                    </a:xfrm>
                    <a:prstGeom prst="rect"/>
                  </pic:spPr>
                </pic:pic>
              </a:graphicData>
            </a:graphic>
          </wp:inline>
        </w:drawing>
      </w:r>
    </w:p>
    <w:p>
      <w:pPr>
        <w:keepLines/>
        <w:spacing w:before="0" w:after="80"/>
      </w:pPr>
      <w:r>
        <w:rPr>
          <w:rFonts w:ascii="Calibri" w:hAnsi="Calibri"/>
          <w:b/>
          <w:color w:val="1F4D78"/>
          <w:sz w:val="18"/>
        </w:rPr>
        <w:t xml:space="preserve">Figure 6 (illustrative F14.1). </w:t>
      </w:r>
      <w:r>
        <w:rPr>
          <w:rFonts w:ascii="Calibri" w:hAnsi="Calibri"/>
          <w:color w:val="1A1A1A"/>
          <w:sz w:val="18"/>
        </w:rPr>
        <w:t>Synthetic roadmap of the intended multi-city matched comparison: generic domains, separation of tree and reference canopy fractions, and nominal local-time coverage.</w:t>
      </w:r>
    </w:p>
    <w:p>
      <w:pPr>
        <w:keepLines/>
        <w:spacing w:before="0" w:after="160"/>
      </w:pPr>
      <w:r>
        <w:rPr>
          <w:rFonts w:ascii="Calibri" w:hAnsi="Calibri"/>
          <w:i/>
          <w:color w:val="5B6573"/>
          <w:sz w:val="16"/>
        </w:rPr>
        <w:t>Evidence status: Fully synthetic conceptual illustration; no empirical evidentiary value. Source: figures/v2/illustrative_only/steps02_14/ILLUSTRATIVE_F14.1_PAPER_FIGURE_1_study_design.png</w:t>
      </w:r>
    </w:p>
    <w:p>
      <w:pPr>
        <w:keepLines/>
        <w:spacing w:before="60" w:after="80"/>
        <w:jc w:val="center"/>
      </w:pPr>
      <w:r>
        <w:drawing>
          <wp:inline xmlns:a="http://schemas.openxmlformats.org/drawingml/2006/main" xmlns:pic="http://schemas.openxmlformats.org/drawingml/2006/picture">
            <wp:extent cx="5806440" cy="2675915"/>
            <wp:docPr id="7" name="Picture 7"/>
            <wp:cNvGraphicFramePr>
              <a:graphicFrameLocks noChangeAspect="1"/>
            </wp:cNvGraphicFramePr>
            <a:graphic>
              <a:graphicData uri="http://schemas.openxmlformats.org/drawingml/2006/picture">
                <pic:pic>
                  <pic:nvPicPr>
                    <pic:cNvPr id="0" name="ILLUSTRATIVE_F14.2_PAPER_FIGURE_2_primary_result.png"/>
                    <pic:cNvPicPr/>
                  </pic:nvPicPr>
                  <pic:blipFill>
                    <a:blip r:embed="rId17"/>
                    <a:stretch>
                      <a:fillRect/>
                    </a:stretch>
                  </pic:blipFill>
                  <pic:spPr>
                    <a:xfrm>
                      <a:off x="0" y="0"/>
                      <a:ext cx="5806440" cy="2675915"/>
                    </a:xfrm>
                    <a:prstGeom prst="rect"/>
                  </pic:spPr>
                </pic:pic>
              </a:graphicData>
            </a:graphic>
          </wp:inline>
        </w:drawing>
      </w:r>
    </w:p>
    <w:p>
      <w:pPr>
        <w:keepLines/>
        <w:spacing w:before="0" w:after="80"/>
      </w:pPr>
      <w:r>
        <w:rPr>
          <w:rFonts w:ascii="Calibri" w:hAnsi="Calibri"/>
          <w:b/>
          <w:color w:val="1F4D78"/>
          <w:sz w:val="18"/>
        </w:rPr>
        <w:t xml:space="preserve">Figure 7 (illustrative F14.2). </w:t>
      </w:r>
      <w:r>
        <w:rPr>
          <w:rFonts w:ascii="Calibri" w:hAnsi="Calibri"/>
          <w:color w:val="1A1A1A"/>
          <w:sz w:val="18"/>
        </w:rPr>
        <w:t>Synthetic format for city-specific and pooled cooling contrasts across local-solar-time strata. The apparent later-day increase and every uncertainty interval are fabricated.</w:t>
      </w:r>
    </w:p>
    <w:p>
      <w:pPr>
        <w:keepLines/>
        <w:spacing w:before="0" w:after="160"/>
      </w:pPr>
      <w:r>
        <w:rPr>
          <w:rFonts w:ascii="Calibri" w:hAnsi="Calibri"/>
          <w:i/>
          <w:color w:val="5B6573"/>
          <w:sz w:val="16"/>
        </w:rPr>
        <w:t>Evidence status: Fully synthetic primary-result mock-up; no thermal data opened. Source: figures/v2/illustrative_only/steps02_14/ILLUSTRATIVE_F14.2_PAPER_FIGURE_2_primary_result.png</w:t>
      </w:r>
    </w:p>
    <w:p>
      <w:pPr>
        <w:pageBreakBefore/>
        <w:spacing w:before="0" w:after="0"/>
      </w:pPr>
    </w:p>
    <w:p>
      <w:pPr>
        <w:spacing w:before="0" w:after="100"/>
      </w:pPr>
      <w:r>
        <w:rPr>
          <w:rFonts w:ascii="Calibri" w:hAnsi="Calibri"/>
          <w:b/>
          <w:smallCaps/>
          <w:color w:val="2E74B5"/>
          <w:sz w:val="18"/>
        </w:rPr>
        <w:t>ILLUSTRATIVE OUTPUT EXAMPLES</w:t>
      </w:r>
    </w:p>
    <w:p>
      <w:pPr>
        <w:pStyle w:val="Heading1"/>
        <w:keepNext/>
      </w:pPr>
      <w:r>
        <w:t>Planned interaction and support display</w:t>
      </w:r>
    </w:p>
    <w:p>
      <w:pPr>
        <w:keepLines/>
        <w:spacing w:before="60" w:after="80"/>
        <w:jc w:val="center"/>
      </w:pPr>
      <w:r>
        <w:drawing>
          <wp:inline xmlns:a="http://schemas.openxmlformats.org/drawingml/2006/main" xmlns:pic="http://schemas.openxmlformats.org/drawingml/2006/picture">
            <wp:extent cx="4983480" cy="3916771"/>
            <wp:docPr id="8" name="Picture 8"/>
            <wp:cNvGraphicFramePr>
              <a:graphicFrameLocks noChangeAspect="1"/>
            </wp:cNvGraphicFramePr>
            <a:graphic>
              <a:graphicData uri="http://schemas.openxmlformats.org/drawingml/2006/picture">
                <pic:pic>
                  <pic:nvPicPr>
                    <pic:cNvPr id="0" name="ILLUSTRATIVE_F14.3_PAPER_FIGURE_3_hydroclimatic_surface.png"/>
                    <pic:cNvPicPr/>
                  </pic:nvPicPr>
                  <pic:blipFill>
                    <a:blip r:embed="rId18"/>
                    <a:stretch>
                      <a:fillRect/>
                    </a:stretch>
                  </pic:blipFill>
                  <pic:spPr>
                    <a:xfrm>
                      <a:off x="0" y="0"/>
                      <a:ext cx="4983480" cy="3916771"/>
                    </a:xfrm>
                    <a:prstGeom prst="rect"/>
                  </pic:spPr>
                </pic:pic>
              </a:graphicData>
            </a:graphic>
          </wp:inline>
        </w:drawing>
      </w:r>
    </w:p>
    <w:p>
      <w:pPr>
        <w:keepLines/>
        <w:spacing w:before="0" w:after="80"/>
      </w:pPr>
      <w:r>
        <w:rPr>
          <w:rFonts w:ascii="Calibri" w:hAnsi="Calibri"/>
          <w:b/>
          <w:color w:val="1F4D78"/>
          <w:sz w:val="18"/>
        </w:rPr>
        <w:t xml:space="preserve">Figure 8 (illustrative F14.3). </w:t>
      </w:r>
      <w:r>
        <w:rPr>
          <w:rFonts w:ascii="Calibri" w:hAnsi="Calibri"/>
          <w:color w:val="1A1A1A"/>
          <w:sz w:val="18"/>
        </w:rPr>
        <w:t>Synthetic crown-area-by-moisture-deficit response surfaces for four local-time strata. Grey cells demonstrate the rule that unsupported regions must be masked rather than interpreted.</w:t>
      </w:r>
    </w:p>
    <w:p>
      <w:pPr>
        <w:keepLines/>
        <w:spacing w:before="0" w:after="160"/>
      </w:pPr>
      <w:r>
        <w:rPr>
          <w:rFonts w:ascii="Calibri" w:hAnsi="Calibri"/>
          <w:i/>
          <w:color w:val="5B6573"/>
          <w:sz w:val="16"/>
        </w:rPr>
        <w:t>Evidence status: Fully synthetic interaction-surface mock-up. Source: figures/v2/illustrative_only/steps02_14/ILLUSTRATIVE_F14.3_PAPER_FIGURE_3_hydroclimatic_surface.png</w:t>
      </w:r>
    </w:p>
    <w:p>
      <w:pPr>
        <w:keepLines w:val="0"/>
        <w:spacing w:after="120" w:line="264" w:lineRule="auto"/>
      </w:pPr>
      <w:r>
        <w:rPr>
          <w:rFonts w:ascii="Calibri" w:hAnsi="Calibri"/>
          <w:color w:val="1A1A1A"/>
          <w:sz w:val="22"/>
        </w:rPr>
        <w:t>This display is useful because it shows the intended guardrail, not because of its colors: every real surface cell would require adequate independent-pass support before it could contribute to a threshold or interaction claim.</w:t>
      </w:r>
    </w:p>
    <w:p>
      <w:pPr>
        <w:pageBreakBefore/>
        <w:spacing w:before="0" w:after="0"/>
      </w:pPr>
    </w:p>
    <w:p>
      <w:pPr>
        <w:spacing w:before="0" w:after="100"/>
      </w:pPr>
      <w:r>
        <w:rPr>
          <w:rFonts w:ascii="Calibri" w:hAnsi="Calibri"/>
          <w:b/>
          <w:smallCaps/>
          <w:color w:val="2E74B5"/>
          <w:sz w:val="18"/>
        </w:rPr>
        <w:t>ILLUSTRATIVE OUTPUT EXAMPLES</w:t>
      </w:r>
    </w:p>
    <w:p>
      <w:pPr>
        <w:pStyle w:val="Heading1"/>
        <w:keepNext/>
      </w:pPr>
      <w:r>
        <w:t>Planned robustness dashboard</w:t>
      </w:r>
    </w:p>
    <w:p>
      <w:pPr>
        <w:keepLines/>
        <w:spacing w:before="60" w:after="80"/>
        <w:jc w:val="center"/>
      </w:pPr>
      <w:r>
        <w:drawing>
          <wp:inline xmlns:a="http://schemas.openxmlformats.org/drawingml/2006/main" xmlns:pic="http://schemas.openxmlformats.org/drawingml/2006/picture">
            <wp:extent cx="4983480" cy="3630471"/>
            <wp:docPr id="9" name="Picture 9"/>
            <wp:cNvGraphicFramePr>
              <a:graphicFrameLocks noChangeAspect="1"/>
            </wp:cNvGraphicFramePr>
            <a:graphic>
              <a:graphicData uri="http://schemas.openxmlformats.org/drawingml/2006/picture">
                <pic:pic>
                  <pic:nvPicPr>
                    <pic:cNvPr id="0" name="ILLUSTRATIVE_F14.6_PAPER_FIGURE_6_robustness.png"/>
                    <pic:cNvPicPr/>
                  </pic:nvPicPr>
                  <pic:blipFill>
                    <a:blip r:embed="rId19"/>
                    <a:stretch>
                      <a:fillRect/>
                    </a:stretch>
                  </pic:blipFill>
                  <pic:spPr>
                    <a:xfrm>
                      <a:off x="0" y="0"/>
                      <a:ext cx="4983480" cy="3630471"/>
                    </a:xfrm>
                    <a:prstGeom prst="rect"/>
                  </pic:spPr>
                </pic:pic>
              </a:graphicData>
            </a:graphic>
          </wp:inline>
        </w:drawing>
      </w:r>
    </w:p>
    <w:p>
      <w:pPr>
        <w:keepLines/>
        <w:spacing w:before="0" w:after="80"/>
      </w:pPr>
      <w:r>
        <w:rPr>
          <w:rFonts w:ascii="Calibri" w:hAnsi="Calibri"/>
          <w:b/>
          <w:color w:val="1F4D78"/>
          <w:sz w:val="18"/>
        </w:rPr>
        <w:t xml:space="preserve">Figure 9 (illustrative F14.6). </w:t>
      </w:r>
      <w:r>
        <w:rPr>
          <w:rFonts w:ascii="Calibri" w:hAnsi="Calibri"/>
          <w:color w:val="1A1A1A"/>
          <w:sz w:val="18"/>
        </w:rPr>
        <w:t>Synthetic robustness dashboard covering a placebo, day/night comparison, leave-one-city-out stability, and an uncertainty budget. Every point, interval, and contribution is fabricated.</w:t>
      </w:r>
    </w:p>
    <w:p>
      <w:pPr>
        <w:keepLines/>
        <w:spacing w:before="0" w:after="160"/>
      </w:pPr>
      <w:r>
        <w:rPr>
          <w:rFonts w:ascii="Calibri" w:hAnsi="Calibri"/>
          <w:i/>
          <w:color w:val="5B6573"/>
          <w:sz w:val="16"/>
        </w:rPr>
        <w:t>Evidence status: Fully synthetic robustness-summary mock-up. Source: figures/v2/illustrative_only/steps02_14/ILLUSTRATIVE_F14.6_PAPER_FIGURE_6_robustness.png</w:t>
      </w:r>
    </w:p>
    <w:p>
      <w:pPr>
        <w:keepLines w:val="0"/>
        <w:spacing w:after="120" w:line="264" w:lineRule="auto"/>
      </w:pPr>
      <w:r>
        <w:rPr>
          <w:rFonts w:ascii="Calibri" w:hAnsi="Calibri"/>
          <w:color w:val="1A1A1A"/>
          <w:sz w:val="22"/>
        </w:rPr>
        <w:t>The final empirical study would need all four classes of evidence to behave coherently: a near-zero placebo, an interpretable day/night pattern, city-robust estimates, and an effect that is honestly compared with the combined detection limit.</w:t>
      </w:r>
    </w:p>
    <w:p>
      <w:pPr>
        <w:pageBreakBefore/>
        <w:spacing w:before="0" w:after="0"/>
      </w:pPr>
    </w:p>
    <w:p>
      <w:pPr>
        <w:spacing w:before="0" w:after="100"/>
      </w:pPr>
      <w:r>
        <w:rPr>
          <w:rFonts w:ascii="Calibri" w:hAnsi="Calibri"/>
          <w:b/>
          <w:smallCaps/>
          <w:color w:val="2E74B5"/>
          <w:sz w:val="18"/>
        </w:rPr>
        <w:t>AUDITABILITY</w:t>
      </w:r>
    </w:p>
    <w:p>
      <w:pPr>
        <w:pStyle w:val="Heading1"/>
        <w:keepNext/>
      </w:pPr>
      <w:r>
        <w:t>7. Quality assurance and reproducibility record</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Area</w:t>
            </w:r>
          </w:p>
        </w:tc>
        <w:tc>
          <w:tcPr>
            <w:tcW w:type="dxa" w:w="69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Completed evidence</w:t>
            </w:r>
          </w:p>
        </w:tc>
      </w:tr>
      <w:tr>
        <w:tc>
          <w:tcPr>
            <w:tcW w:type="dxa" w:w="2400"/>
          </w:tcPr>
          <w:p>
            <w:pPr>
              <w:spacing w:before="0" w:after="0" w:line="240" w:lineRule="auto"/>
              <w:jc w:val="left"/>
            </w:pPr>
            <w:r/>
            <w:r>
              <w:rPr>
                <w:rFonts w:ascii="Calibri" w:hAnsi="Calibri"/>
                <w:b w:val="0"/>
                <w:color w:val="1A1A1A"/>
                <w:sz w:val="17"/>
              </w:rPr>
              <w:t>Requirements control</w:t>
            </w:r>
          </w:p>
        </w:tc>
        <w:tc>
          <w:tcPr>
            <w:tcW w:type="dxa" w:w="6960"/>
          </w:tcPr>
          <w:p>
            <w:pPr>
              <w:spacing w:before="0" w:after="0" w:line="240" w:lineRule="auto"/>
              <w:jc w:val="left"/>
            </w:pPr>
            <w:r/>
            <w:r>
              <w:rPr>
                <w:rFonts w:ascii="Calibri" w:hAnsi="Calibri"/>
                <w:b w:val="0"/>
                <w:color w:val="1A1A1A"/>
                <w:sz w:val="17"/>
              </w:rPr>
              <w:t>One normalized registry; scientific cautions retained; gates and open decisions explicit.</w:t>
            </w:r>
          </w:p>
        </w:tc>
      </w:tr>
      <w:tr>
        <w:tc>
          <w:tcPr>
            <w:tcW w:type="dxa" w:w="2400"/>
          </w:tcPr>
          <w:p>
            <w:pPr>
              <w:spacing w:before="0" w:after="0" w:line="240" w:lineRule="auto"/>
              <w:jc w:val="left"/>
            </w:pPr>
            <w:r/>
            <w:r>
              <w:rPr>
                <w:rFonts w:ascii="Calibri" w:hAnsi="Calibri"/>
                <w:b w:val="0"/>
                <w:color w:val="1A1A1A"/>
                <w:sz w:val="17"/>
              </w:rPr>
              <w:t>Decision provenance</w:t>
            </w:r>
          </w:p>
        </w:tc>
        <w:tc>
          <w:tcPr>
            <w:tcW w:type="dxa" w:w="6960"/>
          </w:tcPr>
          <w:p>
            <w:pPr>
              <w:spacing w:before="0" w:after="0" w:line="240" w:lineRule="auto"/>
              <w:jc w:val="left"/>
            </w:pPr>
            <w:r/>
            <w:r>
              <w:rPr>
                <w:rFonts w:ascii="Calibri" w:hAnsi="Calibri"/>
                <w:b w:val="0"/>
                <w:color w:val="1A1A1A"/>
                <w:sz w:val="17"/>
              </w:rPr>
              <w:t>Append-only decisions D0001–D0052 and runs R0001–R0013; superseded evidence retained rather than overwritten.</w:t>
            </w:r>
          </w:p>
        </w:tc>
      </w:tr>
      <w:tr>
        <w:tc>
          <w:tcPr>
            <w:tcW w:type="dxa" w:w="2400"/>
          </w:tcPr>
          <w:p>
            <w:pPr>
              <w:spacing w:before="0" w:after="0" w:line="240" w:lineRule="auto"/>
              <w:jc w:val="left"/>
            </w:pPr>
            <w:r/>
            <w:r>
              <w:rPr>
                <w:rFonts w:ascii="Calibri" w:hAnsi="Calibri"/>
                <w:b w:val="0"/>
                <w:color w:val="1A1A1A"/>
                <w:sz w:val="17"/>
              </w:rPr>
              <w:t>Domain provenance</w:t>
            </w:r>
          </w:p>
        </w:tc>
        <w:tc>
          <w:tcPr>
            <w:tcW w:type="dxa" w:w="6960"/>
          </w:tcPr>
          <w:p>
            <w:pPr>
              <w:spacing w:before="0" w:after="0" w:line="240" w:lineRule="auto"/>
              <w:jc w:val="left"/>
            </w:pPr>
            <w:r/>
            <w:r>
              <w:rPr>
                <w:rFonts w:ascii="Calibri" w:hAnsi="Calibri"/>
                <w:b w:val="0"/>
                <w:color w:val="1A1A1A"/>
                <w:sz w:val="17"/>
              </w:rPr>
              <w:t>Official Census Urban Area identifiers, geometry hashes, repaired analysis hashes, areas and tile intersections recorded.</w:t>
            </w:r>
          </w:p>
        </w:tc>
      </w:tr>
      <w:tr>
        <w:tc>
          <w:tcPr>
            <w:tcW w:type="dxa" w:w="2400"/>
          </w:tcPr>
          <w:p>
            <w:pPr>
              <w:spacing w:before="0" w:after="0" w:line="240" w:lineRule="auto"/>
              <w:jc w:val="left"/>
            </w:pPr>
            <w:r/>
            <w:r>
              <w:rPr>
                <w:rFonts w:ascii="Calibri" w:hAnsi="Calibri"/>
                <w:b w:val="0"/>
                <w:color w:val="1A1A1A"/>
                <w:sz w:val="17"/>
              </w:rPr>
              <w:t>Step 1 inference</w:t>
            </w:r>
          </w:p>
        </w:tc>
        <w:tc>
          <w:tcPr>
            <w:tcW w:type="dxa" w:w="6960"/>
          </w:tcPr>
          <w:p>
            <w:pPr>
              <w:spacing w:before="0" w:after="0" w:line="240" w:lineRule="auto"/>
              <w:jc w:val="left"/>
            </w:pPr>
            <w:r/>
            <w:r>
              <w:rPr>
                <w:rFonts w:ascii="Calibri" w:hAnsi="Calibri"/>
                <w:b w:val="0"/>
                <w:color w:val="1A1A1A"/>
                <w:sz w:val="17"/>
              </w:rPr>
              <w:t>Whole-summer bootstrap and permutation units; exact cell identities; unit and percentile checks; window sensitivity; figure review.</w:t>
            </w:r>
          </w:p>
        </w:tc>
      </w:tr>
      <w:tr>
        <w:tc>
          <w:tcPr>
            <w:tcW w:type="dxa" w:w="2400"/>
          </w:tcPr>
          <w:p>
            <w:pPr>
              <w:spacing w:before="0" w:after="0" w:line="240" w:lineRule="auto"/>
              <w:jc w:val="left"/>
            </w:pPr>
            <w:r/>
            <w:r>
              <w:rPr>
                <w:rFonts w:ascii="Calibri" w:hAnsi="Calibri"/>
                <w:b w:val="0"/>
                <w:color w:val="1A1A1A"/>
                <w:sz w:val="17"/>
              </w:rPr>
              <w:t>Satellite provenance</w:t>
            </w:r>
          </w:p>
        </w:tc>
        <w:tc>
          <w:tcPr>
            <w:tcW w:type="dxa" w:w="6960"/>
          </w:tcPr>
          <w:p>
            <w:pPr>
              <w:spacing w:before="0" w:after="0" w:line="240" w:lineRule="auto"/>
              <w:jc w:val="left"/>
            </w:pPr>
            <w:r/>
            <w:r>
              <w:rPr>
                <w:rFonts w:ascii="Calibri" w:hAnsi="Calibri"/>
                <w:b w:val="0"/>
                <w:color w:val="1A1A1A"/>
                <w:sz w:val="17"/>
              </w:rPr>
              <w:t>Exact scene identities, official endpoints, byte-range controls, checksums and durable checkpoints recorded without exposing credentials.</w:t>
            </w:r>
          </w:p>
        </w:tc>
      </w:tr>
      <w:tr>
        <w:tc>
          <w:tcPr>
            <w:tcW w:type="dxa" w:w="2400"/>
          </w:tcPr>
          <w:p>
            <w:pPr>
              <w:spacing w:before="0" w:after="0" w:line="240" w:lineRule="auto"/>
              <w:jc w:val="left"/>
            </w:pPr>
            <w:r/>
            <w:r>
              <w:rPr>
                <w:rFonts w:ascii="Calibri" w:hAnsi="Calibri"/>
                <w:b w:val="0"/>
                <w:color w:val="1A1A1A"/>
                <w:sz w:val="17"/>
              </w:rPr>
              <w:t>Failure discipline</w:t>
            </w:r>
          </w:p>
        </w:tc>
        <w:tc>
          <w:tcPr>
            <w:tcW w:type="dxa" w:w="6960"/>
          </w:tcPr>
          <w:p>
            <w:pPr>
              <w:spacing w:before="0" w:after="0" w:line="240" w:lineRule="auto"/>
              <w:jc w:val="left"/>
            </w:pPr>
            <w:r/>
            <w:r>
              <w:rPr>
                <w:rFonts w:ascii="Calibri" w:hAnsi="Calibri"/>
                <w:b w:val="0"/>
                <w:color w:val="1A1A1A"/>
                <w:sz w:val="17"/>
              </w:rPr>
              <w:t>Missing scenes failed closed; no imputation or adjacent-scene substitution; invalid cloud-conditioned geometry count was rejected.</w:t>
            </w:r>
          </w:p>
        </w:tc>
      </w:tr>
      <w:tr>
        <w:tc>
          <w:tcPr>
            <w:tcW w:type="dxa" w:w="2400"/>
          </w:tcPr>
          <w:p>
            <w:pPr>
              <w:spacing w:before="0" w:after="0" w:line="240" w:lineRule="auto"/>
              <w:jc w:val="left"/>
            </w:pPr>
            <w:r/>
            <w:r>
              <w:rPr>
                <w:rFonts w:ascii="Calibri" w:hAnsi="Calibri"/>
                <w:b w:val="0"/>
                <w:color w:val="1A1A1A"/>
                <w:sz w:val="17"/>
              </w:rPr>
              <w:t>Automated verification</w:t>
            </w:r>
          </w:p>
        </w:tc>
        <w:tc>
          <w:tcPr>
            <w:tcW w:type="dxa" w:w="6960"/>
          </w:tcPr>
          <w:p>
            <w:pPr>
              <w:spacing w:before="0" w:after="0" w:line="240" w:lineRule="auto"/>
              <w:jc w:val="left"/>
            </w:pPr>
            <w:r/>
            <w:r>
              <w:rPr>
                <w:rFonts w:ascii="Calibri" w:hAnsi="Calibri"/>
                <w:b w:val="0"/>
                <w:color w:val="1A1A1A"/>
                <w:sz w:val="17"/>
              </w:rPr>
              <w:t>R0013 passed 139/139 v2 tests and all 17 isolated legacy test programs.</w:t>
            </w:r>
          </w:p>
        </w:tc>
      </w:tr>
      <w:tr>
        <w:tc>
          <w:tcPr>
            <w:tcW w:type="dxa" w:w="2400"/>
          </w:tcPr>
          <w:p>
            <w:pPr>
              <w:spacing w:before="0" w:after="0" w:line="240" w:lineRule="auto"/>
              <w:jc w:val="left"/>
            </w:pPr>
            <w:r/>
            <w:r>
              <w:rPr>
                <w:rFonts w:ascii="Calibri" w:hAnsi="Calibri"/>
                <w:b w:val="0"/>
                <w:color w:val="1A1A1A"/>
                <w:sz w:val="17"/>
              </w:rPr>
              <w:t>Packaging</w:t>
            </w:r>
          </w:p>
        </w:tc>
        <w:tc>
          <w:tcPr>
            <w:tcW w:type="dxa" w:w="6960"/>
          </w:tcPr>
          <w:p>
            <w:pPr>
              <w:spacing w:before="0" w:after="0" w:line="240" w:lineRule="auto"/>
              <w:jc w:val="left"/>
            </w:pPr>
            <w:r/>
            <w:r>
              <w:rPr>
                <w:rFonts w:ascii="Calibri" w:hAnsi="Calibri"/>
                <w:b w:val="0"/>
                <w:color w:val="1A1A1A"/>
                <w:sz w:val="17"/>
              </w:rPr>
              <w:t>All illustrative artifacts hashed; 20-entry source inventory and rebuild instructions included.</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Borders>
              <w:top w:val="single" w:sz="12" w:color="B26A00"/>
              <w:left w:val="single" w:sz="12" w:color="B26A00"/>
              <w:bottom w:val="single" w:sz="12" w:color="B26A00"/>
              <w:right w:val="single" w:sz="12" w:color="B26A00"/>
            </w:tcBorders>
          </w:tcPr>
          <w:p>
            <w:pPr>
              <w:spacing w:after="60"/>
            </w:pPr>
            <w:r>
              <w:rPr>
                <w:rFonts w:ascii="Calibri" w:hAnsi="Calibri"/>
                <w:b/>
                <w:color w:val="B26A00"/>
                <w:sz w:val="23"/>
              </w:rPr>
              <w:t>What the testing record does—and does not—prove</w:t>
            </w:r>
          </w:p>
          <w:p>
            <w:pPr>
              <w:spacing w:after="0" w:line="264" w:lineRule="auto"/>
            </w:pPr>
            <w:r>
              <w:rPr>
                <w:rFonts w:ascii="Calibri" w:hAnsi="Calibri"/>
                <w:color w:val="1A1A1A"/>
                <w:sz w:val="21"/>
              </w:rPr>
              <w:t>The tests provide strong evidence that the implemented schemas, gates, deterministic calculations, and package bookkeeping behave as intended. They cannot substitute for the missing geometry/cloud census, empirical thermal data, real holdout selection, or 2026 confirmation.</w:t>
            </w:r>
          </w:p>
        </w:tc>
      </w:tr>
    </w:tbl>
    <w:p>
      <w:pPr>
        <w:spacing w:after="0"/>
      </w:pPr>
    </w:p>
    <w:p>
      <w:pPr>
        <w:pStyle w:val="Heading2"/>
        <w:keepNext/>
      </w:pPr>
      <w:r>
        <w:t>No-result safeguards preserved</w:t>
      </w:r>
    </w:p>
    <w:p>
      <w:pPr>
        <w:pStyle w:val="ListBullet"/>
        <w:spacing w:after="160" w:line="280" w:lineRule="auto"/>
        <w:ind w:left="720" w:hanging="360"/>
      </w:pPr>
      <w:r>
        <w:rPr>
          <w:rFonts w:ascii="Calibri" w:hAnsi="Calibri"/>
          <w:color w:val="1A1A1A"/>
          <w:sz w:val="22"/>
        </w:rPr>
        <w:t>No ECOSTRESS LST or thermal value was opened in Task 1 or the illustrative continuation.</w:t>
      </w:r>
    </w:p>
    <w:p>
      <w:pPr>
        <w:pStyle w:val="ListBullet"/>
        <w:spacing w:after="160" w:line="280" w:lineRule="auto"/>
        <w:ind w:left="720" w:hanging="360"/>
      </w:pPr>
      <w:r>
        <w:rPr>
          <w:rFonts w:ascii="Calibri" w:hAnsi="Calibri"/>
          <w:color w:val="1A1A1A"/>
          <w:sz w:val="22"/>
        </w:rPr>
        <w:t>The held-out city remains UNSELECTED; synthetic sim_city labels do not select a real city.</w:t>
      </w:r>
    </w:p>
    <w:p>
      <w:pPr>
        <w:pStyle w:val="ListBullet"/>
        <w:spacing w:after="160" w:line="280" w:lineRule="auto"/>
        <w:ind w:left="720" w:hanging="360"/>
      </w:pPr>
      <w:r>
        <w:rPr>
          <w:rFonts w:ascii="Calibri" w:hAnsi="Calibri"/>
          <w:color w:val="1A1A1A"/>
          <w:sz w:val="22"/>
        </w:rPr>
        <w:t>The full 2026 record remains unopened.</w:t>
      </w:r>
    </w:p>
    <w:p>
      <w:pPr>
        <w:pStyle w:val="ListBullet"/>
        <w:spacing w:after="160" w:line="280" w:lineRule="auto"/>
        <w:ind w:left="720" w:hanging="360"/>
      </w:pPr>
      <w:r>
        <w:rPr>
          <w:rFonts w:ascii="Calibri" w:hAnsi="Calibri"/>
          <w:color w:val="1A1A1A"/>
          <w:sz w:val="22"/>
        </w:rPr>
        <w:t>Task 2 remains inactive and the confirmatory report is explicitly NOT RUN.</w:t>
      </w:r>
    </w:p>
    <w:p>
      <w:pPr>
        <w:pStyle w:val="ListBullet"/>
        <w:spacing w:after="160" w:line="280" w:lineRule="auto"/>
        <w:ind w:left="720" w:hanging="360"/>
      </w:pPr>
      <w:r>
        <w:rPr>
          <w:rFonts w:ascii="Calibri" w:hAnsi="Calibri"/>
          <w:color w:val="1A1A1A"/>
          <w:sz w:val="22"/>
        </w:rPr>
        <w:t>No synthetic value is eligible for manuscript, causal, policy, or confirmatory interpretation.</w:t>
      </w:r>
    </w:p>
    <w:p>
      <w:pPr>
        <w:pageBreakBefore/>
        <w:spacing w:before="0" w:after="0"/>
      </w:pPr>
    </w:p>
    <w:p>
      <w:pPr>
        <w:spacing w:before="0" w:after="100"/>
      </w:pPr>
      <w:r>
        <w:rPr>
          <w:rFonts w:ascii="Calibri" w:hAnsi="Calibri"/>
          <w:b/>
          <w:smallCaps/>
          <w:color w:val="2E74B5"/>
          <w:sz w:val="18"/>
        </w:rPr>
        <w:t>SCIENTIFIC LIMITS</w:t>
      </w:r>
    </w:p>
    <w:p>
      <w:pPr>
        <w:pStyle w:val="Heading1"/>
        <w:keepNext/>
      </w:pPr>
      <w:r>
        <w:t>8. What can and cannot be concluded now</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Supported conclusion</w:t>
            </w:r>
          </w:p>
        </w:tc>
        <w:tc>
          <w:tcPr>
            <w:tcW w:type="dxa" w:w="468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Unsupported conclusion</w:t>
            </w:r>
          </w:p>
        </w:tc>
      </w:tr>
      <w:tr>
        <w:tc>
          <w:tcPr>
            <w:tcW w:type="dxa" w:w="4680"/>
          </w:tcPr>
          <w:p>
            <w:pPr>
              <w:spacing w:before="0" w:after="0" w:line="240" w:lineRule="auto"/>
              <w:jc w:val="left"/>
            </w:pPr>
            <w:r/>
            <w:r>
              <w:rPr>
                <w:rFonts w:ascii="Calibri" w:hAnsi="Calibri"/>
                <w:b w:val="0"/>
                <w:color w:val="1A1A1A"/>
                <w:sz w:val="17"/>
              </w:rPr>
              <w:t>The five-city weather screen has uneven and often thin clear-sky off-diagonal support.</w:t>
            </w:r>
          </w:p>
        </w:tc>
        <w:tc>
          <w:tcPr>
            <w:tcW w:type="dxa" w:w="4680"/>
          </w:tcPr>
          <w:p>
            <w:pPr>
              <w:spacing w:before="0" w:after="0" w:line="240" w:lineRule="auto"/>
              <w:jc w:val="left"/>
            </w:pPr>
            <w:r/>
            <w:r>
              <w:rPr>
                <w:rFonts w:ascii="Calibri" w:hAnsi="Calibri"/>
                <w:b w:val="0"/>
                <w:color w:val="1A1A1A"/>
                <w:sz w:val="17"/>
              </w:rPr>
              <w:t>Trees have a measured cooling effect of any magnitude in the v2 study.</w:t>
            </w:r>
          </w:p>
        </w:tc>
      </w:tr>
      <w:tr>
        <w:tc>
          <w:tcPr>
            <w:tcW w:type="dxa" w:w="4680"/>
          </w:tcPr>
          <w:p>
            <w:pPr>
              <w:spacing w:before="0" w:after="0" w:line="240" w:lineRule="auto"/>
              <w:jc w:val="left"/>
            </w:pPr>
            <w:r/>
            <w:r>
              <w:rPr>
                <w:rFonts w:ascii="Calibri" w:hAnsi="Calibri"/>
                <w:b w:val="0"/>
                <w:color w:val="1A1A1A"/>
                <w:sz w:val="17"/>
              </w:rPr>
              <w:t>Only two cities pass the predeclared within-city weather-support screen.</w:t>
            </w:r>
          </w:p>
        </w:tc>
        <w:tc>
          <w:tcPr>
            <w:tcW w:type="dxa" w:w="4680"/>
          </w:tcPr>
          <w:p>
            <w:pPr>
              <w:spacing w:before="0" w:after="0" w:line="240" w:lineRule="auto"/>
              <w:jc w:val="left"/>
            </w:pPr>
            <w:r/>
            <w:r>
              <w:rPr>
                <w:rFonts w:ascii="Calibri" w:hAnsi="Calibri"/>
                <w:b w:val="0"/>
                <w:color w:val="1A1A1A"/>
                <w:sz w:val="17"/>
              </w:rPr>
              <w:t>Cooling increases later in the day; the plotted later-day increase is synthetic.</w:t>
            </w:r>
          </w:p>
        </w:tc>
      </w:tr>
      <w:tr>
        <w:tc>
          <w:tcPr>
            <w:tcW w:type="dxa" w:w="4680"/>
          </w:tcPr>
          <w:p>
            <w:pPr>
              <w:spacing w:before="0" w:after="0" w:line="240" w:lineRule="auto"/>
              <w:jc w:val="left"/>
            </w:pPr>
            <w:r/>
            <w:r>
              <w:rPr>
                <w:rFonts w:ascii="Calibri" w:hAnsi="Calibri"/>
                <w:b w:val="0"/>
                <w:color w:val="1A1A1A"/>
                <w:sz w:val="17"/>
              </w:rPr>
              <w:t>The catalogue supplies broad nominal time coverage, but usable-pass totals remain unknown.</w:t>
            </w:r>
          </w:p>
        </w:tc>
        <w:tc>
          <w:tcPr>
            <w:tcW w:type="dxa" w:w="4680"/>
          </w:tcPr>
          <w:p>
            <w:pPr>
              <w:spacing w:before="0" w:after="0" w:line="240" w:lineRule="auto"/>
              <w:jc w:val="left"/>
            </w:pPr>
            <w:r/>
            <w:r>
              <w:rPr>
                <w:rFonts w:ascii="Calibri" w:hAnsi="Calibri"/>
                <w:b w:val="0"/>
                <w:color w:val="1A1A1A"/>
                <w:sz w:val="17"/>
              </w:rPr>
              <w:t>The 1,055-pass catalogue ceiling is the effective empirical sample size.</w:t>
            </w:r>
          </w:p>
        </w:tc>
      </w:tr>
      <w:tr>
        <w:tc>
          <w:tcPr>
            <w:tcW w:type="dxa" w:w="4680"/>
          </w:tcPr>
          <w:p>
            <w:pPr>
              <w:spacing w:before="0" w:after="0" w:line="240" w:lineRule="auto"/>
              <w:jc w:val="left"/>
            </w:pPr>
            <w:r/>
            <w:r>
              <w:rPr>
                <w:rFonts w:ascii="Calibri" w:hAnsi="Calibri"/>
                <w:b w:val="0"/>
                <w:color w:val="1A1A1A"/>
                <w:sz w:val="17"/>
              </w:rPr>
              <w:t>The tiled view-angle screen was cloud-conditioned and correctly rejected.</w:t>
            </w:r>
          </w:p>
        </w:tc>
        <w:tc>
          <w:tcPr>
            <w:tcW w:type="dxa" w:w="4680"/>
          </w:tcPr>
          <w:p>
            <w:pPr>
              <w:spacing w:before="0" w:after="0" w:line="240" w:lineRule="auto"/>
              <w:jc w:val="left"/>
            </w:pPr>
            <w:r/>
            <w:r>
              <w:rPr>
                <w:rFonts w:ascii="Calibri" w:hAnsi="Calibri"/>
                <w:b w:val="0"/>
                <w:color w:val="1A1A1A"/>
                <w:sz w:val="17"/>
              </w:rPr>
              <w:t>The provisional 106-pass floor is a valid or conservative usable-pass count.</w:t>
            </w:r>
          </w:p>
        </w:tc>
      </w:tr>
      <w:tr>
        <w:tc>
          <w:tcPr>
            <w:tcW w:type="dxa" w:w="4680"/>
          </w:tcPr>
          <w:p>
            <w:pPr>
              <w:spacing w:before="0" w:after="0" w:line="240" w:lineRule="auto"/>
              <w:jc w:val="left"/>
            </w:pPr>
            <w:r/>
            <w:r>
              <w:rPr>
                <w:rFonts w:ascii="Calibri" w:hAnsi="Calibri"/>
                <w:b w:val="0"/>
                <w:color w:val="1A1A1A"/>
                <w:sz w:val="17"/>
              </w:rPr>
              <w:t>Exact GEO archive gaps are real at the tested endpoints and not caused by token expiry.</w:t>
            </w:r>
          </w:p>
        </w:tc>
        <w:tc>
          <w:tcPr>
            <w:tcW w:type="dxa" w:w="4680"/>
          </w:tcPr>
          <w:p>
            <w:pPr>
              <w:spacing w:before="0" w:after="0" w:line="240" w:lineRule="auto"/>
              <w:jc w:val="left"/>
            </w:pPr>
            <w:r/>
            <w:r>
              <w:rPr>
                <w:rFonts w:ascii="Calibri" w:hAnsi="Calibri"/>
                <w:b w:val="0"/>
                <w:color w:val="1A1A1A"/>
                <w:sz w:val="17"/>
              </w:rPr>
              <w:t>The 41 objects never existed or will never be restored.</w:t>
            </w:r>
          </w:p>
        </w:tc>
      </w:tr>
      <w:tr>
        <w:tc>
          <w:tcPr>
            <w:tcW w:type="dxa" w:w="4680"/>
          </w:tcPr>
          <w:p>
            <w:pPr>
              <w:spacing w:before="0" w:after="0" w:line="240" w:lineRule="auto"/>
              <w:jc w:val="left"/>
            </w:pPr>
            <w:r/>
            <w:r>
              <w:rPr>
                <w:rFonts w:ascii="Calibri" w:hAnsi="Calibri"/>
                <w:b w:val="0"/>
                <w:color w:val="1A1A1A"/>
                <w:sz w:val="17"/>
              </w:rPr>
              <w:t>The downstream package demonstrates a coherent analysis and reporting workflow.</w:t>
            </w:r>
          </w:p>
        </w:tc>
        <w:tc>
          <w:tcPr>
            <w:tcW w:type="dxa" w:w="4680"/>
          </w:tcPr>
          <w:p>
            <w:pPr>
              <w:spacing w:before="0" w:after="0" w:line="240" w:lineRule="auto"/>
              <w:jc w:val="left"/>
            </w:pPr>
            <w:r/>
            <w:r>
              <w:rPr>
                <w:rFonts w:ascii="Calibri" w:hAnsi="Calibri"/>
                <w:b w:val="0"/>
                <w:color w:val="1A1A1A"/>
                <w:sz w:val="17"/>
              </w:rPr>
              <w:t>Placebo, night, interaction, radiative, sensitivity or holdout checks passed empirically.</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Borders>
              <w:top w:val="single" w:sz="12" w:color="2E74B5"/>
              <w:left w:val="single" w:sz="12" w:color="2E74B5"/>
              <w:bottom w:val="single" w:sz="12" w:color="2E74B5"/>
              <w:right w:val="single" w:sz="12" w:color="2E74B5"/>
            </w:tcBorders>
          </w:tcPr>
          <w:p>
            <w:pPr>
              <w:spacing w:after="60"/>
            </w:pPr>
            <w:r>
              <w:rPr>
                <w:rFonts w:ascii="Calibri" w:hAnsi="Calibri"/>
                <w:b/>
                <w:color w:val="1F4D78"/>
                <w:sz w:val="23"/>
              </w:rPr>
              <w:t>Current scientific recommendation</w:t>
            </w:r>
          </w:p>
          <w:p>
            <w:pPr>
              <w:spacing w:after="0" w:line="264" w:lineRule="auto"/>
            </w:pPr>
            <w:r>
              <w:rPr>
                <w:rFonts w:ascii="Calibri" w:hAnsi="Calibri"/>
                <w:color w:val="1A1A1A"/>
                <w:sz w:val="21"/>
              </w:rPr>
              <w:t>Complete the real feasibility chain before downloading thermal outcomes. If the definitive pass-date audit preserves the Step 1 pattern, use cross-city/common-support comparisons with explicit city-confounding limitations, or redesign the city panel before outcome access.</w:t>
            </w:r>
          </w:p>
        </w:tc>
      </w:tr>
    </w:tbl>
    <w:p>
      <w:pPr>
        <w:spacing w:after="0"/>
      </w:pPr>
    </w:p>
    <w:p>
      <w:pPr>
        <w:pageBreakBefore/>
        <w:spacing w:before="0" w:after="0"/>
      </w:pPr>
    </w:p>
    <w:p>
      <w:pPr>
        <w:spacing w:before="0" w:after="100"/>
      </w:pPr>
      <w:r>
        <w:rPr>
          <w:rFonts w:ascii="Calibri" w:hAnsi="Calibri"/>
          <w:b/>
          <w:smallCaps/>
          <w:color w:val="2E74B5"/>
          <w:sz w:val="18"/>
        </w:rPr>
        <w:t>PATH TO A CANONICAL RESULT</w:t>
      </w:r>
    </w:p>
    <w:p>
      <w:pPr>
        <w:pStyle w:val="Heading1"/>
        <w:keepNext/>
      </w:pPr>
      <w:r>
        <w:t>9. Required next work</w:t>
      </w:r>
    </w:p>
    <w:p>
      <w:pPr>
        <w:numPr>
          <w:ilvl w:val="0"/>
          <w:numId w:val="11"/>
        </w:numPr>
        <w:spacing w:after="160" w:line="280" w:lineRule="auto"/>
        <w:ind w:left="720" w:hanging="360"/>
      </w:pPr>
      <w:r>
        <w:rPr>
          <w:rFonts w:ascii="Calibri" w:hAnsi="Calibri"/>
          <w:color w:val="1A1A1A"/>
          <w:sz w:val="22"/>
        </w:rPr>
        <w:t>Complete the remaining 201 D0047 cloud-independent geometry candidates and preserve a definitive status for all 911 archive-available candidates.</w:t>
      </w:r>
    </w:p>
    <w:p>
      <w:pPr>
        <w:numPr>
          <w:ilvl w:val="0"/>
          <w:numId w:val="11"/>
        </w:numPr>
        <w:spacing w:after="160" w:line="280" w:lineRule="auto"/>
        <w:ind w:left="720" w:hanging="360"/>
      </w:pPr>
      <w:r>
        <w:rPr>
          <w:rFonts w:ascii="Calibri" w:hAnsi="Calibri"/>
          <w:color w:val="1A1A1A"/>
          <w:sz w:val="22"/>
        </w:rPr>
        <w:t>Compute a finite official cloud fraction for every geometry passer; do not extrapolate or silently drop failures.</w:t>
      </w:r>
    </w:p>
    <w:p>
      <w:pPr>
        <w:numPr>
          <w:ilvl w:val="0"/>
          <w:numId w:val="11"/>
        </w:numPr>
        <w:spacing w:after="160" w:line="280" w:lineRule="auto"/>
        <w:ind w:left="720" w:hanging="360"/>
      </w:pPr>
      <w:r>
        <w:rPr>
          <w:rFonts w:ascii="Calibri" w:hAnsi="Calibri"/>
          <w:color w:val="1A1A1A"/>
          <w:sz w:val="22"/>
        </w:rPr>
        <w:t>Complete exact-acquisition HRRR joins for every required retained pass and validate interpolation, units, and domain sampling.</w:t>
      </w:r>
    </w:p>
    <w:p>
      <w:pPr>
        <w:numPr>
          <w:ilvl w:val="0"/>
          <w:numId w:val="11"/>
        </w:numPr>
        <w:spacing w:after="160" w:line="280" w:lineRule="auto"/>
        <w:ind w:left="720" w:hanging="360"/>
      </w:pPr>
      <w:r>
        <w:rPr>
          <w:rFonts w:ascii="Calibri" w:hAnsi="Calibri"/>
          <w:color w:val="1A1A1A"/>
          <w:sz w:val="22"/>
        </w:rPr>
        <w:t>Produce definitive Step 2 outputs, especially F2.5, and reissue the feasibility decision using actual usable pass dates and acquisition-time demand.</w:t>
      </w:r>
    </w:p>
    <w:p>
      <w:pPr>
        <w:numPr>
          <w:ilvl w:val="0"/>
          <w:numId w:val="11"/>
        </w:numPr>
        <w:spacing w:after="160" w:line="280" w:lineRule="auto"/>
        <w:ind w:left="720" w:hanging="360"/>
      </w:pPr>
      <w:r>
        <w:rPr>
          <w:rFonts w:ascii="Calibri" w:hAnsi="Calibri"/>
          <w:color w:val="1A1A1A"/>
          <w:sz w:val="22"/>
        </w:rPr>
        <w:t>Run definitive Step 3 using the certified usable-pass count and actual joint distribution; issue a gate-eligible T3.1 model-support verdict.</w:t>
      </w:r>
    </w:p>
    <w:p>
      <w:pPr>
        <w:numPr>
          <w:ilvl w:val="0"/>
          <w:numId w:val="11"/>
        </w:numPr>
        <w:spacing w:after="160" w:line="280" w:lineRule="auto"/>
        <w:ind w:left="720" w:hanging="360"/>
      </w:pPr>
      <w:r>
        <w:rPr>
          <w:rFonts w:ascii="Calibri" w:hAnsi="Calibri"/>
          <w:color w:val="1A1A1A"/>
          <w:sz w:val="22"/>
        </w:rPr>
        <w:t>Obtain a canonical Task 1 PASS and resolve whether the five-city cross-city scope is sufficient or a sixth-city redesign is needed.</w:t>
      </w:r>
    </w:p>
    <w:p>
      <w:pPr>
        <w:numPr>
          <w:ilvl w:val="0"/>
          <w:numId w:val="11"/>
        </w:numPr>
        <w:spacing w:after="160" w:line="280" w:lineRule="auto"/>
        <w:ind w:left="720" w:hanging="360"/>
      </w:pPr>
      <w:r>
        <w:rPr>
          <w:rFonts w:ascii="Calibri" w:hAnsi="Calibri"/>
          <w:color w:val="1A1A1A"/>
          <w:sz w:val="22"/>
        </w:rPr>
        <w:t>Select the real holdout using quality-only evidence before inspecting thermal outcomes, then pass the Task 2 preflight and storage projection.</w:t>
      </w:r>
    </w:p>
    <w:p>
      <w:pPr>
        <w:numPr>
          <w:ilvl w:val="0"/>
          <w:numId w:val="11"/>
        </w:numPr>
        <w:spacing w:after="160" w:line="280" w:lineRule="auto"/>
        <w:ind w:left="720" w:hanging="360"/>
      </w:pPr>
      <w:r>
        <w:rPr>
          <w:rFonts w:ascii="Calibri" w:hAnsi="Calibri"/>
          <w:color w:val="1A1A1A"/>
          <w:sz w:val="22"/>
        </w:rPr>
        <w:t>Run empirical Steps 4–9 for development cities, then Steps 10–13 with pass-clustered inference and common-support restrictions.</w:t>
      </w:r>
    </w:p>
    <w:p>
      <w:pPr>
        <w:numPr>
          <w:ilvl w:val="0"/>
          <w:numId w:val="11"/>
        </w:numPr>
        <w:spacing w:after="160" w:line="280" w:lineRule="auto"/>
        <w:ind w:left="720" w:hanging="360"/>
      </w:pPr>
      <w:r>
        <w:rPr>
          <w:rFonts w:ascii="Calibri" w:hAnsi="Calibri"/>
          <w:color w:val="1A1A1A"/>
          <w:sz w:val="22"/>
        </w:rPr>
        <w:t>Freeze the complete method before opening the real held-out city or any 2026 record; then run the genuine Step 14 confirmation exactly once.</w:t>
      </w:r>
    </w:p>
    <w:p>
      <w:pPr>
        <w:numPr>
          <w:ilvl w:val="0"/>
          <w:numId w:val="11"/>
        </w:numPr>
        <w:spacing w:after="160" w:line="280" w:lineRule="auto"/>
        <w:ind w:left="720" w:hanging="360"/>
      </w:pPr>
      <w:r>
        <w:rPr>
          <w:rFonts w:ascii="Calibri" w:hAnsi="Calibri"/>
          <w:color w:val="1A1A1A"/>
          <w:sz w:val="22"/>
        </w:rPr>
        <w:t>Complete an independent rebuild. If LP DAAC restores the 41 objects, rerun the original 942-candidate exhaustive census as a separately versioned sensitivity analysis.</w:t>
      </w:r>
    </w:p>
    <w:p>
      <w:pPr>
        <w:pStyle w:val="Heading2"/>
        <w:keepNext/>
      </w:pPr>
      <w:r>
        <w:t>Practical priority order</w:t>
      </w:r>
    </w:p>
    <w:tbl>
      <w:tblPr>
        <w:tblStyle w:val="TableGrid"/>
        <w:tblW w:type="dxa" w:w="9360"/>
        <w:jc w:val="center"/>
        <w:tblLayout w:type="fixed"/>
        <w:tblLook w:firstColumn="1" w:firstRow="1" w:lastColumn="0" w:lastRow="0" w:noHBand="0" w:noVBand="1" w:val="04A0"/>
        <w:tblInd w:w="120" w:type="dxa"/>
      </w:tblPr>
      <w:tblGrid>
        <w:gridCol w:w="900"/>
        <w:gridCol w:w="3400"/>
        <w:gridCol w:w="5060"/>
      </w:tblGrid>
      <w:tr>
        <w:trPr>
          <w:tblHeader w:val="true"/>
        </w:trPr>
        <w:tc>
          <w:tcPr>
            <w:tcW w:type="dxa" w:w="9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Priority</w:t>
            </w:r>
          </w:p>
        </w:tc>
        <w:tc>
          <w:tcPr>
            <w:tcW w:type="dxa" w:w="34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Work</w:t>
            </w:r>
          </w:p>
        </w:tc>
        <w:tc>
          <w:tcPr>
            <w:tcW w:type="dxa" w:w="50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Why it comes first</w:t>
            </w:r>
          </w:p>
        </w:tc>
      </w:tr>
      <w:tr>
        <w:tc>
          <w:tcPr>
            <w:tcW w:type="dxa" w:w="900"/>
          </w:tcPr>
          <w:p>
            <w:pPr>
              <w:spacing w:before="0" w:after="0" w:line="240" w:lineRule="auto"/>
              <w:jc w:val="left"/>
            </w:pPr>
            <w:r/>
            <w:r>
              <w:rPr>
                <w:rFonts w:ascii="Calibri" w:hAnsi="Calibri"/>
                <w:b w:val="0"/>
                <w:color w:val="1A1A1A"/>
                <w:sz w:val="17"/>
              </w:rPr>
              <w:t>1</w:t>
            </w:r>
          </w:p>
        </w:tc>
        <w:tc>
          <w:tcPr>
            <w:tcW w:type="dxa" w:w="3400"/>
          </w:tcPr>
          <w:p>
            <w:pPr>
              <w:spacing w:before="0" w:after="0" w:line="240" w:lineRule="auto"/>
              <w:jc w:val="left"/>
            </w:pPr>
            <w:r/>
            <w:r>
              <w:rPr>
                <w:rFonts w:ascii="Calibri" w:hAnsi="Calibri"/>
                <w:b w:val="0"/>
                <w:color w:val="1A1A1A"/>
                <w:sz w:val="17"/>
              </w:rPr>
              <w:t>Finish geometry and cloud</w:t>
            </w:r>
          </w:p>
        </w:tc>
        <w:tc>
          <w:tcPr>
            <w:tcW w:type="dxa" w:w="5060"/>
          </w:tcPr>
          <w:p>
            <w:pPr>
              <w:spacing w:before="0" w:after="0" w:line="240" w:lineRule="auto"/>
              <w:jc w:val="left"/>
            </w:pPr>
            <w:r/>
            <w:r>
              <w:rPr>
                <w:rFonts w:ascii="Calibri" w:hAnsi="Calibri"/>
                <w:b w:val="0"/>
                <w:color w:val="1A1A1A"/>
                <w:sz w:val="17"/>
              </w:rPr>
              <w:t>Every downstream empirical sample-size and power claim depends on it.</w:t>
            </w:r>
          </w:p>
        </w:tc>
      </w:tr>
      <w:tr>
        <w:tc>
          <w:tcPr>
            <w:tcW w:type="dxa" w:w="900"/>
          </w:tcPr>
          <w:p>
            <w:pPr>
              <w:spacing w:before="0" w:after="0" w:line="240" w:lineRule="auto"/>
              <w:jc w:val="left"/>
            </w:pPr>
            <w:r/>
            <w:r>
              <w:rPr>
                <w:rFonts w:ascii="Calibri" w:hAnsi="Calibri"/>
                <w:b w:val="0"/>
                <w:color w:val="1A1A1A"/>
                <w:sz w:val="17"/>
              </w:rPr>
              <w:t>2</w:t>
            </w:r>
          </w:p>
        </w:tc>
        <w:tc>
          <w:tcPr>
            <w:tcW w:type="dxa" w:w="3400"/>
          </w:tcPr>
          <w:p>
            <w:pPr>
              <w:spacing w:before="0" w:after="0" w:line="240" w:lineRule="auto"/>
              <w:jc w:val="left"/>
            </w:pPr>
            <w:r/>
            <w:r>
              <w:rPr>
                <w:rFonts w:ascii="Calibri" w:hAnsi="Calibri"/>
                <w:b w:val="0"/>
                <w:color w:val="1A1A1A"/>
                <w:sz w:val="17"/>
              </w:rPr>
              <w:t>Finish exact-time HRRR and F2.5</w:t>
            </w:r>
          </w:p>
        </w:tc>
        <w:tc>
          <w:tcPr>
            <w:tcW w:type="dxa" w:w="5060"/>
          </w:tcPr>
          <w:p>
            <w:pPr>
              <w:spacing w:before="0" w:after="0" w:line="240" w:lineRule="auto"/>
              <w:jc w:val="left"/>
            </w:pPr>
            <w:r/>
            <w:r>
              <w:rPr>
                <w:rFonts w:ascii="Calibri" w:hAnsi="Calibri"/>
                <w:b w:val="0"/>
                <w:color w:val="1A1A1A"/>
                <w:sz w:val="17"/>
              </w:rPr>
              <w:t>Replaces the preliminary daily/clear-sky screen with actually sampled conditions.</w:t>
            </w:r>
          </w:p>
        </w:tc>
      </w:tr>
      <w:tr>
        <w:tc>
          <w:tcPr>
            <w:tcW w:type="dxa" w:w="900"/>
          </w:tcPr>
          <w:p>
            <w:pPr>
              <w:spacing w:before="0" w:after="0" w:line="240" w:lineRule="auto"/>
              <w:jc w:val="left"/>
            </w:pPr>
            <w:r/>
            <w:r>
              <w:rPr>
                <w:rFonts w:ascii="Calibri" w:hAnsi="Calibri"/>
                <w:b w:val="0"/>
                <w:color w:val="1A1A1A"/>
                <w:sz w:val="17"/>
              </w:rPr>
              <w:t>3</w:t>
            </w:r>
          </w:p>
        </w:tc>
        <w:tc>
          <w:tcPr>
            <w:tcW w:type="dxa" w:w="3400"/>
          </w:tcPr>
          <w:p>
            <w:pPr>
              <w:spacing w:before="0" w:after="0" w:line="240" w:lineRule="auto"/>
              <w:jc w:val="left"/>
            </w:pPr>
            <w:r/>
            <w:r>
              <w:rPr>
                <w:rFonts w:ascii="Calibri" w:hAnsi="Calibri"/>
                <w:b w:val="0"/>
                <w:color w:val="1A1A1A"/>
                <w:sz w:val="17"/>
              </w:rPr>
              <w:t>Definitive Step 3 gate</w:t>
            </w:r>
          </w:p>
        </w:tc>
        <w:tc>
          <w:tcPr>
            <w:tcW w:type="dxa" w:w="5060"/>
          </w:tcPr>
          <w:p>
            <w:pPr>
              <w:spacing w:before="0" w:after="0" w:line="240" w:lineRule="auto"/>
              <w:jc w:val="left"/>
            </w:pPr>
            <w:r/>
            <w:r>
              <w:rPr>
                <w:rFonts w:ascii="Calibri" w:hAnsi="Calibri"/>
                <w:b w:val="0"/>
                <w:color w:val="1A1A1A"/>
                <w:sz w:val="17"/>
              </w:rPr>
              <w:t>Determines which models are supportable before thermal access.</w:t>
            </w:r>
          </w:p>
        </w:tc>
      </w:tr>
      <w:tr>
        <w:tc>
          <w:tcPr>
            <w:tcW w:type="dxa" w:w="900"/>
          </w:tcPr>
          <w:p>
            <w:pPr>
              <w:spacing w:before="0" w:after="0" w:line="240" w:lineRule="auto"/>
              <w:jc w:val="left"/>
            </w:pPr>
            <w:r/>
            <w:r>
              <w:rPr>
                <w:rFonts w:ascii="Calibri" w:hAnsi="Calibri"/>
                <w:b w:val="0"/>
                <w:color w:val="1A1A1A"/>
                <w:sz w:val="17"/>
              </w:rPr>
              <w:t>4</w:t>
            </w:r>
          </w:p>
        </w:tc>
        <w:tc>
          <w:tcPr>
            <w:tcW w:type="dxa" w:w="3400"/>
          </w:tcPr>
          <w:p>
            <w:pPr>
              <w:spacing w:before="0" w:after="0" w:line="240" w:lineRule="auto"/>
              <w:jc w:val="left"/>
            </w:pPr>
            <w:r/>
            <w:r>
              <w:rPr>
                <w:rFonts w:ascii="Calibri" w:hAnsi="Calibri"/>
                <w:b w:val="0"/>
                <w:color w:val="1A1A1A"/>
                <w:sz w:val="17"/>
              </w:rPr>
              <w:t>Holdout selection and Task 2 preflight</w:t>
            </w:r>
          </w:p>
        </w:tc>
        <w:tc>
          <w:tcPr>
            <w:tcW w:type="dxa" w:w="5060"/>
          </w:tcPr>
          <w:p>
            <w:pPr>
              <w:spacing w:before="0" w:after="0" w:line="240" w:lineRule="auto"/>
              <w:jc w:val="left"/>
            </w:pPr>
            <w:r/>
            <w:r>
              <w:rPr>
                <w:rFonts w:ascii="Calibri" w:hAnsi="Calibri"/>
                <w:b w:val="0"/>
                <w:color w:val="1A1A1A"/>
                <w:sz w:val="17"/>
              </w:rPr>
              <w:t>Preserves confirmatory integrity and prevents outcome-driven design choices.</w:t>
            </w:r>
          </w:p>
        </w:tc>
      </w:tr>
      <w:tr>
        <w:tc>
          <w:tcPr>
            <w:tcW w:type="dxa" w:w="900"/>
          </w:tcPr>
          <w:p>
            <w:pPr>
              <w:spacing w:before="0" w:after="0" w:line="240" w:lineRule="auto"/>
              <w:jc w:val="left"/>
            </w:pPr>
            <w:r/>
            <w:r>
              <w:rPr>
                <w:rFonts w:ascii="Calibri" w:hAnsi="Calibri"/>
                <w:b w:val="0"/>
                <w:color w:val="1A1A1A"/>
                <w:sz w:val="17"/>
              </w:rPr>
              <w:t>5</w:t>
            </w:r>
          </w:p>
        </w:tc>
        <w:tc>
          <w:tcPr>
            <w:tcW w:type="dxa" w:w="3400"/>
          </w:tcPr>
          <w:p>
            <w:pPr>
              <w:spacing w:before="0" w:after="0" w:line="240" w:lineRule="auto"/>
              <w:jc w:val="left"/>
            </w:pPr>
            <w:r/>
            <w:r>
              <w:rPr>
                <w:rFonts w:ascii="Calibri" w:hAnsi="Calibri"/>
                <w:b w:val="0"/>
                <w:color w:val="1A1A1A"/>
                <w:sz w:val="17"/>
              </w:rPr>
              <w:t>Empirical Steps 4–14</w:t>
            </w:r>
          </w:p>
        </w:tc>
        <w:tc>
          <w:tcPr>
            <w:tcW w:type="dxa" w:w="5060"/>
          </w:tcPr>
          <w:p>
            <w:pPr>
              <w:spacing w:before="0" w:after="0" w:line="240" w:lineRule="auto"/>
              <w:jc w:val="left"/>
            </w:pPr>
            <w:r/>
            <w:r>
              <w:rPr>
                <w:rFonts w:ascii="Calibri" w:hAnsi="Calibri"/>
                <w:b w:val="0"/>
                <w:color w:val="1A1A1A"/>
                <w:sz w:val="17"/>
              </w:rPr>
              <w:t>Only after feasibility, power, and blinding are valid.</w:t>
            </w:r>
          </w:p>
        </w:tc>
      </w:tr>
    </w:tbl>
    <w:p>
      <w:pPr>
        <w:spacing w:after="0"/>
      </w:pPr>
    </w:p>
    <w:p>
      <w:pPr>
        <w:pageBreakBefore/>
        <w:spacing w:before="0" w:after="0"/>
      </w:pPr>
    </w:p>
    <w:p>
      <w:pPr>
        <w:spacing w:before="0" w:after="100"/>
      </w:pPr>
      <w:r>
        <w:rPr>
          <w:rFonts w:ascii="Calibri" w:hAnsi="Calibri"/>
          <w:b/>
          <w:smallCaps/>
          <w:color w:val="2E74B5"/>
          <w:sz w:val="18"/>
        </w:rPr>
        <w:t>PROFESSOR REVIEW INDEX</w:t>
      </w:r>
    </w:p>
    <w:p>
      <w:pPr>
        <w:pStyle w:val="Heading1"/>
        <w:keepNext/>
      </w:pPr>
      <w:r>
        <w:t>10. Most important files and deliverables</w:t>
      </w:r>
    </w:p>
    <w:p>
      <w:pPr>
        <w:keepLines w:val="0"/>
        <w:spacing w:after="120" w:line="264" w:lineRule="auto"/>
      </w:pPr>
      <w:r>
        <w:rPr>
          <w:rFonts w:ascii="Calibri" w:hAnsi="Calibri"/>
          <w:color w:val="1A1A1A"/>
          <w:sz w:val="22"/>
        </w:rPr>
        <w:t>The following files are the smallest review set that reconstructs the current scientific state. Paths are relative to the project root unless shown otherwise.</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trPr>
        <w:tc>
          <w:tcPr>
            <w:tcW w:type="dxa" w:w="28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Review purpose</w:t>
            </w:r>
          </w:p>
        </w:tc>
        <w:tc>
          <w:tcPr>
            <w:tcW w:type="dxa" w:w="65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6"/>
              </w:rPr>
              <w:t>Primary file</w:t>
            </w:r>
          </w:p>
        </w:tc>
      </w:tr>
      <w:tr>
        <w:tc>
          <w:tcPr>
            <w:tcW w:type="dxa" w:w="2800"/>
          </w:tcPr>
          <w:p>
            <w:pPr>
              <w:spacing w:before="0" w:after="0" w:line="240" w:lineRule="auto"/>
              <w:jc w:val="left"/>
            </w:pPr>
            <w:r/>
            <w:r>
              <w:rPr>
                <w:rFonts w:ascii="Calibri" w:hAnsi="Calibri"/>
                <w:b w:val="0"/>
                <w:color w:val="1A1A1A"/>
                <w:sz w:val="16"/>
              </w:rPr>
              <w:t>Controlling scientific requirements</w:t>
            </w:r>
          </w:p>
        </w:tc>
        <w:tc>
          <w:tcPr>
            <w:tcW w:type="dxa" w:w="6560"/>
          </w:tcPr>
          <w:p>
            <w:pPr>
              <w:spacing w:before="0" w:after="0" w:line="240" w:lineRule="auto"/>
              <w:jc w:val="left"/>
            </w:pPr>
            <w:r/>
            <w:r>
              <w:rPr>
                <w:rFonts w:ascii="Calibri" w:hAnsi="Calibri"/>
                <w:b w:val="0"/>
                <w:color w:val="1A1A1A"/>
                <w:sz w:val="16"/>
              </w:rPr>
              <w:t>docs/v2/REQUIREMENTS.md</w:t>
            </w:r>
          </w:p>
        </w:tc>
      </w:tr>
      <w:tr>
        <w:tc>
          <w:tcPr>
            <w:tcW w:type="dxa" w:w="2800"/>
          </w:tcPr>
          <w:p>
            <w:pPr>
              <w:spacing w:before="0" w:after="0" w:line="240" w:lineRule="auto"/>
              <w:jc w:val="left"/>
            </w:pPr>
            <w:r/>
            <w:r>
              <w:rPr>
                <w:rFonts w:ascii="Calibri" w:hAnsi="Calibri"/>
                <w:b w:val="0"/>
                <w:color w:val="1A1A1A"/>
                <w:sz w:val="16"/>
              </w:rPr>
              <w:t>Complete decision and run history</w:t>
            </w:r>
          </w:p>
        </w:tc>
        <w:tc>
          <w:tcPr>
            <w:tcW w:type="dxa" w:w="6560"/>
          </w:tcPr>
          <w:p>
            <w:pPr>
              <w:spacing w:before="0" w:after="0" w:line="240" w:lineRule="auto"/>
              <w:jc w:val="left"/>
            </w:pPr>
            <w:r/>
            <w:r>
              <w:rPr>
                <w:rFonts w:ascii="Calibri" w:hAnsi="Calibri"/>
                <w:b w:val="0"/>
                <w:color w:val="1A1A1A"/>
                <w:sz w:val="16"/>
              </w:rPr>
              <w:t>docs/v2/DECISION_LOG.md</w:t>
            </w:r>
          </w:p>
        </w:tc>
      </w:tr>
      <w:tr>
        <w:tc>
          <w:tcPr>
            <w:tcW w:type="dxa" w:w="2800"/>
          </w:tcPr>
          <w:p>
            <w:pPr>
              <w:spacing w:before="0" w:after="0" w:line="240" w:lineRule="auto"/>
              <w:jc w:val="left"/>
            </w:pPr>
            <w:r/>
            <w:r>
              <w:rPr>
                <w:rFonts w:ascii="Calibri" w:hAnsi="Calibri"/>
                <w:b w:val="0"/>
                <w:color w:val="1A1A1A"/>
                <w:sz w:val="16"/>
              </w:rPr>
              <w:t>Current canonical gate</w:t>
            </w:r>
          </w:p>
        </w:tc>
        <w:tc>
          <w:tcPr>
            <w:tcW w:type="dxa" w:w="6560"/>
          </w:tcPr>
          <w:p>
            <w:pPr>
              <w:spacing w:before="0" w:after="0" w:line="240" w:lineRule="auto"/>
              <w:jc w:val="left"/>
            </w:pPr>
            <w:r/>
            <w:r>
              <w:rPr>
                <w:rFonts w:ascii="Calibri" w:hAnsi="Calibri"/>
                <w:b w:val="0"/>
                <w:color w:val="1A1A1A"/>
                <w:sz w:val="16"/>
              </w:rPr>
              <w:t>data/processed/v2/task1/TASK1_GATE.md</w:t>
            </w:r>
          </w:p>
        </w:tc>
      </w:tr>
      <w:tr>
        <w:tc>
          <w:tcPr>
            <w:tcW w:type="dxa" w:w="2800"/>
          </w:tcPr>
          <w:p>
            <w:pPr>
              <w:spacing w:before="0" w:after="0" w:line="240" w:lineRule="auto"/>
              <w:jc w:val="left"/>
            </w:pPr>
            <w:r/>
            <w:r>
              <w:rPr>
                <w:rFonts w:ascii="Calibri" w:hAnsi="Calibri"/>
                <w:b w:val="0"/>
                <w:color w:val="1A1A1A"/>
                <w:sz w:val="16"/>
              </w:rPr>
              <w:t>Step 1 recommendation</w:t>
            </w:r>
          </w:p>
        </w:tc>
        <w:tc>
          <w:tcPr>
            <w:tcW w:type="dxa" w:w="6560"/>
          </w:tcPr>
          <w:p>
            <w:pPr>
              <w:spacing w:before="0" w:after="0" w:line="240" w:lineRule="auto"/>
              <w:jc w:val="left"/>
            </w:pPr>
            <w:r/>
            <w:r>
              <w:rPr>
                <w:rFonts w:ascii="Calibri" w:hAnsi="Calibri"/>
                <w:b w:val="0"/>
                <w:color w:val="1A1A1A"/>
                <w:sz w:val="16"/>
              </w:rPr>
              <w:t>data/processed/v2/task1/step1/memos/M1.1_feasibility_gate.md</w:t>
            </w:r>
          </w:p>
        </w:tc>
      </w:tr>
      <w:tr>
        <w:tc>
          <w:tcPr>
            <w:tcW w:type="dxa" w:w="2800"/>
          </w:tcPr>
          <w:p>
            <w:pPr>
              <w:spacing w:before="0" w:after="0" w:line="240" w:lineRule="auto"/>
              <w:jc w:val="left"/>
            </w:pPr>
            <w:r/>
            <w:r>
              <w:rPr>
                <w:rFonts w:ascii="Calibri" w:hAnsi="Calibri"/>
                <w:b w:val="0"/>
                <w:color w:val="1A1A1A"/>
                <w:sz w:val="16"/>
              </w:rPr>
              <w:t>Step 1 city/cell statistics</w:t>
            </w:r>
          </w:p>
        </w:tc>
        <w:tc>
          <w:tcPr>
            <w:tcW w:type="dxa" w:w="6560"/>
          </w:tcPr>
          <w:p>
            <w:pPr>
              <w:spacing w:before="0" w:after="0" w:line="240" w:lineRule="auto"/>
              <w:jc w:val="left"/>
            </w:pPr>
            <w:r/>
            <w:r>
              <w:rPr>
                <w:rFonts w:ascii="Calibri" w:hAnsi="Calibri"/>
                <w:b w:val="0"/>
                <w:color w:val="1A1A1A"/>
                <w:sz w:val="16"/>
              </w:rPr>
              <w:t>data/processed/v2/task1/step1/tables/T1.1_city_cell_counts.csv</w:t>
            </w:r>
          </w:p>
        </w:tc>
      </w:tr>
      <w:tr>
        <w:tc>
          <w:tcPr>
            <w:tcW w:type="dxa" w:w="2800"/>
          </w:tcPr>
          <w:p>
            <w:pPr>
              <w:spacing w:before="0" w:after="0" w:line="240" w:lineRule="auto"/>
              <w:jc w:val="left"/>
            </w:pPr>
            <w:r/>
            <w:r>
              <w:rPr>
                <w:rFonts w:ascii="Calibri" w:hAnsi="Calibri"/>
                <w:b w:val="0"/>
                <w:color w:val="1A1A1A"/>
                <w:sz w:val="16"/>
              </w:rPr>
              <w:t>Step 1 domain record</w:t>
            </w:r>
          </w:p>
        </w:tc>
        <w:tc>
          <w:tcPr>
            <w:tcW w:type="dxa" w:w="6560"/>
          </w:tcPr>
          <w:p>
            <w:pPr>
              <w:spacing w:before="0" w:after="0" w:line="240" w:lineRule="auto"/>
              <w:jc w:val="left"/>
            </w:pPr>
            <w:r/>
            <w:r>
              <w:rPr>
                <w:rFonts w:ascii="Calibri" w:hAnsi="Calibri"/>
                <w:b w:val="0"/>
                <w:color w:val="1A1A1A"/>
                <w:sz w:val="16"/>
              </w:rPr>
              <w:t>data/processed/v2/task1/step1/tables/T1.2_city_domains.csv</w:t>
            </w:r>
          </w:p>
        </w:tc>
      </w:tr>
      <w:tr>
        <w:tc>
          <w:tcPr>
            <w:tcW w:type="dxa" w:w="2800"/>
          </w:tcPr>
          <w:p>
            <w:pPr>
              <w:spacing w:before="0" w:after="0" w:line="240" w:lineRule="auto"/>
              <w:jc w:val="left"/>
            </w:pPr>
            <w:r/>
            <w:r>
              <w:rPr>
                <w:rFonts w:ascii="Calibri" w:hAnsi="Calibri"/>
                <w:b w:val="0"/>
                <w:color w:val="1A1A1A"/>
                <w:sz w:val="16"/>
              </w:rPr>
              <w:t>Step 2 catalogue counts</w:t>
            </w:r>
          </w:p>
        </w:tc>
        <w:tc>
          <w:tcPr>
            <w:tcW w:type="dxa" w:w="6560"/>
          </w:tcPr>
          <w:p>
            <w:pPr>
              <w:spacing w:before="0" w:after="0" w:line="240" w:lineRule="auto"/>
              <w:jc w:val="left"/>
            </w:pPr>
            <w:r/>
            <w:r>
              <w:rPr>
                <w:rFonts w:ascii="Calibri" w:hAnsi="Calibri"/>
                <w:b w:val="0"/>
                <w:color w:val="1A1A1A"/>
                <w:sz w:val="16"/>
              </w:rPr>
              <w:t>data/processed/v2/task1/step2_catalogue_audit/tables/T2.1_daytime_catalogue_ceiling_counts.csv</w:t>
            </w:r>
          </w:p>
        </w:tc>
      </w:tr>
      <w:tr>
        <w:tc>
          <w:tcPr>
            <w:tcW w:type="dxa" w:w="2800"/>
          </w:tcPr>
          <w:p>
            <w:pPr>
              <w:spacing w:before="0" w:after="0" w:line="240" w:lineRule="auto"/>
              <w:jc w:val="left"/>
            </w:pPr>
            <w:r/>
            <w:r>
              <w:rPr>
                <w:rFonts w:ascii="Calibri" w:hAnsi="Calibri"/>
                <w:b w:val="0"/>
                <w:color w:val="1A1A1A"/>
                <w:sz w:val="16"/>
              </w:rPr>
              <w:t>Partial geometry checkpoint</w:t>
            </w:r>
          </w:p>
        </w:tc>
        <w:tc>
          <w:tcPr>
            <w:tcW w:type="dxa" w:w="6560"/>
          </w:tcPr>
          <w:p>
            <w:pPr>
              <w:spacing w:before="0" w:after="0" w:line="240" w:lineRule="auto"/>
              <w:jc w:val="left"/>
            </w:pPr>
            <w:r/>
            <w:r>
              <w:rPr>
                <w:rFonts w:ascii="Calibri" w:hAnsi="Calibri"/>
                <w:b w:val="0"/>
                <w:color w:val="1A1A1A"/>
                <w:sz w:val="16"/>
              </w:rPr>
              <w:t>data/raw/v2/ecostress/l1b_geo_geometry_D0047_archive_available/geometry_scene_checkpoint.json</w:t>
            </w:r>
          </w:p>
        </w:tc>
      </w:tr>
      <w:tr>
        <w:tc>
          <w:tcPr>
            <w:tcW w:type="dxa" w:w="2800"/>
          </w:tcPr>
          <w:p>
            <w:pPr>
              <w:spacing w:before="0" w:after="0" w:line="240" w:lineRule="auto"/>
              <w:jc w:val="left"/>
            </w:pPr>
            <w:r/>
            <w:r>
              <w:rPr>
                <w:rFonts w:ascii="Calibri" w:hAnsi="Calibri"/>
                <w:b w:val="0"/>
                <w:color w:val="1A1A1A"/>
                <w:sz w:val="16"/>
              </w:rPr>
              <w:t>Preliminary Step 3 verdict</w:t>
            </w:r>
          </w:p>
        </w:tc>
        <w:tc>
          <w:tcPr>
            <w:tcW w:type="dxa" w:w="6560"/>
          </w:tcPr>
          <w:p>
            <w:pPr>
              <w:spacing w:before="0" w:after="0" w:line="240" w:lineRule="auto"/>
              <w:jc w:val="left"/>
            </w:pPr>
            <w:r/>
            <w:r>
              <w:rPr>
                <w:rFonts w:ascii="Calibri" w:hAnsi="Calibri"/>
                <w:b w:val="0"/>
                <w:color w:val="1A1A1A"/>
                <w:sz w:val="16"/>
              </w:rPr>
              <w:t>data/processed/v2/task1/step3_preliminary_ceiling/M3.1_power_gate.md</w:t>
            </w:r>
          </w:p>
        </w:tc>
      </w:tr>
      <w:tr>
        <w:tc>
          <w:tcPr>
            <w:tcW w:type="dxa" w:w="2800"/>
          </w:tcPr>
          <w:p>
            <w:pPr>
              <w:spacing w:before="0" w:after="0" w:line="240" w:lineRule="auto"/>
              <w:jc w:val="left"/>
            </w:pPr>
            <w:r/>
            <w:r>
              <w:rPr>
                <w:rFonts w:ascii="Calibri" w:hAnsi="Calibri"/>
                <w:b w:val="0"/>
                <w:color w:val="1A1A1A"/>
                <w:sz w:val="16"/>
              </w:rPr>
              <w:t>Illustrative-package explanation</w:t>
            </w:r>
          </w:p>
        </w:tc>
        <w:tc>
          <w:tcPr>
            <w:tcW w:type="dxa" w:w="6560"/>
          </w:tcPr>
          <w:p>
            <w:pPr>
              <w:spacing w:before="0" w:after="0" w:line="240" w:lineRule="auto"/>
              <w:jc w:val="left"/>
            </w:pPr>
            <w:r/>
            <w:r>
              <w:rPr>
                <w:rFonts w:ascii="Calibri" w:hAnsi="Calibri"/>
                <w:b w:val="0"/>
                <w:color w:val="1A1A1A"/>
                <w:sz w:val="16"/>
              </w:rPr>
              <w:t>data/processed/v2/illustrative_only/steps02_14/README.md</w:t>
            </w:r>
          </w:p>
        </w:tc>
      </w:tr>
      <w:tr>
        <w:tc>
          <w:tcPr>
            <w:tcW w:type="dxa" w:w="2800"/>
          </w:tcPr>
          <w:p>
            <w:pPr>
              <w:spacing w:before="0" w:after="0" w:line="240" w:lineRule="auto"/>
              <w:jc w:val="left"/>
            </w:pPr>
            <w:r/>
            <w:r>
              <w:rPr>
                <w:rFonts w:ascii="Calibri" w:hAnsi="Calibri"/>
                <w:b w:val="0"/>
                <w:color w:val="1A1A1A"/>
                <w:sz w:val="16"/>
              </w:rPr>
              <w:t>Authoritative artifact manifest</w:t>
            </w:r>
          </w:p>
        </w:tc>
        <w:tc>
          <w:tcPr>
            <w:tcW w:type="dxa" w:w="6560"/>
          </w:tcPr>
          <w:p>
            <w:pPr>
              <w:spacing w:before="0" w:after="0" w:line="240" w:lineRule="auto"/>
              <w:jc w:val="left"/>
            </w:pPr>
            <w:r/>
            <w:r>
              <w:rPr>
                <w:rFonts w:ascii="Calibri" w:hAnsi="Calibri"/>
                <w:b w:val="0"/>
                <w:color w:val="1A1A1A"/>
                <w:sz w:val="16"/>
              </w:rPr>
              <w:t>data/processed/v2/illustrative_only/steps02_14/run_manifest.json</w:t>
            </w:r>
          </w:p>
        </w:tc>
      </w:tr>
      <w:tr>
        <w:tc>
          <w:tcPr>
            <w:tcW w:type="dxa" w:w="2800"/>
          </w:tcPr>
          <w:p>
            <w:pPr>
              <w:spacing w:before="0" w:after="0" w:line="240" w:lineRule="auto"/>
              <w:jc w:val="left"/>
            </w:pPr>
            <w:r/>
            <w:r>
              <w:rPr>
                <w:rFonts w:ascii="Calibri" w:hAnsi="Calibri"/>
                <w:b w:val="0"/>
                <w:color w:val="1A1A1A"/>
                <w:sz w:val="16"/>
              </w:rPr>
              <w:t>Step 14 scientific STOP memo</w:t>
            </w:r>
          </w:p>
        </w:tc>
        <w:tc>
          <w:tcPr>
            <w:tcW w:type="dxa" w:w="6560"/>
          </w:tcPr>
          <w:p>
            <w:pPr>
              <w:spacing w:before="0" w:after="0" w:line="240" w:lineRule="auto"/>
              <w:jc w:val="left"/>
            </w:pPr>
            <w:r/>
            <w:r>
              <w:rPr>
                <w:rFonts w:ascii="Calibri" w:hAnsi="Calibri"/>
                <w:b w:val="0"/>
                <w:color w:val="1A1A1A"/>
                <w:sz w:val="16"/>
              </w:rPr>
              <w:t>data/processed/v2/illustrative_only/steps02_14/ILLUSTRATIVE_M14.1_go_adjust_stop_memo.md</w:t>
            </w:r>
          </w:p>
        </w:tc>
      </w:tr>
      <w:tr>
        <w:tc>
          <w:tcPr>
            <w:tcW w:type="dxa" w:w="2800"/>
          </w:tcPr>
          <w:p>
            <w:pPr>
              <w:spacing w:before="0" w:after="0" w:line="240" w:lineRule="auto"/>
              <w:jc w:val="left"/>
            </w:pPr>
            <w:r/>
            <w:r>
              <w:rPr>
                <w:rFonts w:ascii="Calibri" w:hAnsi="Calibri"/>
                <w:b w:val="0"/>
                <w:color w:val="1A1A1A"/>
                <w:sz w:val="16"/>
              </w:rPr>
              <w:t>Confirmatory status</w:t>
            </w:r>
          </w:p>
        </w:tc>
        <w:tc>
          <w:tcPr>
            <w:tcW w:type="dxa" w:w="6560"/>
          </w:tcPr>
          <w:p>
            <w:pPr>
              <w:spacing w:before="0" w:after="0" w:line="240" w:lineRule="auto"/>
              <w:jc w:val="left"/>
            </w:pPr>
            <w:r/>
            <w:r>
              <w:rPr>
                <w:rFonts w:ascii="Calibri" w:hAnsi="Calibri"/>
                <w:b w:val="0"/>
                <w:color w:val="1A1A1A"/>
                <w:sz w:val="16"/>
              </w:rPr>
              <w:t>data/processed/v2/illustrative_only/steps02_14/ILLUSTRATIVE_M14.2_confirmatory_report_NOT_RUN.md</w:t>
            </w:r>
          </w:p>
        </w:tc>
      </w:tr>
    </w:tbl>
    <w:p>
      <w:pPr>
        <w:spacing w:after="0"/>
      </w:pPr>
    </w:p>
    <w:p>
      <w:pPr>
        <w:pStyle w:val="Heading2"/>
        <w:keepNext/>
      </w:pPr>
      <w:r>
        <w:t>Delivered packages</w:t>
      </w:r>
    </w:p>
    <w:p>
      <w:pPr>
        <w:keepLines w:val="0"/>
        <w:spacing w:after="120" w:line="264" w:lineRule="auto"/>
      </w:pPr>
      <w:r>
        <w:rPr>
          <w:rFonts w:ascii="Calibri" w:hAnsi="Calibri"/>
          <w:color w:val="1A1A1A"/>
          <w:sz w:val="22"/>
        </w:rPr>
        <w:t>Local release archive: deliverables/illustrative_steps02_14_D0052_2026-08-06.zip</w:t>
      </w:r>
    </w:p>
    <w:p>
      <w:pPr>
        <w:spacing w:after="120"/>
      </w:pPr>
      <w:r>
        <w:rPr>
          <w:rFonts w:ascii="Calibri" w:hAnsi="Calibri"/>
          <w:b/>
          <w:color w:val="1A1A1A"/>
          <w:sz w:val="21"/>
        </w:rPr>
        <w:t xml:space="preserve">Google Drive package folder: </w:t>
      </w:r>
      <w:hyperlink r:id="rId20">
        <w:r>
          <w:rPr>
            <w:color w:val="2E74B5"/>
            <w:u w:val="single"/>
          </w:rPr>
          <w:t>Open the Steps 2–14 package</w:t>
        </w:r>
      </w:hyperlink>
    </w:p>
    <w:p>
      <w:pPr>
        <w:pStyle w:val="Heading2"/>
        <w:keepNext/>
      </w:pPr>
      <w:r>
        <w:t>Step 1 deliverable set</w:t>
      </w:r>
    </w:p>
    <w:tbl>
      <w:tblPr>
        <w:tblStyle w:val="TableGrid"/>
        <w:tblW w:type="dxa" w:w="9360"/>
        <w:jc w:val="center"/>
        <w:tblLayout w:type="fixed"/>
        <w:tblLook w:firstColumn="1" w:firstRow="1" w:lastColumn="0" w:lastRow="0" w:noHBand="0" w:noVBand="1" w:val="04A0"/>
        <w:tblInd w:w="120" w:type="dxa"/>
      </w:tblPr>
      <w:tblGrid>
        <w:gridCol w:w="900"/>
        <w:gridCol w:w="5500"/>
        <w:gridCol w:w="2960"/>
      </w:tblGrid>
      <w:tr>
        <w:trPr>
          <w:tblHeader w:val="true"/>
        </w:trPr>
        <w:tc>
          <w:tcPr>
            <w:tcW w:type="dxa" w:w="9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ID</w:t>
            </w:r>
          </w:p>
        </w:tc>
        <w:tc>
          <w:tcPr>
            <w:tcW w:type="dxa" w:w="550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File</w:t>
            </w:r>
          </w:p>
        </w:tc>
        <w:tc>
          <w:tcPr>
            <w:tcW w:type="dxa" w:w="2960"/>
            <w:tcMar>
              <w:top w:w="80" w:type="dxa"/>
              <w:start w:w="120" w:type="dxa"/>
              <w:bottom w:w="80" w:type="dxa"/>
              <w:end w:w="120" w:type="dxa"/>
            </w:tcMar>
            <w:vAlign w:val="center"/>
            <w:shd w:fill="F2F4F7"/>
          </w:tcPr>
          <w:p>
            <w:pPr>
              <w:spacing w:before="0" w:after="0" w:line="240" w:lineRule="auto"/>
              <w:jc w:val="left"/>
            </w:pPr>
            <w:r/>
            <w:r>
              <w:rPr>
                <w:rFonts w:ascii="Calibri" w:hAnsi="Calibri"/>
                <w:b/>
                <w:color w:val="1F4D78"/>
                <w:sz w:val="17"/>
              </w:rPr>
              <w:t>Status</w:t>
            </w:r>
          </w:p>
        </w:tc>
      </w:tr>
      <w:tr>
        <w:tc>
          <w:tcPr>
            <w:tcW w:type="dxa" w:w="900"/>
          </w:tcPr>
          <w:p>
            <w:pPr>
              <w:spacing w:before="0" w:after="0" w:line="240" w:lineRule="auto"/>
              <w:jc w:val="left"/>
            </w:pPr>
            <w:r/>
            <w:r>
              <w:rPr>
                <w:rFonts w:ascii="Calibri" w:hAnsi="Calibri"/>
                <w:b w:val="0"/>
                <w:color w:val="1A1A1A"/>
                <w:sz w:val="17"/>
              </w:rPr>
              <w:t>F1.1</w:t>
            </w:r>
          </w:p>
        </w:tc>
        <w:tc>
          <w:tcPr>
            <w:tcW w:type="dxa" w:w="5500"/>
          </w:tcPr>
          <w:p>
            <w:pPr>
              <w:spacing w:before="0" w:after="0" w:line="240" w:lineRule="auto"/>
              <w:jc w:val="left"/>
            </w:pPr>
            <w:r/>
            <w:r>
              <w:rPr>
                <w:rFonts w:ascii="Calibri" w:hAnsi="Calibri"/>
                <w:b w:val="0"/>
                <w:color w:val="1A1A1A"/>
                <w:sz w:val="17"/>
              </w:rPr>
              <w:t>step1/figures/F1.1_joint_30d.png</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F1.2</w:t>
            </w:r>
          </w:p>
        </w:tc>
        <w:tc>
          <w:tcPr>
            <w:tcW w:type="dxa" w:w="5500"/>
          </w:tcPr>
          <w:p>
            <w:pPr>
              <w:spacing w:before="0" w:after="0" w:line="240" w:lineRule="auto"/>
              <w:jc w:val="left"/>
            </w:pPr>
            <w:r/>
            <w:r>
              <w:rPr>
                <w:rFonts w:ascii="Calibri" w:hAnsi="Calibri"/>
                <w:b w:val="0"/>
                <w:color w:val="1A1A1A"/>
                <w:sz w:val="17"/>
              </w:rPr>
              <w:t>step1/figures/F1.2_clear_sky_overlay.png</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F1.3</w:t>
            </w:r>
          </w:p>
        </w:tc>
        <w:tc>
          <w:tcPr>
            <w:tcW w:type="dxa" w:w="5500"/>
          </w:tcPr>
          <w:p>
            <w:pPr>
              <w:spacing w:before="0" w:after="0" w:line="240" w:lineRule="auto"/>
              <w:jc w:val="left"/>
            </w:pPr>
            <w:r/>
            <w:r>
              <w:rPr>
                <w:rFonts w:ascii="Calibri" w:hAnsi="Calibri"/>
                <w:b w:val="0"/>
                <w:color w:val="1A1A1A"/>
                <w:sz w:val="17"/>
              </w:rPr>
              <w:t>step1/figures/F1.3_corner_counts.png</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F1.4</w:t>
            </w:r>
          </w:p>
        </w:tc>
        <w:tc>
          <w:tcPr>
            <w:tcW w:type="dxa" w:w="5500"/>
          </w:tcPr>
          <w:p>
            <w:pPr>
              <w:spacing w:before="0" w:after="0" w:line="240" w:lineRule="auto"/>
              <w:jc w:val="left"/>
            </w:pPr>
            <w:r/>
            <w:r>
              <w:rPr>
                <w:rFonts w:ascii="Calibri" w:hAnsi="Calibri"/>
                <w:b w:val="0"/>
                <w:color w:val="1A1A1A"/>
                <w:sz w:val="17"/>
              </w:rPr>
              <w:t>step1/figures/F1.4_joint_60d.png</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T1.1</w:t>
            </w:r>
          </w:p>
        </w:tc>
        <w:tc>
          <w:tcPr>
            <w:tcW w:type="dxa" w:w="5500"/>
          </w:tcPr>
          <w:p>
            <w:pPr>
              <w:spacing w:before="0" w:after="0" w:line="240" w:lineRule="auto"/>
              <w:jc w:val="left"/>
            </w:pPr>
            <w:r/>
            <w:r>
              <w:rPr>
                <w:rFonts w:ascii="Calibri" w:hAnsi="Calibri"/>
                <w:b w:val="0"/>
                <w:color w:val="1A1A1A"/>
                <w:sz w:val="17"/>
              </w:rPr>
              <w:t>step1/tables/T1.1_city_cell_counts.csv</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T1.2</w:t>
            </w:r>
          </w:p>
        </w:tc>
        <w:tc>
          <w:tcPr>
            <w:tcW w:type="dxa" w:w="5500"/>
          </w:tcPr>
          <w:p>
            <w:pPr>
              <w:spacing w:before="0" w:after="0" w:line="240" w:lineRule="auto"/>
              <w:jc w:val="left"/>
            </w:pPr>
            <w:r/>
            <w:r>
              <w:rPr>
                <w:rFonts w:ascii="Calibri" w:hAnsi="Calibri"/>
                <w:b w:val="0"/>
                <w:color w:val="1A1A1A"/>
                <w:sz w:val="17"/>
              </w:rPr>
              <w:t>step1/tables/T1.2_city_domains.csv</w:t>
            </w:r>
          </w:p>
        </w:tc>
        <w:tc>
          <w:tcPr>
            <w:tcW w:type="dxa" w:w="2960"/>
            <w:shd w:fill="E9F5EE"/>
          </w:tcPr>
          <w:p>
            <w:pPr>
              <w:spacing w:before="0" w:after="0" w:line="240" w:lineRule="auto"/>
              <w:jc w:val="left"/>
            </w:pPr>
            <w:r/>
            <w:r>
              <w:rPr>
                <w:rFonts w:ascii="Calibri" w:hAnsi="Calibri"/>
                <w:b w:val="0"/>
                <w:color w:val="1A1A1A"/>
                <w:sz w:val="17"/>
              </w:rPr>
              <w:t>Canonical empirical</w:t>
            </w:r>
          </w:p>
        </w:tc>
      </w:tr>
      <w:tr>
        <w:tc>
          <w:tcPr>
            <w:tcW w:type="dxa" w:w="900"/>
          </w:tcPr>
          <w:p>
            <w:pPr>
              <w:spacing w:before="0" w:after="0" w:line="240" w:lineRule="auto"/>
              <w:jc w:val="left"/>
            </w:pPr>
            <w:r/>
            <w:r>
              <w:rPr>
                <w:rFonts w:ascii="Calibri" w:hAnsi="Calibri"/>
                <w:b w:val="0"/>
                <w:color w:val="1A1A1A"/>
                <w:sz w:val="17"/>
              </w:rPr>
              <w:t>M1.1</w:t>
            </w:r>
          </w:p>
        </w:tc>
        <w:tc>
          <w:tcPr>
            <w:tcW w:type="dxa" w:w="5500"/>
          </w:tcPr>
          <w:p>
            <w:pPr>
              <w:spacing w:before="0" w:after="0" w:line="240" w:lineRule="auto"/>
              <w:jc w:val="left"/>
            </w:pPr>
            <w:r/>
            <w:r>
              <w:rPr>
                <w:rFonts w:ascii="Calibri" w:hAnsi="Calibri"/>
                <w:b w:val="0"/>
                <w:color w:val="1A1A1A"/>
                <w:sz w:val="17"/>
              </w:rPr>
              <w:t>step1/memos/M1.1_feasibility_gate.md</w:t>
            </w:r>
          </w:p>
        </w:tc>
        <w:tc>
          <w:tcPr>
            <w:tcW w:type="dxa" w:w="2960"/>
            <w:shd w:fill="E9F5EE"/>
          </w:tcPr>
          <w:p>
            <w:pPr>
              <w:spacing w:before="0" w:after="0" w:line="240" w:lineRule="auto"/>
              <w:jc w:val="left"/>
            </w:pPr>
            <w:r/>
            <w:r>
              <w:rPr>
                <w:rFonts w:ascii="Calibri" w:hAnsi="Calibri"/>
                <w:b w:val="0"/>
                <w:color w:val="1A1A1A"/>
                <w:sz w:val="17"/>
              </w:rPr>
              <w:t>Canonical empirical</w:t>
            </w:r>
          </w:p>
        </w:tc>
      </w:tr>
    </w:tbl>
    <w:p>
      <w:pPr>
        <w:spacing w:after="0"/>
      </w:pPr>
    </w:p>
    <w:p>
      <w:pPr>
        <w:keepLines w:val="0"/>
        <w:spacing w:after="120" w:line="264" w:lineRule="auto"/>
      </w:pPr>
      <w:r>
        <w:rPr>
          <w:rFonts w:ascii="Calibri" w:hAnsi="Calibri"/>
          <w:color w:val="5B6573"/>
          <w:sz w:val="22"/>
        </w:rPr>
        <w:t>Base path for the Step 1 entries above: data/processed/v2/task1/.</w:t>
      </w:r>
    </w:p>
    <w:p>
      <w:pPr>
        <w:pageBreakBefore/>
        <w:spacing w:before="0" w:after="0"/>
      </w:pPr>
    </w:p>
    <w:p>
      <w:pPr>
        <w:spacing w:before="0" w:after="100"/>
      </w:pPr>
      <w:r>
        <w:rPr>
          <w:rFonts w:ascii="Calibri" w:hAnsi="Calibri"/>
          <w:b/>
          <w:smallCaps/>
          <w:color w:val="2E74B5"/>
          <w:sz w:val="18"/>
        </w:rPr>
        <w:t>APPENDIX</w:t>
      </w:r>
    </w:p>
    <w:p>
      <w:pPr>
        <w:pStyle w:val="Heading1"/>
        <w:keepNext/>
      </w:pPr>
      <w:r>
        <w:t>A. Additional thirty-day joint-support figure</w:t>
      </w:r>
    </w:p>
    <w:p>
      <w:pPr>
        <w:keepLines/>
        <w:spacing w:before="60" w:after="80"/>
        <w:jc w:val="center"/>
      </w:pPr>
      <w:r>
        <w:drawing>
          <wp:inline xmlns:a="http://schemas.openxmlformats.org/drawingml/2006/main" xmlns:pic="http://schemas.openxmlformats.org/drawingml/2006/picture">
            <wp:extent cx="5715000" cy="3200400"/>
            <wp:docPr id="10" name="Picture 10"/>
            <wp:cNvGraphicFramePr>
              <a:graphicFrameLocks noChangeAspect="1"/>
            </wp:cNvGraphicFramePr>
            <a:graphic>
              <a:graphicData uri="http://schemas.openxmlformats.org/drawingml/2006/picture">
                <pic:pic>
                  <pic:nvPicPr>
                    <pic:cNvPr id="0" name="F1.1_joint_30d.png"/>
                    <pic:cNvPicPr/>
                  </pic:nvPicPr>
                  <pic:blipFill>
                    <a:blip r:embed="rId21"/>
                    <a:stretch>
                      <a:fillRect/>
                    </a:stretch>
                  </pic:blipFill>
                  <pic:spPr>
                    <a:xfrm>
                      <a:off x="0" y="0"/>
                      <a:ext cx="5715000" cy="3200400"/>
                    </a:xfrm>
                    <a:prstGeom prst="rect"/>
                  </pic:spPr>
                </pic:pic>
              </a:graphicData>
            </a:graphic>
          </wp:inline>
        </w:drawing>
      </w:r>
    </w:p>
    <w:p>
      <w:pPr>
        <w:keepLines/>
        <w:spacing w:before="0" w:after="80"/>
      </w:pPr>
      <w:r>
        <w:rPr>
          <w:rFonts w:ascii="Calibri" w:hAnsi="Calibri"/>
          <w:b/>
          <w:color w:val="1F4D78"/>
          <w:sz w:val="18"/>
        </w:rPr>
        <w:t xml:space="preserve">Appendix Figure A1 (F1.1). </w:t>
      </w:r>
      <w:r>
        <w:rPr>
          <w:rFonts w:ascii="Calibri" w:hAnsi="Calibri"/>
          <w:color w:val="1A1A1A"/>
          <w:sz w:val="18"/>
        </w:rPr>
        <w:t>All-day five-city joint distribution using the 30-day antecedent-dryness window. Tercile boundaries, nine cell counts, diagnostic corners, and Spearman correlations are shown.</w:t>
      </w:r>
    </w:p>
    <w:p>
      <w:pPr>
        <w:keepLines/>
        <w:spacing w:before="0" w:after="160"/>
      </w:pPr>
      <w:r>
        <w:rPr>
          <w:rFonts w:ascii="Calibri" w:hAnsi="Calibri"/>
          <w:i/>
          <w:color w:val="5B6573"/>
          <w:sz w:val="16"/>
        </w:rPr>
        <w:t>Evidence status: Canonical empirical meteorological screening; no thermal outcome. Source: data/processed/v2/task1/step1/figures/F1.1_joint_30d.png</w:t>
      </w:r>
    </w:p>
    <w:p>
      <w:pPr>
        <w:pStyle w:val="Heading1"/>
        <w:keepNext/>
      </w:pPr>
      <w:r>
        <w:t>B. Final state declaration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Borders>
              <w:top w:val="single" w:sz="12" w:color="2E74B5"/>
              <w:left w:val="single" w:sz="12" w:color="2E74B5"/>
              <w:bottom w:val="single" w:sz="12" w:color="2E74B5"/>
              <w:right w:val="single" w:sz="12" w:color="2E74B5"/>
            </w:tcBorders>
          </w:tcPr>
          <w:p>
            <w:pPr>
              <w:spacing w:after="60"/>
            </w:pPr>
            <w:r>
              <w:rPr>
                <w:rFonts w:ascii="Calibri" w:hAnsi="Calibri"/>
                <w:b/>
                <w:color w:val="1F4D78"/>
                <w:sz w:val="23"/>
              </w:rPr>
              <w:t>Professor-review conclusion</w:t>
            </w:r>
          </w:p>
          <w:p>
            <w:pPr>
              <w:spacing w:after="0" w:line="264" w:lineRule="auto"/>
            </w:pPr>
            <w:r>
              <w:rPr>
                <w:rFonts w:ascii="Calibri" w:hAnsi="Calibri"/>
                <w:color w:val="1A1A1A"/>
                <w:sz w:val="21"/>
              </w:rPr>
              <w:t>The project has a strong governance, feasibility, and reproducibility foundation; one complete empirical stage; substantial real nonthermal satellite audit work; and a comprehensive synthetic demonstration of the remaining pipeline. It does not yet have an empirical urban-tree-cooling result. Any evaluation of the work should therefore credit the completed design, Step 1 findings, archive/geometry remediation, code validation, and reproducible package while treating the canonical study as stopped pending the enumerated feasibility gates.</w:t>
            </w:r>
          </w:p>
        </w:tc>
      </w:tr>
    </w:tbl>
    <w:p>
      <w:pPr>
        <w:spacing w:after="0"/>
      </w:pPr>
    </w:p>
    <w:p>
      <w:pPr>
        <w:spacing w:before="480"/>
        <w:jc w:val="center"/>
      </w:pPr>
      <w:r>
        <w:rPr>
          <w:rFonts w:ascii="Calibri" w:hAnsi="Calibri"/>
          <w:b/>
          <w:color w:val="5B6573"/>
          <w:sz w:val="18"/>
        </w:rPr>
        <w:t>END OF REPORT</w:t>
      </w:r>
    </w:p>
    <w:sectPr w:rsidR="00FC693F" w:rsidRPr="0006063C" w:rsidSect="00034616">
      <w:headerReference w:type="default" r:id="rId9"/>
      <w:footerReference w:type="default" r:id="rId10"/>
      <w:pgSz w:w="12240" w:h="15840"/>
      <w:pgMar w:top="1181" w:right="1440" w:bottom="1123"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D7DCE2"/>
      </w:pBdr>
    </w:pPr>
    <w:r>
      <w:rPr>
        <w:rFonts w:ascii="Calibri" w:hAnsi="Calibri"/>
        <w:b/>
        <w:color w:val="5B6573"/>
        <w:sz w:val="17"/>
      </w:rPr>
      <w:t>URBAN TREE COOLING  |  PROFESSOR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drive.google.com/drive/folders/1l-cC0hCnsEqBJjm63h54TIxYeedL2H9a" TargetMode="External"/><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Tree Cooling Study: Progress, Deliverables, and Key Results</dc:title>
  <dc:subject>Professor review report</dc:subject>
  <dc:creator>TreeProject v2 analysis record</dc:creator>
  <cp:keywords>urban tree cooling, ECOSTRESS, feasibility, progress report,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