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b/>
          <w:color w:val="111111"/>
          <w:sz w:val="46"/>
        </w:rPr>
        <w:t>FEEDBACK RESPONSE AND CLOSEOUT</w:t>
      </w:r>
    </w:p>
    <w:p>
      <w:pPr>
        <w:spacing w:after="280"/>
      </w:pPr>
      <w:r>
        <w:rPr>
          <w:rFonts w:ascii="Calibri" w:hAnsi="Calibri"/>
          <w:color w:val="5F6670"/>
          <w:sz w:val="28"/>
        </w:rPr>
        <w:t>Urban Tree Cooling Study — nonthermal design review</w:t>
      </w:r>
    </w:p>
    <w:p>
      <w:pPr>
        <w:spacing w:after="40" w:line="240" w:lineRule="auto"/>
      </w:pPr>
      <w:r>
        <w:rPr>
          <w:rFonts w:ascii="Calibri" w:hAnsi="Calibri"/>
          <w:b/>
          <w:color w:val="111111"/>
          <w:sz w:val="22"/>
        </w:rPr>
        <w:t xml:space="preserve">Review date: </w:t>
      </w:r>
      <w:r>
        <w:rPr>
          <w:rFonts w:ascii="Calibri" w:hAnsi="Calibri"/>
          <w:color w:val="111111"/>
          <w:sz w:val="22"/>
        </w:rPr>
        <w:t>August 16, 2026</w:t>
      </w:r>
    </w:p>
    <w:p>
      <w:pPr>
        <w:spacing w:after="40" w:line="240" w:lineRule="auto"/>
      </w:pPr>
      <w:r>
        <w:rPr>
          <w:rFonts w:ascii="Calibri" w:hAnsi="Calibri"/>
          <w:b/>
          <w:color w:val="111111"/>
          <w:sz w:val="22"/>
        </w:rPr>
        <w:t xml:space="preserve">Decision basis: </w:t>
      </w:r>
      <w:r>
        <w:rPr>
          <w:rFonts w:ascii="Calibri" w:hAnsi="Calibri"/>
          <w:color w:val="111111"/>
          <w:sz w:val="22"/>
        </w:rPr>
        <w:t>D0083 — user-authorized nonthermal feedback closeout</w:t>
      </w:r>
    </w:p>
    <w:p>
      <w:pPr>
        <w:spacing w:after="40" w:line="240" w:lineRule="auto"/>
      </w:pPr>
      <w:r>
        <w:rPr>
          <w:rFonts w:ascii="Calibri" w:hAnsi="Calibri"/>
          <w:b/>
          <w:color w:val="111111"/>
          <w:sz w:val="22"/>
        </w:rPr>
        <w:t xml:space="preserve">Source reviewed: </w:t>
      </w:r>
      <w:r>
        <w:rPr>
          <w:rFonts w:ascii="Calibri" w:hAnsi="Calibri"/>
          <w:color w:val="111111"/>
          <w:sz w:val="22"/>
        </w:rPr>
        <w:t>Urban_Tree_Cooling_feedbackdocx (1).docx (3 pages)</w:t>
      </w:r>
    </w:p>
    <w:p>
      <w:pPr>
        <w:spacing w:after="40" w:line="240" w:lineRule="auto"/>
      </w:pPr>
      <w:r>
        <w:rPr>
          <w:rFonts w:ascii="Calibri" w:hAnsi="Calibri"/>
          <w:b/>
          <w:color w:val="111111"/>
          <w:sz w:val="22"/>
        </w:rPr>
        <w:t xml:space="preserve">Coverage: </w:t>
      </w:r>
      <w:r>
        <w:rPr>
          <w:rFonts w:ascii="Calibri" w:hAnsi="Calibri"/>
          <w:color w:val="111111"/>
          <w:sz w:val="22"/>
        </w:rPr>
        <w:t>37 of 37 substantive feedback points assigned explicit dispositions</w:t>
      </w:r>
    </w:p>
    <w:p>
      <w:pPr>
        <w:spacing w:after="40" w:line="240" w:lineRule="auto"/>
      </w:pPr>
      <w:r>
        <w:rPr>
          <w:rFonts w:ascii="Calibri" w:hAnsi="Calibri"/>
          <w:b/>
          <w:color w:val="111111"/>
          <w:sz w:val="22"/>
        </w:rPr>
        <w:t xml:space="preserve">Review status: </w:t>
      </w:r>
      <w:r>
        <w:rPr>
          <w:rFonts w:ascii="Calibri" w:hAnsi="Calibri"/>
          <w:color w:val="111111"/>
          <w:sz w:val="22"/>
        </w:rPr>
        <w:t>Approved as a complete feedback-response packet</w:t>
      </w:r>
    </w:p>
    <w:p>
      <w:pPr>
        <w:spacing w:after="200"/>
        <w:pBdr>
          <w:bottom w:val="single" w:sz="16" w:space="6" w:color="2E74B5"/>
        </w:pBdr>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AF3ED"/>
            <w:vAlign w:val="top"/>
            <w:tcMar>
              <w:top w:w="80" w:type="dxa"/>
              <w:bottom w:w="80" w:type="dxa"/>
              <w:start w:w="120" w:type="dxa"/>
              <w:end w:w="120" w:type="dxa"/>
            </w:tcMar>
          </w:tcPr>
          <w:p>
            <w:pPr>
              <w:spacing w:after="0" w:line="252" w:lineRule="auto"/>
            </w:pPr>
            <w:r>
              <w:rPr>
                <w:rFonts w:ascii="Calibri" w:hAnsi="Calibri"/>
                <w:b/>
                <w:color w:val="1B5E3C"/>
                <w:sz w:val="22"/>
              </w:rPr>
              <w:t>APPROVED — FEEDBACK CLOSEOUT PACKET</w:t>
              <w:br/>
            </w:r>
            <w:r>
              <w:rPr>
                <w:rFonts w:ascii="Calibri" w:hAnsi="Calibri"/>
                <w:color w:val="111111"/>
                <w:sz w:val="21"/>
              </w:rPr>
              <w:t>The response matrix, nonthermal diagnostics, and independent checks are complete. Every feedback point has an evidence-backed disposition.</w:t>
            </w:r>
          </w:p>
        </w:tc>
      </w:tr>
    </w:tbl>
    <w:p>
      <w:pPr>
        <w:spacing w:after="8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5D6"/>
            <w:vAlign w:val="top"/>
            <w:tcMar>
              <w:top w:w="80" w:type="dxa"/>
              <w:bottom w:w="80" w:type="dxa"/>
              <w:start w:w="120" w:type="dxa"/>
              <w:end w:w="120" w:type="dxa"/>
            </w:tcMar>
          </w:tcPr>
          <w:p>
            <w:pPr>
              <w:spacing w:after="0" w:line="252" w:lineRule="auto"/>
            </w:pPr>
            <w:r>
              <w:rPr>
                <w:rFonts w:ascii="Calibri" w:hAnsi="Calibri"/>
                <w:b/>
                <w:color w:val="7A5A00"/>
                <w:sz w:val="22"/>
              </w:rPr>
              <w:t>SCIENTIFIC SCOPE REMAINS CLOSED</w:t>
              <w:br/>
            </w:r>
            <w:r>
              <w:rPr>
                <w:rFonts w:ascii="Calibri" w:hAnsi="Calibri"/>
                <w:color w:val="111111"/>
                <w:sz w:val="21"/>
              </w:rPr>
              <w:t>This approval does not approve a pooled high-demand effect, an AM–PM comparison, thermal/LST inspection, holdout selection, Task-2 outcome work, or access to the 2026 science record. Those routes failed the frozen support rules or remain sealed.</w:t>
            </w:r>
          </w:p>
        </w:tc>
      </w:tr>
    </w:tbl>
    <w:p>
      <w:pPr>
        <w:spacing w:after="80"/>
      </w:pPr>
    </w:p>
    <w:p>
      <w:pPr>
        <w:pStyle w:val="Heading1"/>
        <w:keepNext/>
        <w:pageBreakBefore w:val="0"/>
      </w:pPr>
      <w:r>
        <w:t>Executive decision</w:t>
      </w:r>
    </w:p>
    <w:p>
      <w:r>
        <w:rPr>
          <w:rFonts w:ascii="Calibri" w:hAnsi="Calibri"/>
          <w:color w:val="111111"/>
          <w:sz w:val="22"/>
        </w:rPr>
        <w:t>The frozen decision rule selects COMPARATIVE_CASE_STUDY_PROPOSAL_ONLY. Denver–Aurora is the sole candidate at the widest selectable 25° diagnostic threshold. The result is a proposal direction, not an outcome estimate and not permission to open thermal data.</w:t>
      </w:r>
    </w:p>
    <w:tbl>
      <w:tblPr>
        <w:tblStyle w:val="TableGrid"/>
        <w:tblW w:type="dxa" w:w="9360"/>
        <w:jc w:val="left"/>
        <w:tblLayout w:type="fixed"/>
        <w:tblLook w:firstColumn="1" w:firstRow="1" w:lastColumn="0" w:lastRow="0" w:noHBand="0" w:noVBand="1" w:val="04A0"/>
        <w:tblInd w:w="120" w:type="dxa"/>
      </w:tblPr>
      <w:tblGrid>
        <w:gridCol w:w="3000"/>
        <w:gridCol w:w="4200"/>
        <w:gridCol w:w="2160"/>
      </w:tblGrid>
      <w:tr>
        <w:trPr>
          <w:tblHeader w:val="true"/>
          <w:cantSplit/>
        </w:trPr>
        <w:tc>
          <w:tcPr>
            <w:tcW w:type="dxa" w:w="3000"/>
            <w:shd w:fill="F2F4F7"/>
            <w:vAlign w:val="top"/>
            <w:tcMar>
              <w:top w:w="80" w:type="dxa"/>
              <w:bottom w:w="80" w:type="dxa"/>
              <w:start w:w="120" w:type="dxa"/>
              <w:end w:w="120" w:type="dxa"/>
            </w:tcMar>
          </w:tcPr>
          <w:p>
            <w:pPr>
              <w:keepLines/>
              <w:spacing w:before="0" w:after="40" w:line="240" w:lineRule="auto"/>
            </w:pPr>
            <w:r>
              <w:rPr>
                <w:rFonts w:ascii="Calibri" w:hAnsi="Calibri"/>
                <w:b/>
                <w:color w:val="1F4D78"/>
                <w:sz w:val="18"/>
              </w:rPr>
              <w:t>Question</w:t>
            </w:r>
          </w:p>
        </w:tc>
        <w:tc>
          <w:tcPr>
            <w:tcW w:type="dxa" w:w="4200"/>
            <w:shd w:fill="F2F4F7"/>
            <w:vAlign w:val="top"/>
            <w:tcMar>
              <w:top w:w="80" w:type="dxa"/>
              <w:bottom w:w="80" w:type="dxa"/>
              <w:start w:w="120" w:type="dxa"/>
              <w:end w:w="120" w:type="dxa"/>
            </w:tcMar>
          </w:tcPr>
          <w:p>
            <w:pPr>
              <w:keepLines/>
              <w:spacing w:before="0" w:after="40" w:line="240" w:lineRule="auto"/>
            </w:pPr>
            <w:r>
              <w:rPr>
                <w:rFonts w:ascii="Calibri" w:hAnsi="Calibri"/>
                <w:b/>
                <w:color w:val="1F4D78"/>
                <w:sz w:val="18"/>
              </w:rPr>
              <w:t>Audited result</w:t>
            </w:r>
          </w:p>
        </w:tc>
        <w:tc>
          <w:tcPr>
            <w:tcW w:type="dxa" w:w="2160"/>
            <w:shd w:fill="F2F4F7"/>
            <w:vAlign w:val="top"/>
            <w:tcMar>
              <w:top w:w="80" w:type="dxa"/>
              <w:bottom w:w="80" w:type="dxa"/>
              <w:start w:w="120" w:type="dxa"/>
              <w:end w:w="120" w:type="dxa"/>
            </w:tcMar>
          </w:tcPr>
          <w:p>
            <w:pPr>
              <w:keepLines/>
              <w:spacing w:before="0" w:after="40" w:line="240" w:lineRule="auto"/>
            </w:pPr>
            <w:r>
              <w:rPr>
                <w:rFonts w:ascii="Calibri" w:hAnsi="Calibri"/>
                <w:b/>
                <w:color w:val="1F4D78"/>
                <w:sz w:val="18"/>
              </w:rPr>
              <w:t>Authorization</w:t>
            </w:r>
          </w:p>
        </w:tc>
      </w:tr>
      <w:tr>
        <w:trPr>
          <w:cantSplit/>
        </w:trPr>
        <w:tc>
          <w:tcPr>
            <w:tcW w:type="dxa" w:w="3000"/>
            <w:vAlign w:val="top"/>
            <w:tcMar>
              <w:top w:w="80" w:type="dxa"/>
              <w:bottom w:w="80" w:type="dxa"/>
              <w:start w:w="120" w:type="dxa"/>
              <w:end w:w="120" w:type="dxa"/>
            </w:tcMar>
          </w:tcPr>
          <w:p>
            <w:pPr>
              <w:keepLines/>
              <w:spacing w:before="0" w:after="40" w:line="240" w:lineRule="auto"/>
            </w:pPr>
            <w:r>
              <w:rPr>
                <w:rFonts w:ascii="Calibri" w:hAnsi="Calibri"/>
                <w:b/>
                <w:color w:val="111111"/>
                <w:sz w:val="18"/>
              </w:rPr>
              <w:t>Pooled high-demand wet–dry contrast</w:t>
            </w:r>
          </w:p>
        </w:tc>
        <w:tc>
          <w:tcPr>
            <w:tcW w:type="dxa" w:w="420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Only 1 of 4 city-windows passes; Denver–Aurora only</w:t>
            </w:r>
          </w:p>
        </w:tc>
        <w:tc>
          <w:tcPr>
            <w:tcW w:type="dxa" w:w="216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Not authorized</w:t>
            </w:r>
          </w:p>
        </w:tc>
      </w:tr>
      <w:tr>
        <w:trPr>
          <w:cantSplit/>
        </w:trPr>
        <w:tc>
          <w:tcPr>
            <w:tcW w:type="dxa" w:w="3000"/>
            <w:vAlign w:val="top"/>
            <w:tcMar>
              <w:top w:w="80" w:type="dxa"/>
              <w:bottom w:w="80" w:type="dxa"/>
              <w:start w:w="120" w:type="dxa"/>
              <w:end w:w="120" w:type="dxa"/>
            </w:tcMar>
          </w:tcPr>
          <w:p>
            <w:pPr>
              <w:keepLines/>
              <w:spacing w:before="0" w:after="40" w:line="240" w:lineRule="auto"/>
            </w:pPr>
            <w:r>
              <w:rPr>
                <w:rFonts w:ascii="Calibri" w:hAnsi="Calibri"/>
                <w:b/>
                <w:color w:val="111111"/>
                <w:sz w:val="18"/>
              </w:rPr>
              <w:t>Empirically matched AM–PM comparison</w:t>
            </w:r>
          </w:p>
        </w:tc>
        <w:tc>
          <w:tcPr>
            <w:tcW w:type="dxa" w:w="420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0 morning passes and 0 cross-stratum pairs at 25°</w:t>
            </w:r>
          </w:p>
        </w:tc>
        <w:tc>
          <w:tcPr>
            <w:tcW w:type="dxa" w:w="216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Not authorized</w:t>
            </w:r>
          </w:p>
        </w:tc>
      </w:tr>
      <w:tr>
        <w:trPr>
          <w:cantSplit/>
        </w:trPr>
        <w:tc>
          <w:tcPr>
            <w:tcW w:type="dxa" w:w="3000"/>
            <w:vAlign w:val="top"/>
            <w:tcMar>
              <w:top w:w="80" w:type="dxa"/>
              <w:bottom w:w="80" w:type="dxa"/>
              <w:start w:w="120" w:type="dxa"/>
              <w:end w:w="120" w:type="dxa"/>
            </w:tcMar>
          </w:tcPr>
          <w:p>
            <w:pPr>
              <w:keepLines/>
              <w:spacing w:before="0" w:after="40" w:line="240" w:lineRule="auto"/>
            </w:pPr>
            <w:r>
              <w:rPr>
                <w:rFonts w:ascii="Calibri" w:hAnsi="Calibri"/>
                <w:b/>
                <w:color w:val="111111"/>
                <w:sz w:val="18"/>
              </w:rPr>
              <w:t>Feedback-compliant simulation</w:t>
            </w:r>
          </w:p>
        </w:tc>
        <w:tc>
          <w:tcPr>
            <w:tcW w:type="dxa" w:w="420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All three profiles fail empirical identifiability preflight</w:t>
            </w:r>
          </w:p>
        </w:tc>
        <w:tc>
          <w:tcPr>
            <w:tcW w:type="dxa" w:w="216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Not run</w:t>
            </w:r>
          </w:p>
        </w:tc>
      </w:tr>
      <w:tr>
        <w:trPr>
          <w:cantSplit/>
        </w:trPr>
        <w:tc>
          <w:tcPr>
            <w:tcW w:type="dxa" w:w="3000"/>
            <w:vAlign w:val="top"/>
            <w:tcMar>
              <w:top w:w="80" w:type="dxa"/>
              <w:bottom w:w="80" w:type="dxa"/>
              <w:start w:w="120" w:type="dxa"/>
              <w:end w:w="120" w:type="dxa"/>
            </w:tcMar>
          </w:tcPr>
          <w:p>
            <w:pPr>
              <w:keepLines/>
              <w:spacing w:before="0" w:after="40" w:line="240" w:lineRule="auto"/>
            </w:pPr>
            <w:r>
              <w:rPr>
                <w:rFonts w:ascii="Calibri" w:hAnsi="Calibri"/>
                <w:b/>
                <w:color w:val="111111"/>
                <w:sz w:val="18"/>
              </w:rPr>
              <w:t>Comparative case-study proposal</w:t>
            </w:r>
          </w:p>
        </w:tc>
        <w:tc>
          <w:tcPr>
            <w:tcW w:type="dxa" w:w="420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Denver–Aurora meets within-city support at 25°</w:t>
            </w:r>
          </w:p>
        </w:tc>
        <w:tc>
          <w:tcPr>
            <w:tcW w:type="dxa" w:w="216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Proposal only</w:t>
            </w:r>
          </w:p>
        </w:tc>
      </w:tr>
      <w:tr>
        <w:trPr>
          <w:cantSplit/>
        </w:trPr>
        <w:tc>
          <w:tcPr>
            <w:tcW w:type="dxa" w:w="3000"/>
            <w:vAlign w:val="top"/>
            <w:tcMar>
              <w:top w:w="80" w:type="dxa"/>
              <w:bottom w:w="80" w:type="dxa"/>
              <w:start w:w="120" w:type="dxa"/>
              <w:end w:w="120" w:type="dxa"/>
            </w:tcMar>
          </w:tcPr>
          <w:p>
            <w:pPr>
              <w:keepLines/>
              <w:spacing w:before="0" w:after="40" w:line="240" w:lineRule="auto"/>
            </w:pPr>
            <w:r>
              <w:rPr>
                <w:rFonts w:ascii="Calibri" w:hAnsi="Calibri"/>
                <w:b/>
                <w:color w:val="111111"/>
                <w:sz w:val="18"/>
              </w:rPr>
              <w:t>Independent verification</w:t>
            </w:r>
          </w:p>
        </w:tc>
        <w:tc>
          <w:tcPr>
            <w:tcW w:type="dxa" w:w="420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10 of 10 checks passed</w:t>
            </w:r>
          </w:p>
        </w:tc>
        <w:tc>
          <w:tcPr>
            <w:tcW w:type="dxa" w:w="216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Accepted</w:t>
            </w:r>
          </w:p>
        </w:tc>
      </w:tr>
    </w:tbl>
    <w:p>
      <w:pPr>
        <w:spacing w:before="80" w:after="80"/>
      </w:pPr>
    </w:p>
    <w:p>
      <w:pPr>
        <w:sectPr>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pPr>
    </w:p>
    <w:p>
      <w:pPr>
        <w:pStyle w:val="Heading1"/>
        <w:keepNext/>
        <w:pageBreakBefore w:val="0"/>
      </w:pPr>
      <w:r>
        <w:t>Disposition summary</w:t>
      </w:r>
    </w:p>
    <w:tbl>
      <w:tblPr>
        <w:tblStyle w:val="TableGrid"/>
        <w:tblW w:type="dxa" w:w="9360"/>
        <w:jc w:val="left"/>
        <w:tblLayout w:type="fixed"/>
        <w:tblLook w:firstColumn="1" w:firstRow="1" w:lastColumn="0" w:lastRow="0" w:noHBand="0" w:noVBand="1" w:val="04A0"/>
        <w:tblInd w:w="120" w:type="dxa"/>
      </w:tblPr>
      <w:tblGrid>
        <w:gridCol w:w="3000"/>
        <w:gridCol w:w="1000"/>
        <w:gridCol w:w="5360"/>
      </w:tblGrid>
      <w:tr>
        <w:trPr>
          <w:tblHeader w:val="true"/>
          <w:cantSplit/>
        </w:trPr>
        <w:tc>
          <w:tcPr>
            <w:tcW w:type="dxa" w:w="3000"/>
            <w:shd w:fill="F2F4F7"/>
            <w:vAlign w:val="top"/>
            <w:tcMar>
              <w:top w:w="80" w:type="dxa"/>
              <w:bottom w:w="80" w:type="dxa"/>
              <w:start w:w="120" w:type="dxa"/>
              <w:end w:w="120" w:type="dxa"/>
            </w:tcMar>
          </w:tcPr>
          <w:p>
            <w:pPr>
              <w:keepLines/>
              <w:spacing w:before="0" w:after="40" w:line="240" w:lineRule="auto"/>
            </w:pPr>
            <w:r>
              <w:rPr>
                <w:rFonts w:ascii="Calibri" w:hAnsi="Calibri"/>
                <w:b/>
                <w:color w:val="1F4D78"/>
                <w:sz w:val="18"/>
              </w:rPr>
              <w:t>Disposition</w:t>
            </w:r>
          </w:p>
        </w:tc>
        <w:tc>
          <w:tcPr>
            <w:tcW w:type="dxa" w:w="1000"/>
            <w:shd w:fill="F2F4F7"/>
            <w:vAlign w:val="top"/>
            <w:tcMar>
              <w:top w:w="80" w:type="dxa"/>
              <w:bottom w:w="80" w:type="dxa"/>
              <w:start w:w="120" w:type="dxa"/>
              <w:end w:w="120" w:type="dxa"/>
            </w:tcMar>
          </w:tcPr>
          <w:p>
            <w:pPr>
              <w:keepLines/>
              <w:spacing w:before="0" w:after="40" w:line="240" w:lineRule="auto"/>
            </w:pPr>
            <w:r>
              <w:rPr>
                <w:rFonts w:ascii="Calibri" w:hAnsi="Calibri"/>
                <w:b/>
                <w:color w:val="1F4D78"/>
                <w:sz w:val="18"/>
              </w:rPr>
              <w:t>Count</w:t>
            </w:r>
          </w:p>
        </w:tc>
        <w:tc>
          <w:tcPr>
            <w:tcW w:type="dxa" w:w="5360"/>
            <w:shd w:fill="F2F4F7"/>
            <w:vAlign w:val="top"/>
            <w:tcMar>
              <w:top w:w="80" w:type="dxa"/>
              <w:bottom w:w="80" w:type="dxa"/>
              <w:start w:w="120" w:type="dxa"/>
              <w:end w:w="120" w:type="dxa"/>
            </w:tcMar>
          </w:tcPr>
          <w:p>
            <w:pPr>
              <w:keepLines/>
              <w:spacing w:before="0" w:after="40" w:line="240" w:lineRule="auto"/>
            </w:pPr>
            <w:r>
              <w:rPr>
                <w:rFonts w:ascii="Calibri" w:hAnsi="Calibri"/>
                <w:b/>
                <w:color w:val="1F4D78"/>
                <w:sz w:val="18"/>
              </w:rPr>
              <w:t>Meaning</w:t>
            </w:r>
          </w:p>
        </w:tc>
      </w:tr>
      <w:tr>
        <w:trPr>
          <w:cantSplit/>
        </w:trPr>
        <w:tc>
          <w:tcPr>
            <w:tcW w:type="dxa" w:w="3000"/>
            <w:vAlign w:val="top"/>
            <w:tcMar>
              <w:top w:w="80" w:type="dxa"/>
              <w:bottom w:w="80" w:type="dxa"/>
              <w:start w:w="120" w:type="dxa"/>
              <w:end w:w="120" w:type="dxa"/>
            </w:tcMar>
          </w:tcPr>
          <w:p>
            <w:pPr>
              <w:keepLines/>
              <w:spacing w:before="0" w:after="40" w:line="240" w:lineRule="auto"/>
            </w:pPr>
            <w:r>
              <w:rPr>
                <w:rFonts w:ascii="Calibri" w:hAnsi="Calibri"/>
                <w:b/>
                <w:color w:val="111111"/>
                <w:sz w:val="18"/>
              </w:rPr>
              <w:t>Addressed</w:t>
            </w:r>
          </w:p>
        </w:tc>
        <w:tc>
          <w:tcPr>
            <w:tcW w:type="dxa" w:w="100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26</w:t>
            </w:r>
          </w:p>
        </w:tc>
        <w:tc>
          <w:tcPr>
            <w:tcW w:type="dxa" w:w="536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Requested evidence, rule, or clarification delivered</w:t>
            </w:r>
          </w:p>
        </w:tc>
      </w:tr>
      <w:tr>
        <w:trPr>
          <w:cantSplit/>
        </w:trPr>
        <w:tc>
          <w:tcPr>
            <w:tcW w:type="dxa" w:w="3000"/>
            <w:vAlign w:val="top"/>
            <w:tcMar>
              <w:top w:w="80" w:type="dxa"/>
              <w:bottom w:w="80" w:type="dxa"/>
              <w:start w:w="120" w:type="dxa"/>
              <w:end w:w="120" w:type="dxa"/>
            </w:tcMar>
          </w:tcPr>
          <w:p>
            <w:pPr>
              <w:keepLines/>
              <w:spacing w:before="0" w:after="40" w:line="240" w:lineRule="auto"/>
            </w:pPr>
            <w:r>
              <w:rPr>
                <w:rFonts w:ascii="Calibri" w:hAnsi="Calibri"/>
                <w:b/>
                <w:color w:val="111111"/>
                <w:sz w:val="18"/>
              </w:rPr>
              <w:t>Addressed — negative result</w:t>
            </w:r>
          </w:p>
        </w:tc>
        <w:tc>
          <w:tcPr>
            <w:tcW w:type="dxa" w:w="100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8</w:t>
            </w:r>
          </w:p>
        </w:tc>
        <w:tc>
          <w:tcPr>
            <w:tcW w:type="dxa" w:w="536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Requested audit completed; support criterion failed</w:t>
            </w:r>
          </w:p>
        </w:tc>
      </w:tr>
      <w:tr>
        <w:trPr>
          <w:cantSplit/>
        </w:trPr>
        <w:tc>
          <w:tcPr>
            <w:tcW w:type="dxa" w:w="3000"/>
            <w:vAlign w:val="top"/>
            <w:tcMar>
              <w:top w:w="80" w:type="dxa"/>
              <w:bottom w:w="80" w:type="dxa"/>
              <w:start w:w="120" w:type="dxa"/>
              <w:end w:w="120" w:type="dxa"/>
            </w:tcMar>
          </w:tcPr>
          <w:p>
            <w:pPr>
              <w:keepLines/>
              <w:spacing w:before="0" w:after="40" w:line="240" w:lineRule="auto"/>
            </w:pPr>
            <w:r>
              <w:rPr>
                <w:rFonts w:ascii="Calibri" w:hAnsi="Calibri"/>
                <w:b/>
                <w:color w:val="111111"/>
                <w:sz w:val="18"/>
              </w:rPr>
              <w:t>Addressed — equivalent control</w:t>
            </w:r>
          </w:p>
        </w:tc>
        <w:tc>
          <w:tcPr>
            <w:tcW w:type="dxa" w:w="100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1</w:t>
            </w:r>
          </w:p>
        </w:tc>
        <w:tc>
          <w:tcPr>
            <w:tcW w:type="dxa" w:w="536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Existing quarantine control is substantively equivalent</w:t>
            </w:r>
          </w:p>
        </w:tc>
      </w:tr>
      <w:tr>
        <w:trPr>
          <w:cantSplit/>
        </w:trPr>
        <w:tc>
          <w:tcPr>
            <w:tcW w:type="dxa" w:w="3000"/>
            <w:vAlign w:val="top"/>
            <w:tcMar>
              <w:top w:w="80" w:type="dxa"/>
              <w:bottom w:w="80" w:type="dxa"/>
              <w:start w:w="120" w:type="dxa"/>
              <w:end w:w="120" w:type="dxa"/>
            </w:tcMar>
          </w:tcPr>
          <w:p>
            <w:pPr>
              <w:keepLines/>
              <w:spacing w:before="0" w:after="40" w:line="240" w:lineRule="auto"/>
            </w:pPr>
            <w:r>
              <w:rPr>
                <w:rFonts w:ascii="Calibri" w:hAnsi="Calibri"/>
                <w:b/>
                <w:color w:val="111111"/>
                <w:sz w:val="18"/>
              </w:rPr>
              <w:t>Addressed — fail-closed preflight</w:t>
            </w:r>
          </w:p>
        </w:tc>
        <w:tc>
          <w:tcPr>
            <w:tcW w:type="dxa" w:w="100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1</w:t>
            </w:r>
          </w:p>
        </w:tc>
        <w:tc>
          <w:tcPr>
            <w:tcW w:type="dxa" w:w="536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Simulation contract frozen; invalid run refused</w:t>
            </w:r>
          </w:p>
        </w:tc>
      </w:tr>
      <w:tr>
        <w:trPr>
          <w:cantSplit/>
        </w:trPr>
        <w:tc>
          <w:tcPr>
            <w:tcW w:type="dxa" w:w="3000"/>
            <w:vAlign w:val="top"/>
            <w:tcMar>
              <w:top w:w="80" w:type="dxa"/>
              <w:bottom w:w="80" w:type="dxa"/>
              <w:start w:w="120" w:type="dxa"/>
              <w:end w:w="120" w:type="dxa"/>
            </w:tcMar>
          </w:tcPr>
          <w:p>
            <w:pPr>
              <w:keepLines/>
              <w:spacing w:before="0" w:after="40" w:line="240" w:lineRule="auto"/>
            </w:pPr>
            <w:r>
              <w:rPr>
                <w:rFonts w:ascii="Calibri" w:hAnsi="Calibri"/>
                <w:b/>
                <w:color w:val="111111"/>
                <w:sz w:val="18"/>
              </w:rPr>
              <w:t>Partial — blocked and reported</w:t>
            </w:r>
          </w:p>
        </w:tc>
        <w:tc>
          <w:tcPr>
            <w:tcW w:type="dxa" w:w="100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1</w:t>
            </w:r>
          </w:p>
        </w:tc>
        <w:tc>
          <w:tcPr>
            <w:tcW w:type="dxa" w:w="536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Available evidence reported; remaining field depends on an unselected design</w:t>
            </w:r>
          </w:p>
        </w:tc>
      </w:tr>
      <w:tr>
        <w:trPr>
          <w:cantSplit/>
        </w:trPr>
        <w:tc>
          <w:tcPr>
            <w:tcW w:type="dxa" w:w="3000"/>
            <w:vAlign w:val="top"/>
            <w:tcMar>
              <w:top w:w="80" w:type="dxa"/>
              <w:bottom w:w="80" w:type="dxa"/>
              <w:start w:w="120" w:type="dxa"/>
              <w:end w:w="120" w:type="dxa"/>
            </w:tcMar>
          </w:tcPr>
          <w:p>
            <w:pPr>
              <w:keepLines/>
              <w:spacing w:before="0" w:after="40" w:line="240" w:lineRule="auto"/>
            </w:pPr>
            <w:r>
              <w:rPr>
                <w:rFonts w:ascii="Calibri" w:hAnsi="Calibri"/>
                <w:b/>
                <w:color w:val="111111"/>
                <w:sz w:val="18"/>
              </w:rPr>
              <w:t>Total</w:t>
            </w:r>
          </w:p>
        </w:tc>
        <w:tc>
          <w:tcPr>
            <w:tcW w:type="dxa" w:w="100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37</w:t>
            </w:r>
          </w:p>
        </w:tc>
        <w:tc>
          <w:tcPr>
            <w:tcW w:type="dxa" w:w="5360"/>
            <w:vAlign w:val="top"/>
            <w:tcMar>
              <w:top w:w="80" w:type="dxa"/>
              <w:bottom w:w="80" w:type="dxa"/>
              <w:start w:w="120" w:type="dxa"/>
              <w:end w:w="120" w:type="dxa"/>
            </w:tcMar>
          </w:tcPr>
          <w:p>
            <w:pPr>
              <w:keepLines/>
              <w:spacing w:before="0" w:after="40" w:line="240" w:lineRule="auto"/>
            </w:pPr>
            <w:r>
              <w:rPr>
                <w:rFonts w:ascii="Calibri" w:hAnsi="Calibri"/>
                <w:b w:val="0"/>
                <w:color w:val="111111"/>
                <w:sz w:val="18"/>
              </w:rPr>
              <w:t>Complete feedback census</w:t>
            </w:r>
          </w:p>
        </w:tc>
      </w:tr>
    </w:tbl>
    <w:p>
      <w:pPr>
        <w:spacing w:before="80" w:after="80"/>
      </w:pPr>
    </w:p>
    <w:p>
      <w:pPr>
        <w:pStyle w:val="Heading1"/>
        <w:keepNext/>
        <w:pageBreakBefore w:val="0"/>
      </w:pPr>
      <w:r>
        <w:t>Gate-by-gate response</w:t>
      </w:r>
    </w:p>
    <w:p>
      <w:pPr>
        <w:pStyle w:val="Heading2"/>
        <w:keepNext/>
        <w:pageBreakBefore w:val="0"/>
      </w:pPr>
      <w:r>
        <w:t>G0–G3 — protocol, reconciliation, wetness, and sampling design</w:t>
      </w:r>
    </w:p>
    <w:p>
      <w:r>
        <w:rPr>
          <w:rFonts w:ascii="Calibri" w:hAnsi="Calibri"/>
          <w:color w:val="111111"/>
          <w:sz w:val="22"/>
        </w:rPr>
        <w:t>The outcome-blind amendment, attrition ledger, pass-equivalent interpretation, raw-count reporting, 30/60-day precipitation and P−ET0 support, days-since-rain metric, city provenance, phenology, season, geometry, and threshold audits were completed. The prospective G3 selector returned REVISE_REQUIRED, so no design was selected and no outcome-bearing branch was opened.</w:t>
      </w:r>
    </w:p>
    <w:p>
      <w:pPr>
        <w:pStyle w:val="Heading2"/>
        <w:keepNext/>
        <w:pageBreakBefore w:val="0"/>
      </w:pPr>
      <w:r>
        <w:t>G4 — focused high-demand audit</w:t>
      </w:r>
    </w:p>
    <w:p>
      <w:r>
        <w:rPr>
          <w:rFonts w:ascii="Calibri" w:hAnsi="Calibri"/>
          <w:color w:val="111111"/>
          <w:sz w:val="22"/>
        </w:rPr>
        <w:t>At 25°, 52 physical passes are available across the four primary city-windows. Only Denver–Aurora passes the within-city wet/dry count plus positive absolute-VPD and seasonal overlap rules. Its share of the observed passes is 55.77%, above the 40% concentration cap. The four-city pooled contrast is therefore not authorized.</w:t>
      </w:r>
    </w:p>
    <w:p>
      <w:pPr>
        <w:pStyle w:val="Heading2"/>
        <w:keepNext/>
        <w:pageBreakBefore w:val="0"/>
      </w:pPr>
      <w:r>
        <w:t>G5 — time-of-day matching</w:t>
      </w:r>
    </w:p>
    <w:p>
      <w:r>
        <w:rPr>
          <w:rFonts w:ascii="Calibri" w:hAnsi="Calibri"/>
          <w:color w:val="111111"/>
          <w:sz w:val="22"/>
        </w:rPr>
        <w:t>The complete design has no late-morning support in any primary city-window at any selectable threshold. At 25° it has 0 late-morning passes, 18 late-afternoon passes, and 0 possible cross-stratum pairs even before solar-elevation, weather, seasonal, or relative-azimuth calipers. The AM–PM comparison is not authorized.</w:t>
      </w:r>
    </w:p>
    <w:p>
      <w:pPr>
        <w:pStyle w:val="Heading2"/>
        <w:keepNext/>
        <w:pageBreakBefore w:val="0"/>
      </w:pPr>
      <w:r>
        <w:t>G6 — independent verification</w:t>
      </w:r>
    </w:p>
    <w:p>
      <w:r>
        <w:rPr>
          <w:rFonts w:ascii="Calibri" w:hAnsi="Calibri"/>
          <w:color w:val="111111"/>
          <w:sz w:val="22"/>
        </w:rPr>
        <w:t>A standalone verifier that imports no project analysis modules passed all 10 checks: source hash, 2,968-row identity and deduplication, the 2,968→219→102 attrition counts, the 438-link/413-asset/219-pass weather identity, VPD units, the published NREL solar-position known answer, prior-day window exclusion, cloud/fill semantics, P−ET0 sign and units, and the Gate-3 geometry/weather/support clean room.</w:t>
      </w:r>
    </w:p>
    <w:p>
      <w:pPr>
        <w:sectPr>
          <w:headerReference w:type="default" r:id="rId13"/>
          <w:headerReference w:type="first" r:id="rId14"/>
          <w:footerReference w:type="default" r:id="rId15"/>
          <w:footerReference w:type="first" r:id="rId16"/>
          <w:pgSz w:w="12240" w:h="15840"/>
          <w:pgMar w:top="1440" w:right="1440" w:bottom="1440" w:left="1440" w:header="708" w:footer="708" w:gutter="0"/>
          <w:cols w:space="720"/>
          <w:titlePg/>
          <w:docGrid w:linePitch="360"/>
        </w:sectPr>
      </w:pPr>
    </w:p>
    <w:p>
      <w:pPr>
        <w:pStyle w:val="Heading2"/>
        <w:keepNext/>
        <w:pageBreakBefore w:val="0"/>
      </w:pPr>
      <w:r>
        <w:t>G7 — simulation contract and preflight</w:t>
      </w:r>
    </w:p>
    <w:p>
      <w:r>
        <w:rPr>
          <w:rFonts w:ascii="Calibri" w:hAnsi="Calibri"/>
          <w:color w:val="111111"/>
          <w:sz w:val="22"/>
        </w:rPr>
        <w:t>The three requested profiles were preregistered with 0.75/1.50/2.25 K effects, explicit pass/matched-set/row residual components (0.8/0.5/1.5 K), clustering, pass-level measurement error, alpha 0.05, target power 0.80, replicate counts, seed, and an MDE rule. No new Monte Carlo run was made because the empirical profiles are not identifiable. The historical D0056 run used 200 replicates and produced power 0.11 at 1.5 K, but its same-distribution archive scope cannot substitute for the requested matched design.</w:t>
      </w:r>
    </w:p>
    <w:p>
      <w:pPr>
        <w:pStyle w:val="Heading2"/>
        <w:keepNext/>
        <w:pageBreakBefore w:val="0"/>
      </w:pPr>
      <w:r>
        <w:t>G8 — final rule</w:t>
      </w:r>
    </w:p>
    <w:p>
      <w:r>
        <w:rPr>
          <w:rFonts w:ascii="Calibri" w:hAnsi="Calibri"/>
          <w:color w:val="111111"/>
          <w:sz w:val="22"/>
        </w:rPr>
        <w:t>Proceed only with a nonthermal Denver–Aurora comparative case-study proposal. Reject the pooled high-demand claim, reject the AM–PM outcome analysis, do not manufacture power for non-identifiable profiles, and keep all sealed outcome branches closed.</w:t>
      </w:r>
    </w:p>
    <w:p>
      <w:pPr>
        <w:pStyle w:val="Heading1"/>
        <w:keepNext/>
        <w:pageBreakBefore w:val="0"/>
      </w:pPr>
      <w:r>
        <w:t>Point-by-point response matrix</w:t>
      </w:r>
    </w:p>
    <w:p>
      <w:r>
        <w:rPr>
          <w:rFonts w:ascii="Calibri" w:hAnsi="Calibri"/>
          <w:color w:val="111111"/>
          <w:sz w:val="22"/>
        </w:rPr>
        <w:t>The wording below follows the 37-point traceability census derived from the three-page source document. “Negative result” means the requested check was performed and did not meet its frozen support rule; it is not an omitted response.</w:t>
      </w:r>
    </w:p>
    <w:p>
      <w:pPr>
        <w:pStyle w:val="Heading2"/>
        <w:keepNext/>
        <w:pageBreakBefore w:val="0"/>
      </w:pPr>
      <w:r>
        <w:t>Source page 1</w:t>
      </w:r>
    </w:p>
    <w:p>
      <w:pPr>
        <w:spacing w:before="100" w:after="40"/>
      </w:pPr>
      <w:r>
        <w:rPr>
          <w:rFonts w:ascii="Calibri" w:hAnsi="Calibri"/>
          <w:b/>
          <w:color w:val="1F4D78"/>
          <w:sz w:val="20"/>
        </w:rPr>
        <w:t>F01</w:t>
      </w:r>
      <w:r>
        <w:rPr>
          <w:rFonts w:ascii="Calibri" w:hAnsi="Calibri"/>
          <w:color w:val="5F6670"/>
          <w:sz w:val="20"/>
        </w:rPr>
        <w:t xml:space="preserve">  |  </w:t>
      </w:r>
      <w:r>
        <w:rPr>
          <w:rFonts w:ascii="Calibri" w:hAnsi="Calibri"/>
          <w:b/>
          <w:color w:val="8C1D18"/>
          <w:sz w:val="20"/>
        </w:rPr>
        <w:t>Addressed — negative result</w:t>
      </w:r>
    </w:p>
    <w:p>
      <w:pPr>
        <w:spacing w:after="40" w:line="252" w:lineRule="auto"/>
      </w:pPr>
      <w:r>
        <w:rPr>
          <w:rFonts w:ascii="Calibri" w:hAnsi="Calibri"/>
          <w:b/>
          <w:color w:val="111111"/>
          <w:sz w:val="19"/>
        </w:rPr>
        <w:t xml:space="preserve">Feedback: </w:t>
      </w:r>
      <w:r>
        <w:rPr>
          <w:rFonts w:ascii="Calibri" w:hAnsi="Calibri"/>
          <w:color w:val="111111"/>
          <w:sz w:val="19"/>
        </w:rPr>
        <w:t>The full demand-by-wetness surface is weakly identified, but the narrower high-demand question may remain viable.</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Formal audit rejects the pooled high-demand contrast; redirects to a Denver case-study proposal. Evidence: G4;G8.</w:t>
      </w:r>
    </w:p>
    <w:p>
      <w:pPr>
        <w:spacing w:before="100" w:after="40"/>
      </w:pPr>
      <w:r>
        <w:rPr>
          <w:rFonts w:ascii="Calibri" w:hAnsi="Calibri"/>
          <w:b/>
          <w:color w:val="1F4D78"/>
          <w:sz w:val="20"/>
        </w:rPr>
        <w:t>F02</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Record prospective changes as an outcome-blind protocol amendment before thermal inspection.</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D0059 approved the outcome-blind protocol before any thermal value was opened. Evidence: G0.</w:t>
      </w:r>
    </w:p>
    <w:p>
      <w:pPr>
        <w:spacing w:before="100" w:after="40"/>
      </w:pPr>
      <w:r>
        <w:rPr>
          <w:rFonts w:ascii="Calibri" w:hAnsi="Calibri"/>
          <w:b/>
          <w:color w:val="1F4D78"/>
          <w:sz w:val="20"/>
        </w:rPr>
        <w:t>F03</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P minus ET0 partly contains the atmospheric-demand variable.</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P-ET0 is sensitivity-only and its stronger demand coupling is quantified. Evidence: G2.</w:t>
      </w:r>
    </w:p>
    <w:p>
      <w:pPr>
        <w:spacing w:before="100" w:after="40"/>
      </w:pPr>
      <w:r>
        <w:rPr>
          <w:rFonts w:ascii="Calibri" w:hAnsi="Calibri"/>
          <w:b/>
          <w:color w:val="1F4D78"/>
          <w:sz w:val="20"/>
        </w:rPr>
        <w:t>F04</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Add precipitation-only antecedent wetness.</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Precipitation-only support is reported for 30 and 60 days. Evidence: G2.</w:t>
      </w:r>
    </w:p>
    <w:p>
      <w:pPr>
        <w:spacing w:before="100" w:after="40"/>
      </w:pPr>
      <w:r>
        <w:rPr>
          <w:rFonts w:ascii="Calibri" w:hAnsi="Calibri"/>
          <w:b/>
          <w:color w:val="1F4D78"/>
          <w:sz w:val="20"/>
        </w:rPr>
        <w:t>F05</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Add days since meaningful rain.</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Days since at least 5 mm rain is reported with right-censoring. Evidence: G2.</w:t>
      </w:r>
    </w:p>
    <w:p>
      <w:pPr>
        <w:sectPr>
          <w:headerReference w:type="default" r:id="rId17"/>
          <w:headerReference w:type="first" r:id="rId18"/>
          <w:footerReference w:type="default" r:id="rId19"/>
          <w:footerReference w:type="first" r:id="rId20"/>
          <w:pgSz w:w="12240" w:h="15840"/>
          <w:pgMar w:top="1440" w:right="1440" w:bottom="1440" w:left="1440" w:header="708" w:footer="708" w:gutter="0"/>
          <w:cols w:space="720"/>
          <w:titlePg/>
          <w:docGrid w:linePitch="360"/>
        </w:sectPr>
      </w:pPr>
    </w:p>
    <w:p>
      <w:pPr>
        <w:pStyle w:val="Heading2"/>
        <w:keepNext/>
        <w:pageBreakBefore w:val="0"/>
      </w:pPr>
      <w:r>
        <w:t>Source page 1 — continued</w:t>
      </w:r>
    </w:p>
    <w:p>
      <w:pPr>
        <w:spacing w:before="100" w:after="40"/>
      </w:pPr>
      <w:r>
        <w:rPr>
          <w:rFonts w:ascii="Calibri" w:hAnsi="Calibri"/>
          <w:b/>
          <w:color w:val="1F4D78"/>
          <w:sz w:val="20"/>
        </w:rPr>
        <w:t>F06</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Retain both 30-day and 60-day antecedent windows.</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Both 30- and 60-day windows are complete and prior-day bounded. Evidence: G2.</w:t>
      </w:r>
    </w:p>
    <w:p>
      <w:pPr>
        <w:spacing w:before="100" w:after="40"/>
      </w:pPr>
      <w:r>
        <w:rPr>
          <w:rFonts w:ascii="Calibri" w:hAnsi="Calibri"/>
          <w:b/>
          <w:color w:val="1F4D78"/>
          <w:sz w:val="20"/>
        </w:rPr>
        <w:t>F07</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Call the construct antecedent climatic wetness or water balance, not irrigation or root-zone water.</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Terminology is antecedent climatic wetness/water balance, never irrigation or root-zone water. Evidence: G2.</w:t>
      </w:r>
    </w:p>
    <w:p>
      <w:pPr>
        <w:spacing w:before="100" w:after="40"/>
      </w:pPr>
      <w:r>
        <w:rPr>
          <w:rFonts w:ascii="Calibri" w:hAnsi="Calibri"/>
          <w:b/>
          <w:color w:val="1F4D78"/>
          <w:sz w:val="20"/>
        </w:rPr>
        <w:t>F08</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Do not treat pass-equivalents as the number of independent atmospheric situations.</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Physical passes are the observation count; pass-equivalents remain secondary exposure diagnostics. Evidence: G1;G7.</w:t>
      </w:r>
    </w:p>
    <w:p>
      <w:pPr>
        <w:spacing w:before="100" w:after="40"/>
      </w:pPr>
      <w:r>
        <w:rPr>
          <w:rFonts w:ascii="Calibri" w:hAnsi="Calibri"/>
          <w:b/>
          <w:color w:val="1F4D78"/>
          <w:sz w:val="20"/>
        </w:rPr>
        <w:t>F09</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Report raw physical pass counts alongside every weighted figure.</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Raw counts appear beside all weighted summaries. Evidence: G1.</w:t>
      </w:r>
    </w:p>
    <w:p>
      <w:pPr>
        <w:spacing w:before="100" w:after="40"/>
      </w:pPr>
      <w:r>
        <w:rPr>
          <w:rFonts w:ascii="Calibri" w:hAnsi="Calibri"/>
          <w:b/>
          <w:color w:val="1F4D78"/>
          <w:sz w:val="20"/>
        </w:rPr>
        <w:t>F10</w:t>
      </w:r>
      <w:r>
        <w:rPr>
          <w:rFonts w:ascii="Calibri" w:hAnsi="Calibri"/>
          <w:color w:val="5F6670"/>
          <w:sz w:val="20"/>
        </w:rPr>
        <w:t xml:space="preserve">  |  </w:t>
      </w:r>
      <w:r>
        <w:rPr>
          <w:rFonts w:ascii="Calibri" w:hAnsi="Calibri"/>
          <w:b/>
          <w:color w:val="7A5A00"/>
          <w:sz w:val="20"/>
        </w:rPr>
        <w:t>Partial — blocked and reported</w:t>
      </w:r>
    </w:p>
    <w:p>
      <w:pPr>
        <w:spacing w:after="40" w:line="252" w:lineRule="auto"/>
      </w:pPr>
      <w:r>
        <w:rPr>
          <w:rFonts w:ascii="Calibri" w:hAnsi="Calibri"/>
          <w:b/>
          <w:color w:val="111111"/>
          <w:sz w:val="19"/>
        </w:rPr>
        <w:t xml:space="preserve">Feedback: </w:t>
      </w:r>
      <w:r>
        <w:rPr>
          <w:rFonts w:ascii="Calibri" w:hAnsi="Calibri"/>
          <w:color w:val="111111"/>
          <w:sz w:val="19"/>
        </w:rPr>
        <w:t>Treat cloud as measurement precision and report clear fraction plus usable tree/reference pixels per pass.</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Clear/fill fractions are complete; tree/reference yield remains unavailable because no G3 design was selected. Evidence: G1;G7.</w:t>
      </w:r>
    </w:p>
    <w:p>
      <w:pPr>
        <w:spacing w:before="100" w:after="40"/>
      </w:pPr>
      <w:r>
        <w:rPr>
          <w:rFonts w:ascii="Calibri" w:hAnsi="Calibri"/>
          <w:b/>
          <w:color w:val="1F4D78"/>
          <w:sz w:val="20"/>
        </w:rPr>
        <w:t>F11</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The city set differs from the agreed pool; Miami was not declared and a semi-arid continental city is missing.</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Miami is exploratory and Denver is restored as the semi-arid continental candidate. Evidence: G3.</w:t>
      </w:r>
    </w:p>
    <w:p>
      <w:pPr>
        <w:spacing w:before="100" w:after="40"/>
      </w:pPr>
      <w:r>
        <w:rPr>
          <w:rFonts w:ascii="Calibri" w:hAnsi="Calibri"/>
          <w:b/>
          <w:color w:val="1F4D78"/>
          <w:sz w:val="20"/>
        </w:rPr>
        <w:t>F12</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Evaluate Denver as the semi-arid continental setting.</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Denver geometry, weather, phenology, and support were audited. Evidence: G3.</w:t>
      </w:r>
    </w:p>
    <w:p>
      <w:pPr>
        <w:spacing w:before="100" w:after="40"/>
      </w:pPr>
      <w:r>
        <w:rPr>
          <w:rFonts w:ascii="Calibri" w:hAnsi="Calibri"/>
          <w:b/>
          <w:color w:val="1F4D78"/>
          <w:sz w:val="20"/>
        </w:rPr>
        <w:t>F13</w:t>
      </w:r>
      <w:r>
        <w:rPr>
          <w:rFonts w:ascii="Calibri" w:hAnsi="Calibri"/>
          <w:color w:val="5F6670"/>
          <w:sz w:val="20"/>
        </w:rPr>
        <w:t xml:space="preserve">  |  </w:t>
      </w:r>
      <w:r>
        <w:rPr>
          <w:rFonts w:ascii="Calibri" w:hAnsi="Calibri"/>
          <w:b/>
          <w:color w:val="8C1D18"/>
          <w:sz w:val="20"/>
        </w:rPr>
        <w:t>Addressed — negative result</w:t>
      </w:r>
    </w:p>
    <w:p>
      <w:pPr>
        <w:spacing w:after="40" w:line="252" w:lineRule="auto"/>
      </w:pPr>
      <w:r>
        <w:rPr>
          <w:rFonts w:ascii="Calibri" w:hAnsi="Calibri"/>
          <w:b/>
          <w:color w:val="111111"/>
          <w:sz w:val="19"/>
        </w:rPr>
        <w:t xml:space="preserve">Feedback: </w:t>
      </w:r>
      <w:r>
        <w:rPr>
          <w:rFonts w:ascii="Calibri" w:hAnsi="Calibri"/>
          <w:color w:val="111111"/>
          <w:sz w:val="19"/>
        </w:rPr>
        <w:t>Freeze the city set prospectively on support and data quality.</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The prospective selector failed, so no city set was frozen or silently rescued. Evidence: G3.</w:t>
      </w:r>
    </w:p>
    <w:p>
      <w:pPr>
        <w:spacing w:before="100" w:after="40"/>
      </w:pPr>
      <w:r>
        <w:rPr>
          <w:rFonts w:ascii="Calibri" w:hAnsi="Calibri"/>
          <w:b/>
          <w:color w:val="1F4D78"/>
          <w:sz w:val="20"/>
        </w:rPr>
        <w:t>F14</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Audit whether the 31 archive-unavailable passes fall in the sparse corner.</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All 31 historical and 12 new unavailable passes are retained with proxy/exact nonthermal labels and calculated bounds. Evidence: G1;G3.</w:t>
      </w:r>
    </w:p>
    <w:p>
      <w:pPr>
        <w:sectPr>
          <w:headerReference w:type="default" r:id="rId21"/>
          <w:headerReference w:type="first" r:id="rId22"/>
          <w:footerReference w:type="default" r:id="rId23"/>
          <w:footerReference w:type="first" r:id="rId24"/>
          <w:pgSz w:w="12240" w:h="15840"/>
          <w:pgMar w:top="1440" w:right="1440" w:bottom="1440" w:left="1440" w:header="708" w:footer="708" w:gutter="0"/>
          <w:cols w:space="720"/>
          <w:titlePg/>
          <w:docGrid w:linePitch="360"/>
        </w:sectPr>
      </w:pPr>
    </w:p>
    <w:p>
      <w:pPr>
        <w:pStyle w:val="Heading2"/>
        <w:keepNext/>
        <w:pageBreakBefore w:val="0"/>
      </w:pPr>
      <w:r>
        <w:t>Source page 1 — final</w:t>
      </w:r>
    </w:p>
    <w:p>
      <w:pPr>
        <w:spacing w:before="100" w:after="40"/>
      </w:pPr>
      <w:r>
        <w:rPr>
          <w:rFonts w:ascii="Calibri" w:hAnsi="Calibri"/>
          <w:b/>
          <w:color w:val="1F4D78"/>
          <w:sz w:val="20"/>
        </w:rPr>
        <w:t>F15</w:t>
      </w:r>
      <w:r>
        <w:rPr>
          <w:rFonts w:ascii="Calibri" w:hAnsi="Calibri"/>
          <w:color w:val="5F6670"/>
          <w:sz w:val="20"/>
        </w:rPr>
        <w:t xml:space="preserve">  |  </w:t>
      </w:r>
      <w:r>
        <w:rPr>
          <w:rFonts w:ascii="Calibri" w:hAnsi="Calibri"/>
          <w:b/>
          <w:color w:val="8C1D18"/>
          <w:sz w:val="20"/>
        </w:rPr>
        <w:t>Addressed — negative result</w:t>
      </w:r>
    </w:p>
    <w:p>
      <w:pPr>
        <w:spacing w:after="40" w:line="252" w:lineRule="auto"/>
      </w:pPr>
      <w:r>
        <w:rPr>
          <w:rFonts w:ascii="Calibri" w:hAnsi="Calibri"/>
          <w:b/>
          <w:color w:val="111111"/>
          <w:sz w:val="19"/>
        </w:rPr>
        <w:t xml:space="preserve">Feedback: </w:t>
      </w:r>
      <w:r>
        <w:rPr>
          <w:rFonts w:ascii="Calibri" w:hAnsi="Calibri"/>
          <w:color w:val="111111"/>
          <w:sz w:val="19"/>
        </w:rPr>
        <w:t>Test Collection 3 tiled view/cloud recovery and correct fill-value semantics before relying on the L1B GEO loss.</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Collection-3 recovery was technically audited but recovered zero historical candidates; fill semantics remain explicit. Evidence: G1;G3.</w:t>
      </w:r>
    </w:p>
    <w:p>
      <w:pPr>
        <w:spacing w:before="100" w:after="40"/>
      </w:pPr>
      <w:r>
        <w:rPr>
          <w:rFonts w:ascii="Calibri" w:hAnsi="Calibri"/>
          <w:b/>
          <w:color w:val="1F4D78"/>
          <w:sz w:val="20"/>
        </w:rPr>
        <w:t>F16</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Report time-of-day effect size, residual variance, replicate count, and how the 800-pass scenario was generated.</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Effect, residual components, replicate counts, clustering, and the invalid same-distribution 800-pass interpretation are recorded. Evidence: G7.</w:t>
      </w:r>
    </w:p>
    <w:p>
      <w:pPr>
        <w:pStyle w:val="Heading2"/>
        <w:keepNext/>
        <w:pageBreakBefore w:val="0"/>
      </w:pPr>
      <w:r>
        <w:t>Source page 2</w:t>
      </w:r>
    </w:p>
    <w:p>
      <w:pPr>
        <w:spacing w:before="100" w:after="40"/>
      </w:pPr>
      <w:r>
        <w:rPr>
          <w:rFonts w:ascii="Calibri" w:hAnsi="Calibri"/>
          <w:b/>
          <w:color w:val="1F4D78"/>
          <w:sz w:val="20"/>
        </w:rPr>
        <w:t>F17</w:t>
      </w:r>
      <w:r>
        <w:rPr>
          <w:rFonts w:ascii="Calibri" w:hAnsi="Calibri"/>
          <w:color w:val="5F6670"/>
          <w:sz w:val="20"/>
        </w:rPr>
        <w:t xml:space="preserve">  |  </w:t>
      </w:r>
      <w:r>
        <w:rPr>
          <w:rFonts w:ascii="Calibri" w:hAnsi="Calibri"/>
          <w:b/>
          <w:color w:val="8C1D18"/>
          <w:sz w:val="20"/>
        </w:rPr>
        <w:t>Addressed — negative result</w:t>
      </w:r>
    </w:p>
    <w:p>
      <w:pPr>
        <w:spacing w:after="40" w:line="252" w:lineRule="auto"/>
      </w:pPr>
      <w:r>
        <w:rPr>
          <w:rFonts w:ascii="Calibri" w:hAnsi="Calibri"/>
          <w:b/>
          <w:color w:val="111111"/>
          <w:sz w:val="19"/>
        </w:rPr>
        <w:t xml:space="preserve">Feedback: </w:t>
      </w:r>
      <w:r>
        <w:rPr>
          <w:rFonts w:ascii="Calibri" w:hAnsi="Calibri"/>
          <w:color w:val="111111"/>
          <w:sz w:val="19"/>
        </w:rPr>
        <w:t>Do not adjust away the solar-zenith difference that defines the late-morning/late-afternoon strata.</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Solar elevation defines matching; no ordinary solar-zenith adjustment is authorized. Evidence: G5.</w:t>
      </w:r>
    </w:p>
    <w:p>
      <w:pPr>
        <w:spacing w:before="100" w:after="40"/>
      </w:pPr>
      <w:r>
        <w:rPr>
          <w:rFonts w:ascii="Calibri" w:hAnsi="Calibri"/>
          <w:b/>
          <w:color w:val="1F4D78"/>
          <w:sz w:val="20"/>
        </w:rPr>
        <w:t>F18</w:t>
      </w:r>
      <w:r>
        <w:rPr>
          <w:rFonts w:ascii="Calibri" w:hAnsi="Calibri"/>
          <w:color w:val="5F6670"/>
          <w:sz w:val="20"/>
        </w:rPr>
        <w:t xml:space="preserve">  |  </w:t>
      </w:r>
      <w:r>
        <w:rPr>
          <w:rFonts w:ascii="Calibri" w:hAnsi="Calibri"/>
          <w:b/>
          <w:color w:val="8C1D18"/>
          <w:sz w:val="20"/>
        </w:rPr>
        <w:t>Addressed — negative result</w:t>
      </w:r>
    </w:p>
    <w:p>
      <w:pPr>
        <w:spacing w:after="40" w:line="252" w:lineRule="auto"/>
      </w:pPr>
      <w:r>
        <w:rPr>
          <w:rFonts w:ascii="Calibri" w:hAnsi="Calibri"/>
          <w:b/>
          <w:color w:val="111111"/>
          <w:sz w:val="19"/>
        </w:rPr>
        <w:t xml:space="preserve">Feedback: </w:t>
      </w:r>
      <w:r>
        <w:rPr>
          <w:rFonts w:ascii="Calibri" w:hAnsi="Calibri"/>
          <w:color w:val="111111"/>
          <w:sz w:val="19"/>
        </w:rPr>
        <w:t>Equal solar zenith is not equal illumination geometry; view azimuth and relative sun-sensor azimuth matter.</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View and relative azimuth are reported; zero AM support prevents geometry-matched pairs. Evidence: G3;G5.</w:t>
      </w:r>
    </w:p>
    <w:p>
      <w:pPr>
        <w:spacing w:before="100" w:after="40"/>
      </w:pPr>
      <w:r>
        <w:rPr>
          <w:rFonts w:ascii="Calibri" w:hAnsi="Calibri"/>
          <w:b/>
          <w:color w:val="1F4D78"/>
          <w:sz w:val="20"/>
        </w:rPr>
        <w:t>F19</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Use empirically matched AM-PM asymmetry terminology, not hysteresis or physiological evidence.</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The estimand is time-of-day asymmetry at comparable solar elevation, not hysteresis or physiology. Evidence: G5.</w:t>
      </w:r>
    </w:p>
    <w:p>
      <w:pPr>
        <w:spacing w:before="100" w:after="40"/>
      </w:pPr>
      <w:r>
        <w:rPr>
          <w:rFonts w:ascii="Calibri" w:hAnsi="Calibri"/>
          <w:b/>
          <w:color w:val="1F4D78"/>
          <w:sz w:val="20"/>
        </w:rPr>
        <w:t>F20</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Evaluate shoulder seasons: Los Angeles/Sacramento October and Phoenix April-May.</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Los Angeles/Sacramento October and Phoenix April-May were audited. Evidence: G3.</w:t>
      </w:r>
    </w:p>
    <w:p>
      <w:pPr>
        <w:spacing w:before="100" w:after="40"/>
      </w:pPr>
      <w:r>
        <w:rPr>
          <w:rFonts w:ascii="Calibri" w:hAnsi="Calibri"/>
          <w:b/>
          <w:color w:val="1F4D78"/>
          <w:sz w:val="20"/>
        </w:rPr>
        <w:t>F21</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Require city-specific stable leaf-on optical evidence and retain June-September as a sensitivity.</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Whole-domain and canopy-masked phenology are reported with June-September sensitivities. Evidence: G3.</w:t>
      </w:r>
    </w:p>
    <w:p>
      <w:pPr>
        <w:spacing w:before="100" w:after="40"/>
      </w:pPr>
      <w:r>
        <w:rPr>
          <w:rFonts w:ascii="Calibri" w:hAnsi="Calibri"/>
          <w:b/>
          <w:color w:val="1F4D78"/>
          <w:sz w:val="20"/>
        </w:rPr>
        <w:t>F22</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Reconsider the view-angle filter at 10, 15, 20, and 25 degrees, with 30 exploratory.</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10/15/20/25-degree thresholds and 30-degree exploratory support were evaluated. Evidence: G3.</w:t>
      </w:r>
    </w:p>
    <w:p>
      <w:pPr>
        <w:spacing w:before="100" w:after="40"/>
      </w:pPr>
      <w:r>
        <w:rPr>
          <w:rFonts w:ascii="Calibri" w:hAnsi="Calibri"/>
          <w:b/>
          <w:color w:val="1F4D78"/>
          <w:sz w:val="20"/>
        </w:rPr>
        <w:t>F23</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For each angle rule, report city, time, hydroclimate, view, and relative-azimuth distributions.</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Threshold detail includes city, time, hydroclimate, view, solar, and relative-azimuth values. Evidence: G3.</w:t>
      </w:r>
    </w:p>
    <w:p>
      <w:pPr>
        <w:sectPr>
          <w:headerReference w:type="default" r:id="rId25"/>
          <w:headerReference w:type="first" r:id="rId26"/>
          <w:footerReference w:type="default" r:id="rId27"/>
          <w:footerReference w:type="first" r:id="rId28"/>
          <w:pgSz w:w="12240" w:h="15840"/>
          <w:pgMar w:top="1440" w:right="1440" w:bottom="1440" w:left="1440" w:header="708" w:footer="708" w:gutter="0"/>
          <w:cols w:space="720"/>
          <w:titlePg/>
          <w:docGrid w:linePitch="360"/>
        </w:sectPr>
      </w:pPr>
    </w:p>
    <w:p>
      <w:pPr>
        <w:pStyle w:val="Heading2"/>
        <w:keepNext/>
        <w:pageBreakBefore w:val="0"/>
      </w:pPr>
      <w:r>
        <w:t>Source page 2 — continued</w:t>
      </w:r>
    </w:p>
    <w:p>
      <w:pPr>
        <w:spacing w:before="100" w:after="40"/>
      </w:pPr>
      <w:r>
        <w:rPr>
          <w:rFonts w:ascii="Calibri" w:hAnsi="Calibri"/>
          <w:b/>
          <w:color w:val="1F4D78"/>
          <w:sz w:val="20"/>
        </w:rPr>
        <w:t>F24</w:t>
      </w:r>
      <w:r>
        <w:rPr>
          <w:rFonts w:ascii="Calibri" w:hAnsi="Calibri"/>
          <w:color w:val="5F6670"/>
          <w:sz w:val="20"/>
        </w:rPr>
        <w:t xml:space="preserve">  |  </w:t>
      </w:r>
      <w:r>
        <w:rPr>
          <w:rFonts w:ascii="Calibri" w:hAnsi="Calibri"/>
          <w:b/>
          <w:color w:val="8C1D18"/>
          <w:sz w:val="20"/>
        </w:rPr>
        <w:t>Addressed — negative result</w:t>
      </w:r>
    </w:p>
    <w:p>
      <w:pPr>
        <w:spacing w:after="40" w:line="252" w:lineRule="auto"/>
      </w:pPr>
      <w:r>
        <w:rPr>
          <w:rFonts w:ascii="Calibri" w:hAnsi="Calibri"/>
          <w:b/>
          <w:color w:val="111111"/>
          <w:sz w:val="19"/>
        </w:rPr>
        <w:t xml:space="preserve">Feedback: </w:t>
      </w:r>
      <w:r>
        <w:rPr>
          <w:rFonts w:ascii="Calibri" w:hAnsi="Calibri"/>
          <w:color w:val="111111"/>
          <w:sz w:val="19"/>
        </w:rPr>
        <w:t>High-demand wet and dry observations must occur within the same cities.</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Wet/dry counts are evaluated within each city; only Denver passes at 25 degrees. Evidence: G4.</w:t>
      </w:r>
    </w:p>
    <w:p>
      <w:pPr>
        <w:spacing w:before="100" w:after="40"/>
      </w:pPr>
      <w:r>
        <w:rPr>
          <w:rFonts w:ascii="Calibri" w:hAnsi="Calibri"/>
          <w:b/>
          <w:color w:val="1F4D78"/>
          <w:sz w:val="20"/>
        </w:rPr>
        <w:t>F25</w:t>
      </w:r>
      <w:r>
        <w:rPr>
          <w:rFonts w:ascii="Calibri" w:hAnsi="Calibri"/>
          <w:color w:val="5F6670"/>
          <w:sz w:val="20"/>
        </w:rPr>
        <w:t xml:space="preserve">  |  </w:t>
      </w:r>
      <w:r>
        <w:rPr>
          <w:rFonts w:ascii="Calibri" w:hAnsi="Calibri"/>
          <w:b/>
          <w:color w:val="8C1D18"/>
          <w:sz w:val="20"/>
        </w:rPr>
        <w:t>Addressed — negative result</w:t>
      </w:r>
    </w:p>
    <w:p>
      <w:pPr>
        <w:spacing w:after="40" w:line="252" w:lineRule="auto"/>
      </w:pPr>
      <w:r>
        <w:rPr>
          <w:rFonts w:ascii="Calibri" w:hAnsi="Calibri"/>
          <w:b/>
          <w:color w:val="111111"/>
          <w:sz w:val="19"/>
        </w:rPr>
        <w:t xml:space="preserve">Feedback: </w:t>
      </w:r>
      <w:r>
        <w:rPr>
          <w:rFonts w:ascii="Calibri" w:hAnsi="Calibri"/>
          <w:color w:val="111111"/>
          <w:sz w:val="19"/>
        </w:rPr>
        <w:t>The high-demand groups must overlap in absolute demand.</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Absolute VPD range overlap is positive only where observed, not assumed from terciles. Evidence: G4.</w:t>
      </w:r>
    </w:p>
    <w:p>
      <w:pPr>
        <w:spacing w:before="100" w:after="40"/>
      </w:pPr>
      <w:r>
        <w:rPr>
          <w:rFonts w:ascii="Calibri" w:hAnsi="Calibri"/>
          <w:b/>
          <w:color w:val="1F4D78"/>
          <w:sz w:val="20"/>
        </w:rPr>
        <w:t>F26</w:t>
      </w:r>
      <w:r>
        <w:rPr>
          <w:rFonts w:ascii="Calibri" w:hAnsi="Calibri"/>
          <w:color w:val="5F6670"/>
          <w:sz w:val="20"/>
        </w:rPr>
        <w:t xml:space="preserve">  |  </w:t>
      </w:r>
      <w:r>
        <w:rPr>
          <w:rFonts w:ascii="Calibri" w:hAnsi="Calibri"/>
          <w:b/>
          <w:color w:val="8C1D18"/>
          <w:sz w:val="20"/>
        </w:rPr>
        <w:t>Addressed — negative result</w:t>
      </w:r>
    </w:p>
    <w:p>
      <w:pPr>
        <w:spacing w:after="40" w:line="252" w:lineRule="auto"/>
      </w:pPr>
      <w:r>
        <w:rPr>
          <w:rFonts w:ascii="Calibri" w:hAnsi="Calibri"/>
          <w:b/>
          <w:color w:val="111111"/>
          <w:sz w:val="19"/>
        </w:rPr>
        <w:t xml:space="preserve">Feedback: </w:t>
      </w:r>
      <w:r>
        <w:rPr>
          <w:rFonts w:ascii="Calibri" w:hAnsi="Calibri"/>
          <w:color w:val="111111"/>
          <w:sz w:val="19"/>
        </w:rPr>
        <w:t>The groups must overlap in season; distinguish Phoenix monsoon and pre-monsoon observations.</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Day-of-window overlap is explicit; Phoenix has only April-May pre-monsoon support. Evidence: G4.</w:t>
      </w:r>
    </w:p>
    <w:p>
      <w:pPr>
        <w:spacing w:before="100" w:after="40"/>
      </w:pPr>
      <w:r>
        <w:rPr>
          <w:rFonts w:ascii="Calibri" w:hAnsi="Calibri"/>
          <w:b/>
          <w:color w:val="1F4D78"/>
          <w:sz w:val="20"/>
        </w:rPr>
        <w:t>F27</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If fewer than four cities have genuine overlap, use comparative case studies instead of a pooled cross-city effect.</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Fewer than four cities pass; the pooled claim is rejected and a case-study proposal is selected. Evidence: G4;G8.</w:t>
      </w:r>
    </w:p>
    <w:p>
      <w:pPr>
        <w:pStyle w:val="Heading2"/>
        <w:keepNext/>
        <w:pageBreakBefore w:val="0"/>
      </w:pPr>
      <w:r>
        <w:t>Source page 3</w:t>
      </w:r>
    </w:p>
    <w:p>
      <w:pPr>
        <w:spacing w:before="100" w:after="40"/>
      </w:pPr>
      <w:r>
        <w:rPr>
          <w:rFonts w:ascii="Calibri" w:hAnsi="Calibri"/>
          <w:b/>
          <w:color w:val="1F4D78"/>
          <w:sz w:val="20"/>
        </w:rPr>
        <w:t>F28</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Pause downstream pipeline development; do not inspect thermal data; keep 2026 sealed.</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No thermal/LST, holdout outcome, Task-2 result, or 2026 science record was opened. Evidence: G0;D0083.</w:t>
      </w:r>
    </w:p>
    <w:p>
      <w:pPr>
        <w:spacing w:before="100" w:after="40"/>
      </w:pPr>
      <w:r>
        <w:rPr>
          <w:rFonts w:ascii="Calibri" w:hAnsi="Calibri"/>
          <w:b/>
          <w:color w:val="1F4D78"/>
          <w:sz w:val="20"/>
        </w:rPr>
        <w:t>F29</w:t>
      </w:r>
      <w:r>
        <w:rPr>
          <w:rFonts w:ascii="Calibri" w:hAnsi="Calibri"/>
          <w:color w:val="5F6670"/>
          <w:sz w:val="20"/>
        </w:rPr>
        <w:t xml:space="preserve">  |  </w:t>
      </w:r>
      <w:r>
        <w:rPr>
          <w:rFonts w:ascii="Calibri" w:hAnsi="Calibri"/>
          <w:b/>
          <w:color w:val="1B5E3C"/>
          <w:sz w:val="20"/>
        </w:rPr>
        <w:t>Addressed — equivalent control</w:t>
      </w:r>
    </w:p>
    <w:p>
      <w:pPr>
        <w:spacing w:after="40" w:line="252" w:lineRule="auto"/>
      </w:pPr>
      <w:r>
        <w:rPr>
          <w:rFonts w:ascii="Calibri" w:hAnsi="Calibri"/>
          <w:b/>
          <w:color w:val="111111"/>
          <w:sz w:val="19"/>
        </w:rPr>
        <w:t xml:space="preserve">Feedback: </w:t>
      </w:r>
      <w:r>
        <w:rPr>
          <w:rFonts w:ascii="Calibri" w:hAnsi="Calibri"/>
          <w:color w:val="111111"/>
          <w:sz w:val="19"/>
        </w:rPr>
        <w:t>Quarantine synthetic figures with SYNTHETIC filenames and visible watermarks.</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Synthetic outputs are quarantined under illustrative_only with ILLUSTRATIVE prefixes and visible synthetic warnings; frozen manifests are preserved. Evidence: G0.</w:t>
      </w:r>
    </w:p>
    <w:p>
      <w:pPr>
        <w:spacing w:before="100" w:after="40"/>
      </w:pPr>
      <w:r>
        <w:rPr>
          <w:rFonts w:ascii="Calibri" w:hAnsi="Calibri"/>
          <w:b/>
          <w:color w:val="1F4D78"/>
          <w:sz w:val="20"/>
        </w:rPr>
        <w:t>F30</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Send first the attrition table, pass-equivalent formula, applied view-angle threshold, and within-city wet-dry breakdown.</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The four requested items were delivered and approved under D0078. Evidence: G1;FIRST_FOUR_ITEMS.</w:t>
      </w:r>
    </w:p>
    <w:p>
      <w:pPr>
        <w:spacing w:before="100" w:after="40"/>
      </w:pPr>
      <w:r>
        <w:rPr>
          <w:rFonts w:ascii="Calibri" w:hAnsi="Calibri"/>
          <w:b/>
          <w:color w:val="1F4D78"/>
          <w:sz w:val="20"/>
        </w:rPr>
        <w:t>F31</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Reconcile 2,968 records to 102 observations and explain 413 weather timestamps versus 219 near-nadir passes.</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The 2,968-to-102 chain and 438 links/413 assets/219 passes reproduce independently. Evidence: G1;G6.</w:t>
      </w:r>
    </w:p>
    <w:p>
      <w:pPr>
        <w:spacing w:before="100" w:after="40"/>
      </w:pPr>
      <w:r>
        <w:rPr>
          <w:rFonts w:ascii="Calibri" w:hAnsi="Calibri"/>
          <w:b/>
          <w:color w:val="1F4D78"/>
          <w:sz w:val="20"/>
        </w:rPr>
        <w:t>F32</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Revise the support report for all wetness metrics, seasons, angle rules, city pool, Collection 3 recovery, and continuous distributions.</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Wetness metrics, seasons, angle rules, city roles, recovery, and continuous overlap are covered across the packets. Evidence: G2;G3;G4;G5.</w:t>
      </w:r>
    </w:p>
    <w:p>
      <w:pPr>
        <w:sectPr>
          <w:headerReference w:type="default" r:id="rId29"/>
          <w:headerReference w:type="first" r:id="rId30"/>
          <w:footerReference w:type="default" r:id="rId31"/>
          <w:footerReference w:type="first" r:id="rId32"/>
          <w:pgSz w:w="12240" w:h="15840"/>
          <w:pgMar w:top="1440" w:right="1440" w:bottom="1440" w:left="1440" w:header="708" w:footer="708" w:gutter="0"/>
          <w:cols w:space="720"/>
          <w:titlePg/>
          <w:docGrid w:linePitch="360"/>
        </w:sectPr>
      </w:pPr>
    </w:p>
    <w:p>
      <w:pPr>
        <w:pStyle w:val="Heading2"/>
        <w:keepNext/>
        <w:pageBreakBefore w:val="0"/>
      </w:pPr>
      <w:r>
        <w:t>Source page 3 — continued</w:t>
      </w:r>
    </w:p>
    <w:p>
      <w:pPr>
        <w:spacing w:before="100" w:after="40"/>
      </w:pPr>
      <w:r>
        <w:rPr>
          <w:rFonts w:ascii="Calibri" w:hAnsi="Calibri"/>
          <w:b/>
          <w:color w:val="1F4D78"/>
          <w:sz w:val="20"/>
        </w:rPr>
        <w:t>F33</w:t>
      </w:r>
      <w:r>
        <w:rPr>
          <w:rFonts w:ascii="Calibri" w:hAnsi="Calibri"/>
          <w:color w:val="5F6670"/>
          <w:sz w:val="20"/>
        </w:rPr>
        <w:t xml:space="preserve">  |  </w:t>
      </w:r>
      <w:r>
        <w:rPr>
          <w:rFonts w:ascii="Calibri" w:hAnsi="Calibri"/>
          <w:b/>
          <w:color w:val="1B5E3C"/>
          <w:sz w:val="20"/>
        </w:rPr>
        <w:t>Addressed — fail-closed preflight</w:t>
      </w:r>
    </w:p>
    <w:p>
      <w:pPr>
        <w:spacing w:after="40" w:line="252" w:lineRule="auto"/>
      </w:pPr>
      <w:r>
        <w:rPr>
          <w:rFonts w:ascii="Calibri" w:hAnsi="Calibri"/>
          <w:b/>
          <w:color w:val="111111"/>
          <w:sz w:val="19"/>
        </w:rPr>
        <w:t xml:space="preserve">Feedback: </w:t>
      </w:r>
      <w:r>
        <w:rPr>
          <w:rFonts w:ascii="Calibri" w:hAnsi="Calibri"/>
          <w:color w:val="111111"/>
          <w:sz w:val="19"/>
        </w:rPr>
        <w:t>Simulate the full surface, high-demand contrast, and AM-PM comparison with effect, residual, clustering, measurement error, Type I error, power, and MDE.</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All three profiles are preregistered, but feedback-compliant simulations are not identifiable and no power was fabricated. Evidence: G7.</w:t>
      </w:r>
    </w:p>
    <w:p>
      <w:pPr>
        <w:spacing w:before="100" w:after="40"/>
      </w:pPr>
      <w:r>
        <w:rPr>
          <w:rFonts w:ascii="Calibri" w:hAnsi="Calibri"/>
          <w:b/>
          <w:color w:val="1F4D78"/>
          <w:sz w:val="20"/>
        </w:rPr>
        <w:t>F34</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Do not claim that more draws from the same collinear distribution solve support; new-city/season scenarios need different predictor distributions.</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The historical same-distribution 800-pass scenario is explicitly barred from supporting new-city/season claims. Evidence: G7.</w:t>
      </w:r>
    </w:p>
    <w:p>
      <w:pPr>
        <w:spacing w:before="100" w:after="40"/>
      </w:pPr>
      <w:r>
        <w:rPr>
          <w:rFonts w:ascii="Calibri" w:hAnsi="Calibri"/>
          <w:b/>
          <w:color w:val="1F4D78"/>
          <w:sz w:val="20"/>
        </w:rPr>
        <w:t>F35</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Perform clean-room independent verification of counts, deduplication, geometry, weather joins, and support tables.</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A standalone script plus the Gate-3 clean room reproduce counts, identities, geometry, weather, and support. Evidence: G6.</w:t>
      </w:r>
    </w:p>
    <w:p>
      <w:pPr>
        <w:spacing w:before="100" w:after="40"/>
      </w:pPr>
      <w:r>
        <w:rPr>
          <w:rFonts w:ascii="Calibri" w:hAnsi="Calibri"/>
          <w:b/>
          <w:color w:val="1F4D78"/>
          <w:sz w:val="20"/>
        </w:rPr>
        <w:t>F36</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Add known-answer tests, including VPD units, solar position, no same-day leakage, mask/fill semantics, deduplication, signs/units, and strongly negative June Phoenix balance.</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Known answers cover VPD units, NREL solar position, prior-day windows, fill semantics, deduplication, units/sign, and Phoenix June balance. Evidence: G6.</w:t>
      </w:r>
    </w:p>
    <w:p>
      <w:pPr>
        <w:spacing w:before="100" w:after="40"/>
      </w:pPr>
      <w:r>
        <w:rPr>
          <w:rFonts w:ascii="Calibri" w:hAnsi="Calibri"/>
          <w:b/>
          <w:color w:val="1F4D78"/>
          <w:sz w:val="20"/>
        </w:rPr>
        <w:t>F37</w:t>
      </w:r>
      <w:r>
        <w:rPr>
          <w:rFonts w:ascii="Calibri" w:hAnsi="Calibri"/>
          <w:color w:val="5F6670"/>
          <w:sz w:val="20"/>
        </w:rPr>
        <w:t xml:space="preserve">  |  </w:t>
      </w:r>
      <w:r>
        <w:rPr>
          <w:rFonts w:ascii="Calibri" w:hAnsi="Calibri"/>
          <w:b/>
          <w:color w:val="1B5E3C"/>
          <w:sz w:val="20"/>
        </w:rPr>
        <w:t>Addressed</w:t>
      </w:r>
    </w:p>
    <w:p>
      <w:pPr>
        <w:spacing w:after="40" w:line="252" w:lineRule="auto"/>
      </w:pPr>
      <w:r>
        <w:rPr>
          <w:rFonts w:ascii="Calibri" w:hAnsi="Calibri"/>
          <w:b/>
          <w:color w:val="111111"/>
          <w:sz w:val="19"/>
        </w:rPr>
        <w:t xml:space="preserve">Feedback: </w:t>
      </w:r>
      <w:r>
        <w:rPr>
          <w:rFonts w:ascii="Calibri" w:hAnsi="Calibri"/>
          <w:color w:val="111111"/>
          <w:sz w:val="19"/>
        </w:rPr>
        <w:t>Use explicit proceed, redirect, case-study, identifiability, or simplify decision rules.</w:t>
      </w:r>
    </w:p>
    <w:p>
      <w:pPr>
        <w:spacing w:after="120" w:line="252" w:lineRule="auto"/>
        <w:pBdr>
          <w:bottom w:val="single" w:sz="4" w:space="6" w:color="D7DBE2"/>
        </w:pBdr>
      </w:pPr>
      <w:r>
        <w:rPr>
          <w:rFonts w:ascii="Calibri" w:hAnsi="Calibri"/>
          <w:b/>
          <w:color w:val="111111"/>
          <w:sz w:val="19"/>
        </w:rPr>
        <w:t xml:space="preserve">Response: </w:t>
      </w:r>
      <w:r>
        <w:rPr>
          <w:rFonts w:ascii="Calibri" w:hAnsi="Calibri"/>
          <w:color w:val="111111"/>
          <w:sz w:val="19"/>
        </w:rPr>
        <w:t>The frozen decision rule selects a comparative Denver case-study proposal and rejects pooled/AM-PM outcome work. Evidence: G8.</w:t>
      </w:r>
    </w:p>
    <w:p>
      <w:pPr>
        <w:pStyle w:val="Heading1"/>
        <w:keepNext/>
        <w:pageBreakBefore w:val="0"/>
      </w:pPr>
      <w:r>
        <w:t>Audit boundaries and evidence</w:t>
      </w:r>
    </w:p>
    <w:p>
      <w:r>
        <w:rPr>
          <w:rFonts w:ascii="Calibri" w:hAnsi="Calibri"/>
          <w:color w:val="111111"/>
          <w:sz w:val="22"/>
        </w:rPr>
        <w:t>Source document SHA-256: 4d369a5337a20b2969d4c1ccabb528c56fae9eb19061c72513d301658dc79333.</w:t>
      </w:r>
    </w:p>
    <w:p>
      <w:r>
        <w:rPr>
          <w:rFonts w:ascii="Calibri" w:hAnsi="Calibri"/>
          <w:color w:val="111111"/>
          <w:sz w:val="22"/>
        </w:rPr>
        <w:t>Primary machine-readable evidence: feedback_compliance_matrix.csv; g4_checks.json; g5_checks.json; g6_independent_verification.json; g7_simulation_contract.json; g8_decision.json; checks.json; and source_bindings.json in docs/v2/hitl/FEEDBACK_CLOSEOUT.</w:t>
      </w:r>
    </w:p>
    <w:p>
      <w:r>
        <w:rPr>
          <w:rFonts w:ascii="Calibri" w:hAnsi="Calibri"/>
          <w:color w:val="111111"/>
          <w:sz w:val="22"/>
        </w:rPr>
        <w:t>Solar known-answer reference: NREL, Solar Position Algorithm for Solar Radiation Applications, https://www.nrel.gov/docs/fy08osti/34302.pdf.</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AF3ED"/>
            <w:vAlign w:val="top"/>
            <w:tcMar>
              <w:top w:w="80" w:type="dxa"/>
              <w:bottom w:w="80" w:type="dxa"/>
              <w:start w:w="120" w:type="dxa"/>
              <w:end w:w="120" w:type="dxa"/>
            </w:tcMar>
          </w:tcPr>
          <w:p>
            <w:pPr>
              <w:spacing w:after="0" w:line="252" w:lineRule="auto"/>
            </w:pPr>
            <w:r>
              <w:rPr>
                <w:rFonts w:ascii="Calibri" w:hAnsi="Calibri"/>
                <w:b/>
                <w:color w:val="1B5E3C"/>
                <w:sz w:val="22"/>
              </w:rPr>
              <w:t>FINAL APPROVAL</w:t>
              <w:br/>
            </w:r>
            <w:r>
              <w:rPr>
                <w:rFonts w:ascii="Calibri" w:hAnsi="Calibri"/>
                <w:color w:val="111111"/>
                <w:sz w:val="21"/>
              </w:rPr>
              <w:t>Approved as a complete and independently checked response to the reviewer feedback. The only approved continuation is preparation of a nonthermal Denver–Aurora comparative case-study proposal. Outcome-bearing analyses remain unapproved and sealed.</w:t>
            </w:r>
          </w:p>
        </w:tc>
      </w:tr>
    </w:tbl>
    <w:p>
      <w:pPr>
        <w:spacing w:after="80"/>
      </w:pPr>
    </w:p>
    <w:sectPr w:rsidR="00FC693F" w:rsidRPr="0006063C" w:rsidSect="00034616">
      <w:headerReference w:type="default" r:id="rId33"/>
      <w:headerReference w:type="first" r:id="rId34"/>
      <w:footerReference w:type="default" r:id="rId35"/>
      <w:footerReference w:type="first" r:id="rId36"/>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670"/>
        <w:sz w:val="18"/>
      </w:rPr>
      <w:t xml:space="preserve">Page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670"/>
        <w:sz w:val="18"/>
      </w:rPr>
      <w:t xml:space="preserve">Page </w:t>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670"/>
        <w:sz w:val="18"/>
      </w:rPr>
      <w:t xml:space="preserve">Page </w:t>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670"/>
        <w:sz w:val="18"/>
      </w:rPr>
      <w:t xml:space="preserve">Page </w:t>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670"/>
        <w:sz w:val="18"/>
      </w:rPr>
      <w:t xml:space="preserve">Page </w:t>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670"/>
        <w:sz w:val="18"/>
      </w:rPr>
      <w:t xml:space="preserve">Page </w:t>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670"/>
        <w:sz w:val="18"/>
      </w:rPr>
      <w:t xml:space="preserve">Page </w:t>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670"/>
        <w:sz w:val="18"/>
      </w:rPr>
      <w:t xml:space="preserve">Page </w:t>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670"/>
        <w:sz w:val="18"/>
      </w:rPr>
      <w:t xml:space="preserve">Page </w:t>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670"/>
        <w:sz w:val="18"/>
      </w:rPr>
      <w:t xml:space="preserve">Page </w:t>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670"/>
        <w:sz w:val="18"/>
      </w:rPr>
      <w:t xml:space="preserve">Page </w:t>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670"/>
        <w:sz w:val="18"/>
      </w:rPr>
      <w:t xml:space="preserve">Page </w:t>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670"/>
        <w:sz w:val="18"/>
      </w:rPr>
      <w:t xml:space="preserve">Page </w:t>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670"/>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670"/>
        <w:sz w:val="17"/>
      </w:rPr>
      <w:t>URBAN TREE COOLING  |  FEEDBACK CLOSEOUT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670"/>
        <w:sz w:val="17"/>
      </w:rPr>
      <w:t>URBAN TREE COOLING  |  FEEDBACK CLOSEOUT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670"/>
        <w:sz w:val="17"/>
      </w:rPr>
      <w:t>URBAN TREE COOLING  |  FEEDBACK CLOSEOUT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670"/>
        <w:sz w:val="17"/>
      </w:rPr>
      <w:t>URBAN TREE COOLING  |  FEEDBACK CLOSEOUT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670"/>
        <w:sz w:val="17"/>
      </w:rPr>
      <w:t>URBAN TREE COOLING  |  FEEDBACK CLOSEOUT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670"/>
        <w:sz w:val="17"/>
      </w:rPr>
      <w:t>URBAN TREE COOLING  |  FEEDBACK CLOSEOUT</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670"/>
        <w:sz w:val="17"/>
      </w:rPr>
      <w:t>URBAN TREE COOLING  |  FEEDBACK CLOSEOUT</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670"/>
        <w:sz w:val="17"/>
      </w:rPr>
      <w:t>URBAN TREE COOLING  |  FEEDBACK CLOSEOUT</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670"/>
        <w:sz w:val="17"/>
      </w:rPr>
      <w:t>URBAN TREE COOLING  |  FEEDBACK CLOSEOUT</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670"/>
        <w:sz w:val="17"/>
      </w:rPr>
      <w:t>URBAN TREE COOLING  |  FEEDBACK CLOSEOUT</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670"/>
        <w:sz w:val="17"/>
      </w:rPr>
      <w:t>URBAN TREE COOLING  |  FEEDBACK CLOSEOUT</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670"/>
        <w:sz w:val="17"/>
      </w:rPr>
      <w:t>URBAN TREE COOLING  |  FEEDBACK CLOSEOUT</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670"/>
        <w:sz w:val="17"/>
      </w:rPr>
      <w:t>URBAN TREE COOLING  |  FEEDBACK CLOSEOUT</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670"/>
        <w:sz w:val="17"/>
      </w:rPr>
      <w:t>URBAN TREE COOLING  |  FEEDBACK CLOSEOUT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basedOn w:val="Normal"/>
    <w:pPr>
      <w:spacing w:before="80" w:after="80"/>
    </w:pPr>
    <w:rPr>
      <w:rFonts w:ascii="Calibri" w:hAnsi="Calibri"/>
      <w:color w:val="5F66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header" Target="header10.xml"/><Relationship Id="rId27" Type="http://schemas.openxmlformats.org/officeDocument/2006/relationships/footer" Target="footer9.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header" Target="header12.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footer" Target="footer13.xml"/><Relationship Id="rId36"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Tree Cooling Study — Response to Feedback</dc:title>
  <dc:subject>Audited disposition of 37 reviewer feedback points</dc:subject>
  <dc:creator>Urban Tree Cooling project</dc:creator>
  <cp:keywords/>
  <dc:description>rfi_response preset; memo_masthead; named approval, caution, and negative-status fills</dc:description>
  <cp:lastModifiedBy/>
  <cp:revision>1</cp:revision>
  <dcterms:created xsi:type="dcterms:W3CDTF">2013-12-23T23:15:00Z</dcterms:created>
  <dcterms:modified xsi:type="dcterms:W3CDTF">2013-12-23T23:15:00Z</dcterms:modified>
  <cp:category/>
</cp:coreProperties>
</file>