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color w:val="1B2230"/>
          <w:sz w:val="32"/>
        </w:rPr>
        <w:t>The four items you asked for first</w:t>
      </w:r>
    </w:p>
    <w:p>
      <w:pPr>
        <w:spacing w:before="0" w:after="180"/>
      </w:pPr>
      <w:r>
        <w:rPr>
          <w:b w:val="0"/>
          <w:i w:val="0"/>
          <w:color w:val="58627A"/>
          <w:sz w:val="18"/>
        </w:rPr>
        <w:t>Urban tree cooling study. 17 August 2026. Everything here is historical and non-thermal. No temperature or LST value was opened, no holdout was selected, and no 2026 record was opened.</w:t>
      </w:r>
    </w:p>
    <w:p>
      <w:pPr>
        <w:spacing w:before="0" w:after="100"/>
      </w:pPr>
      <w:r>
        <w:rPr>
          <w:b w:val="0"/>
          <w:i w:val="0"/>
          <w:color w:val="1B2230"/>
          <w:sz w:val="20"/>
        </w:rPr>
        <w:t>All four are done. Below is each one, the number that matters, and what I think it means. There is also a section on why the city set shrank, because that is the first thing I would ask about, and two things I want to flag against myself at the end.</w:t>
      </w:r>
    </w:p>
    <w:p>
      <w:pPr>
        <w:spacing w:before="220" w:after="60"/>
      </w:pPr>
      <w:r>
        <w:rPr>
          <w:b/>
          <w:i w:val="0"/>
          <w:color w:val="1B2230"/>
          <w:sz w:val="24"/>
        </w:rPr>
        <w:t>1. Attrition table</w:t>
      </w:r>
    </w:p>
    <w:p>
      <w:pPr>
        <w:spacing w:before="0" w:after="100"/>
      </w:pPr>
      <w:r>
        <w:rPr>
          <w:b w:val="0"/>
          <w:i w:val="0"/>
          <w:color w:val="1B2230"/>
          <w:sz w:val="20"/>
        </w:rPr>
        <w:t>You asked what 2,968 counts. It is overpasses. Not granules, not tiles. One row per city per orbit. ECOSTRESS delivers a single overpass as several adjacent scenes and MGRS tiles, so those get grouped before anything else happens: 13,577 raw tile records, 13,575 after selecting the latest revision of each, which group into 2,968 physical city-orbit observations. The identifier encodes city, zero-padded orbit, and the full adjacent-scene group, and I kept the source granule list on every row so the grouping is auditable.</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5904"/>
          </w:tcPr>
          <w:p>
            <w:pPr>
              <w:spacing w:after="20" w:before="20"/>
            </w:pPr>
            <w:r>
              <w:rPr>
                <w:b/>
                <w:color w:val="1B2230"/>
                <w:sz w:val="18"/>
              </w:rPr>
              <w:t>Stage</w:t>
            </w:r>
          </w:p>
        </w:tc>
        <w:tc>
          <w:tcPr>
            <w:tcW w:type="dxa" w:w="1368"/>
          </w:tcPr>
          <w:p>
            <w:pPr>
              <w:spacing w:after="20" w:before="20"/>
              <w:jc w:val="right"/>
            </w:pPr>
            <w:r>
              <w:rPr>
                <w:b/>
                <w:color w:val="1B2230"/>
                <w:sz w:val="18"/>
              </w:rPr>
              <w:t>Count</w:t>
            </w:r>
          </w:p>
        </w:tc>
        <w:tc>
          <w:tcPr>
            <w:tcW w:type="dxa" w:w="1152"/>
          </w:tcPr>
          <w:p>
            <w:pPr>
              <w:spacing w:after="20" w:before="20"/>
              <w:jc w:val="right"/>
            </w:pPr>
            <w:r>
              <w:rPr>
                <w:b/>
                <w:color w:val="1B2230"/>
                <w:sz w:val="18"/>
              </w:rPr>
              <w:t>Kept</w:t>
            </w:r>
          </w:p>
        </w:tc>
      </w:tr>
      <w:tr>
        <w:tc>
          <w:tcPr>
            <w:tcW w:type="dxa" w:w="5904"/>
          </w:tcPr>
          <w:p>
            <w:pPr>
              <w:spacing w:after="20" w:before="20"/>
            </w:pPr>
            <w:r>
              <w:rPr>
                <w:b w:val="0"/>
                <w:color w:val="1B2230"/>
                <w:sz w:val="18"/>
              </w:rPr>
              <w:t>Physical city-orbit observations</w:t>
            </w:r>
          </w:p>
        </w:tc>
        <w:tc>
          <w:tcPr>
            <w:tcW w:type="dxa" w:w="1368"/>
          </w:tcPr>
          <w:p>
            <w:pPr>
              <w:spacing w:after="20" w:before="20"/>
              <w:jc w:val="right"/>
            </w:pPr>
            <w:r>
              <w:rPr>
                <w:b w:val="0"/>
                <w:color w:val="1B2230"/>
                <w:sz w:val="18"/>
              </w:rPr>
              <w:t>2,968</w:t>
            </w:r>
          </w:p>
        </w:tc>
        <w:tc>
          <w:tcPr>
            <w:tcW w:type="dxa" w:w="1152"/>
          </w:tcPr>
          <w:p>
            <w:pPr>
              <w:spacing w:after="20" w:before="20"/>
              <w:jc w:val="right"/>
            </w:pPr>
            <w:r>
              <w:rPr>
                <w:b w:val="0"/>
                <w:color w:val="1B2230"/>
                <w:sz w:val="18"/>
              </w:rPr>
            </w:r>
          </w:p>
        </w:tc>
      </w:tr>
      <w:tr>
        <w:tc>
          <w:tcPr>
            <w:tcW w:type="dxa" w:w="5904"/>
          </w:tcPr>
          <w:p>
            <w:pPr>
              <w:spacing w:after="20" w:before="20"/>
            </w:pPr>
            <w:r>
              <w:rPr>
                <w:b w:val="0"/>
                <w:color w:val="1B2230"/>
                <w:sz w:val="18"/>
              </w:rPr>
              <w:t>Daytime, 10 to 18 local solar</w:t>
            </w:r>
          </w:p>
        </w:tc>
        <w:tc>
          <w:tcPr>
            <w:tcW w:type="dxa" w:w="1368"/>
          </w:tcPr>
          <w:p>
            <w:pPr>
              <w:spacing w:after="20" w:before="20"/>
              <w:jc w:val="right"/>
            </w:pPr>
            <w:r>
              <w:rPr>
                <w:b w:val="0"/>
                <w:color w:val="1B2230"/>
                <w:sz w:val="18"/>
              </w:rPr>
              <w:t>1,055</w:t>
            </w:r>
          </w:p>
        </w:tc>
        <w:tc>
          <w:tcPr>
            <w:tcW w:type="dxa" w:w="1152"/>
          </w:tcPr>
          <w:p>
            <w:pPr>
              <w:spacing w:after="20" w:before="20"/>
              <w:jc w:val="right"/>
            </w:pPr>
            <w:r>
              <w:rPr>
                <w:b w:val="0"/>
                <w:color w:val="1B2230"/>
                <w:sz w:val="18"/>
              </w:rPr>
              <w:t>35.5%</w:t>
            </w:r>
          </w:p>
        </w:tc>
      </w:tr>
      <w:tr>
        <w:tc>
          <w:tcPr>
            <w:tcW w:type="dxa" w:w="5904"/>
          </w:tcPr>
          <w:p>
            <w:pPr>
              <w:spacing w:after="20" w:before="20"/>
            </w:pPr>
            <w:r>
              <w:rPr>
                <w:b w:val="0"/>
                <w:color w:val="1B2230"/>
                <w:sz w:val="18"/>
              </w:rPr>
              <w:t>Geolocation usable</w:t>
            </w:r>
          </w:p>
        </w:tc>
        <w:tc>
          <w:tcPr>
            <w:tcW w:type="dxa" w:w="1368"/>
          </w:tcPr>
          <w:p>
            <w:pPr>
              <w:spacing w:after="20" w:before="20"/>
              <w:jc w:val="right"/>
            </w:pPr>
            <w:r>
              <w:rPr>
                <w:b w:val="0"/>
                <w:color w:val="1B2230"/>
                <w:sz w:val="18"/>
              </w:rPr>
              <w:t>1,017</w:t>
            </w:r>
          </w:p>
        </w:tc>
        <w:tc>
          <w:tcPr>
            <w:tcW w:type="dxa" w:w="1152"/>
          </w:tcPr>
          <w:p>
            <w:pPr>
              <w:spacing w:after="20" w:before="20"/>
              <w:jc w:val="right"/>
            </w:pPr>
            <w:r>
              <w:rPr>
                <w:b w:val="0"/>
                <w:color w:val="1B2230"/>
                <w:sz w:val="18"/>
              </w:rPr>
              <w:t>96.4%</w:t>
            </w:r>
          </w:p>
        </w:tc>
      </w:tr>
      <w:tr>
        <w:tc>
          <w:tcPr>
            <w:tcW w:type="dxa" w:w="5904"/>
          </w:tcPr>
          <w:p>
            <w:pPr>
              <w:spacing w:after="20" w:before="20"/>
            </w:pPr>
            <w:r>
              <w:rPr>
                <w:b w:val="0"/>
                <w:color w:val="1B2230"/>
                <w:sz w:val="18"/>
              </w:rPr>
              <w:t>Metadata and obstruction screen</w:t>
            </w:r>
          </w:p>
        </w:tc>
        <w:tc>
          <w:tcPr>
            <w:tcW w:type="dxa" w:w="1368"/>
          </w:tcPr>
          <w:p>
            <w:pPr>
              <w:spacing w:after="20" w:before="20"/>
              <w:jc w:val="right"/>
            </w:pPr>
            <w:r>
              <w:rPr>
                <w:b w:val="0"/>
                <w:color w:val="1B2230"/>
                <w:sz w:val="18"/>
              </w:rPr>
              <w:t>942</w:t>
            </w:r>
          </w:p>
        </w:tc>
        <w:tc>
          <w:tcPr>
            <w:tcW w:type="dxa" w:w="1152"/>
          </w:tcPr>
          <w:p>
            <w:pPr>
              <w:spacing w:after="20" w:before="20"/>
              <w:jc w:val="right"/>
            </w:pPr>
            <w:r>
              <w:rPr>
                <w:b w:val="0"/>
                <w:color w:val="1B2230"/>
                <w:sz w:val="18"/>
              </w:rPr>
              <w:t>92.6%</w:t>
            </w:r>
          </w:p>
        </w:tc>
      </w:tr>
      <w:tr>
        <w:tc>
          <w:tcPr>
            <w:tcW w:type="dxa" w:w="5904"/>
          </w:tcPr>
          <w:p>
            <w:pPr>
              <w:spacing w:after="20" w:before="20"/>
            </w:pPr>
            <w:r>
              <w:rPr>
                <w:b w:val="0"/>
                <w:color w:val="1B2230"/>
                <w:sz w:val="18"/>
              </w:rPr>
              <w:t>Archive available, before geometry</w:t>
            </w:r>
          </w:p>
        </w:tc>
        <w:tc>
          <w:tcPr>
            <w:tcW w:type="dxa" w:w="1368"/>
          </w:tcPr>
          <w:p>
            <w:pPr>
              <w:spacing w:after="20" w:before="20"/>
              <w:jc w:val="right"/>
            </w:pPr>
            <w:r>
              <w:rPr>
                <w:b w:val="0"/>
                <w:color w:val="1B2230"/>
                <w:sz w:val="18"/>
              </w:rPr>
              <w:t>911</w:t>
            </w:r>
          </w:p>
        </w:tc>
        <w:tc>
          <w:tcPr>
            <w:tcW w:type="dxa" w:w="1152"/>
          </w:tcPr>
          <w:p>
            <w:pPr>
              <w:spacing w:after="20" w:before="20"/>
              <w:jc w:val="right"/>
            </w:pPr>
            <w:r>
              <w:rPr>
                <w:b w:val="0"/>
                <w:color w:val="1B2230"/>
                <w:sz w:val="18"/>
              </w:rPr>
              <w:t>96.7%</w:t>
            </w:r>
          </w:p>
        </w:tc>
      </w:tr>
      <w:tr>
        <w:tc>
          <w:tcPr>
            <w:tcW w:type="dxa" w:w="5904"/>
          </w:tcPr>
          <w:p>
            <w:pPr>
              <w:spacing w:after="20" w:before="20"/>
            </w:pPr>
            <w:r>
              <w:rPr>
                <w:b w:val="0"/>
                <w:color w:val="1B2230"/>
                <w:sz w:val="18"/>
              </w:rPr>
              <w:t>Geometry: pass p95 of |view zenith| under 20 deg, coverage over 0.95</w:t>
            </w:r>
          </w:p>
        </w:tc>
        <w:tc>
          <w:tcPr>
            <w:tcW w:type="dxa" w:w="1368"/>
          </w:tcPr>
          <w:p>
            <w:pPr>
              <w:spacing w:after="20" w:before="20"/>
              <w:jc w:val="right"/>
            </w:pPr>
            <w:r>
              <w:rPr>
                <w:b w:val="0"/>
                <w:color w:val="1B2230"/>
                <w:sz w:val="18"/>
              </w:rPr>
              <w:t>219</w:t>
            </w:r>
          </w:p>
        </w:tc>
        <w:tc>
          <w:tcPr>
            <w:tcW w:type="dxa" w:w="1152"/>
          </w:tcPr>
          <w:p>
            <w:pPr>
              <w:spacing w:after="20" w:before="20"/>
              <w:jc w:val="right"/>
            </w:pPr>
            <w:r>
              <w:rPr>
                <w:b w:val="0"/>
                <w:color w:val="1B2230"/>
                <w:sz w:val="18"/>
              </w:rPr>
              <w:t>24.0%</w:t>
            </w:r>
          </w:p>
        </w:tc>
      </w:tr>
      <w:tr>
        <w:tc>
          <w:tcPr>
            <w:tcW w:type="dxa" w:w="5904"/>
          </w:tcPr>
          <w:p>
            <w:pPr>
              <w:spacing w:after="20" w:before="20"/>
            </w:pPr>
            <w:r>
              <w:rPr>
                <w:b w:val="0"/>
                <w:color w:val="1B2230"/>
                <w:sz w:val="18"/>
              </w:rPr>
              <w:t>Cloud and provenance complete</w:t>
            </w:r>
          </w:p>
        </w:tc>
        <w:tc>
          <w:tcPr>
            <w:tcW w:type="dxa" w:w="1368"/>
          </w:tcPr>
          <w:p>
            <w:pPr>
              <w:spacing w:after="20" w:before="20"/>
              <w:jc w:val="right"/>
            </w:pPr>
            <w:r>
              <w:rPr>
                <w:b w:val="0"/>
                <w:color w:val="1B2230"/>
                <w:sz w:val="18"/>
              </w:rPr>
              <w:t>219</w:t>
            </w:r>
          </w:p>
        </w:tc>
        <w:tc>
          <w:tcPr>
            <w:tcW w:type="dxa" w:w="1152"/>
          </w:tcPr>
          <w:p>
            <w:pPr>
              <w:spacing w:after="20" w:before="20"/>
              <w:jc w:val="right"/>
            </w:pPr>
            <w:r>
              <w:rPr>
                <w:b w:val="0"/>
                <w:color w:val="1B2230"/>
                <w:sz w:val="18"/>
              </w:rPr>
              <w:t>100%</w:t>
            </w:r>
          </w:p>
        </w:tc>
      </w:tr>
      <w:tr>
        <w:tc>
          <w:tcPr>
            <w:tcW w:type="dxa" w:w="5904"/>
          </w:tcPr>
          <w:p>
            <w:pPr>
              <w:spacing w:after="20" w:before="20"/>
            </w:pPr>
            <w:r>
              <w:rPr>
                <w:b w:val="0"/>
                <w:color w:val="1B2230"/>
                <w:sz w:val="18"/>
              </w:rPr>
              <w:t>In the 10-12 or 16-18 local solar windows</w:t>
            </w:r>
          </w:p>
        </w:tc>
        <w:tc>
          <w:tcPr>
            <w:tcW w:type="dxa" w:w="1368"/>
          </w:tcPr>
          <w:p>
            <w:pPr>
              <w:spacing w:after="20" w:before="20"/>
              <w:jc w:val="right"/>
            </w:pPr>
            <w:r>
              <w:rPr>
                <w:b w:val="0"/>
                <w:color w:val="1B2230"/>
                <w:sz w:val="18"/>
              </w:rPr>
              <w:t>102</w:t>
            </w:r>
          </w:p>
        </w:tc>
        <w:tc>
          <w:tcPr>
            <w:tcW w:type="dxa" w:w="1152"/>
          </w:tcPr>
          <w:p>
            <w:pPr>
              <w:spacing w:after="20" w:before="20"/>
              <w:jc w:val="right"/>
            </w:pPr>
            <w:r>
              <w:rPr>
                <w:b w:val="0"/>
                <w:color w:val="1B2230"/>
                <w:sz w:val="18"/>
              </w:rPr>
              <w:t>46.6%</w:t>
            </w:r>
          </w:p>
        </w:tc>
      </w:tr>
    </w:tbl>
    <w:p>
      <w:pPr>
        <w:spacing w:after="40"/>
      </w:pPr>
    </w:p>
    <w:p>
      <w:pPr>
        <w:spacing w:before="0" w:after="100"/>
      </w:pPr>
      <w:r>
        <w:rPr>
          <w:b w:val="0"/>
          <w:i w:val="0"/>
          <w:color w:val="1B2230"/>
          <w:sz w:val="20"/>
        </w:rPr>
        <w:t>The big drop is 911 to 219, and that is the 76 percent cut you flagged. A stage list on its own does not prove nothing vanished quietly, so I also assigned every one of the 2,968 to exactly one terminal status. They add back with no remainder:</w:t>
      </w:r>
    </w:p>
    <w:tbl>
      <w:tblPr>
        <w:tblStyle w:val="TableGrid"/>
        <w:tblW w:type="auto" w:w="0"/>
        <w:jc w:val="left"/>
        <w:tblLayout w:type="fixed"/>
        <w:tblLook w:firstColumn="1" w:firstRow="1" w:lastColumn="0" w:lastRow="0" w:noHBand="0" w:noVBand="1" w:val="04A0"/>
      </w:tblPr>
      <w:tblGrid>
        <w:gridCol w:w="4896"/>
        <w:gridCol w:w="4896"/>
      </w:tblGrid>
      <w:tr>
        <w:tc>
          <w:tcPr>
            <w:tcW w:type="dxa" w:w="6192"/>
          </w:tcPr>
          <w:p>
            <w:pPr>
              <w:spacing w:after="20" w:before="20"/>
            </w:pPr>
            <w:r>
              <w:rPr>
                <w:b/>
                <w:color w:val="1B2230"/>
                <w:sz w:val="18"/>
              </w:rPr>
              <w:t>Terminal status</w:t>
            </w:r>
          </w:p>
        </w:tc>
        <w:tc>
          <w:tcPr>
            <w:tcW w:type="dxa" w:w="1440"/>
          </w:tcPr>
          <w:p>
            <w:pPr>
              <w:spacing w:after="20" w:before="20"/>
              <w:jc w:val="right"/>
            </w:pPr>
            <w:r>
              <w:rPr>
                <w:b/>
                <w:color w:val="1B2230"/>
                <w:sz w:val="18"/>
              </w:rPr>
              <w:t>Count</w:t>
            </w:r>
          </w:p>
        </w:tc>
      </w:tr>
      <w:tr>
        <w:tc>
          <w:tcPr>
            <w:tcW w:type="dxa" w:w="6192"/>
          </w:tcPr>
          <w:p>
            <w:pPr>
              <w:spacing w:after="20" w:before="20"/>
            </w:pPr>
            <w:r>
              <w:rPr>
                <w:b w:val="0"/>
                <w:color w:val="1B2230"/>
                <w:sz w:val="18"/>
              </w:rPr>
              <w:t>Outside daytime 10 to 18</w:t>
            </w:r>
          </w:p>
        </w:tc>
        <w:tc>
          <w:tcPr>
            <w:tcW w:type="dxa" w:w="1440"/>
          </w:tcPr>
          <w:p>
            <w:pPr>
              <w:spacing w:after="20" w:before="20"/>
              <w:jc w:val="right"/>
            </w:pPr>
            <w:r>
              <w:rPr>
                <w:b w:val="0"/>
                <w:color w:val="1B2230"/>
                <w:sz w:val="18"/>
              </w:rPr>
              <w:t>1,913</w:t>
            </w:r>
          </w:p>
        </w:tc>
      </w:tr>
      <w:tr>
        <w:tc>
          <w:tcPr>
            <w:tcW w:type="dxa" w:w="6192"/>
          </w:tcPr>
          <w:p>
            <w:pPr>
              <w:spacing w:after="20" w:before="20"/>
            </w:pPr>
            <w:r>
              <w:rPr>
                <w:b w:val="0"/>
                <w:color w:val="1B2230"/>
                <w:sz w:val="18"/>
              </w:rPr>
              <w:t>Daytime, geolocation excluded</w:t>
            </w:r>
          </w:p>
        </w:tc>
        <w:tc>
          <w:tcPr>
            <w:tcW w:type="dxa" w:w="1440"/>
          </w:tcPr>
          <w:p>
            <w:pPr>
              <w:spacing w:after="20" w:before="20"/>
              <w:jc w:val="right"/>
            </w:pPr>
            <w:r>
              <w:rPr>
                <w:b w:val="0"/>
                <w:color w:val="1B2230"/>
                <w:sz w:val="18"/>
              </w:rPr>
              <w:t>38</w:t>
            </w:r>
          </w:p>
        </w:tc>
      </w:tr>
      <w:tr>
        <w:tc>
          <w:tcPr>
            <w:tcW w:type="dxa" w:w="6192"/>
          </w:tcPr>
          <w:p>
            <w:pPr>
              <w:spacing w:after="20" w:before="20"/>
            </w:pPr>
            <w:r>
              <w:rPr>
                <w:b w:val="0"/>
                <w:color w:val="1B2230"/>
                <w:sz w:val="18"/>
              </w:rPr>
              <w:t>Daytime, metadata or obstruction excluded</w:t>
            </w:r>
          </w:p>
        </w:tc>
        <w:tc>
          <w:tcPr>
            <w:tcW w:type="dxa" w:w="1440"/>
          </w:tcPr>
          <w:p>
            <w:pPr>
              <w:spacing w:after="20" w:before="20"/>
              <w:jc w:val="right"/>
            </w:pPr>
            <w:r>
              <w:rPr>
                <w:b w:val="0"/>
                <w:color w:val="1B2230"/>
                <w:sz w:val="18"/>
              </w:rPr>
              <w:t>75</w:t>
            </w:r>
          </w:p>
        </w:tc>
      </w:tr>
      <w:tr>
        <w:tc>
          <w:tcPr>
            <w:tcW w:type="dxa" w:w="6192"/>
          </w:tcPr>
          <w:p>
            <w:pPr>
              <w:spacing w:after="20" w:before="20"/>
            </w:pPr>
            <w:r>
              <w:rPr>
                <w:b w:val="0"/>
                <w:color w:val="1B2230"/>
                <w:sz w:val="18"/>
              </w:rPr>
              <w:t>Archive unavailable before geometry</w:t>
            </w:r>
          </w:p>
        </w:tc>
        <w:tc>
          <w:tcPr>
            <w:tcW w:type="dxa" w:w="1440"/>
          </w:tcPr>
          <w:p>
            <w:pPr>
              <w:spacing w:after="20" w:before="20"/>
              <w:jc w:val="right"/>
            </w:pPr>
            <w:r>
              <w:rPr>
                <w:b w:val="0"/>
                <w:color w:val="1B2230"/>
                <w:sz w:val="18"/>
              </w:rPr>
              <w:t>31</w:t>
            </w:r>
          </w:p>
        </w:tc>
      </w:tr>
      <w:tr>
        <w:tc>
          <w:tcPr>
            <w:tcW w:type="dxa" w:w="6192"/>
          </w:tcPr>
          <w:p>
            <w:pPr>
              <w:spacing w:after="20" w:before="20"/>
            </w:pPr>
            <w:r>
              <w:rPr>
                <w:b w:val="0"/>
                <w:color w:val="1B2230"/>
                <w:sz w:val="18"/>
              </w:rPr>
              <w:t>Geometry: coverage fail only</w:t>
            </w:r>
          </w:p>
        </w:tc>
        <w:tc>
          <w:tcPr>
            <w:tcW w:type="dxa" w:w="1440"/>
          </w:tcPr>
          <w:p>
            <w:pPr>
              <w:spacing w:after="20" w:before="20"/>
              <w:jc w:val="right"/>
            </w:pPr>
            <w:r>
              <w:rPr>
                <w:b w:val="0"/>
                <w:color w:val="1B2230"/>
                <w:sz w:val="18"/>
              </w:rPr>
              <w:t>7</w:t>
            </w:r>
          </w:p>
        </w:tc>
      </w:tr>
      <w:tr>
        <w:tc>
          <w:tcPr>
            <w:tcW w:type="dxa" w:w="6192"/>
          </w:tcPr>
          <w:p>
            <w:pPr>
              <w:spacing w:after="20" w:before="20"/>
            </w:pPr>
            <w:r>
              <w:rPr>
                <w:b w:val="0"/>
                <w:color w:val="1B2230"/>
                <w:sz w:val="18"/>
              </w:rPr>
              <w:t>Geometry: angle fail only</w:t>
            </w:r>
          </w:p>
        </w:tc>
        <w:tc>
          <w:tcPr>
            <w:tcW w:type="dxa" w:w="1440"/>
          </w:tcPr>
          <w:p>
            <w:pPr>
              <w:spacing w:after="20" w:before="20"/>
              <w:jc w:val="right"/>
            </w:pPr>
            <w:r>
              <w:rPr>
                <w:b w:val="0"/>
                <w:color w:val="1B2230"/>
                <w:sz w:val="18"/>
              </w:rPr>
              <w:t>196</w:t>
            </w:r>
          </w:p>
        </w:tc>
      </w:tr>
      <w:tr>
        <w:tc>
          <w:tcPr>
            <w:tcW w:type="dxa" w:w="6192"/>
          </w:tcPr>
          <w:p>
            <w:pPr>
              <w:spacing w:after="20" w:before="20"/>
            </w:pPr>
            <w:r>
              <w:rPr>
                <w:b w:val="0"/>
                <w:color w:val="1B2230"/>
                <w:sz w:val="18"/>
              </w:rPr>
              <w:t>Geometry: coverage and angle fail</w:t>
            </w:r>
          </w:p>
        </w:tc>
        <w:tc>
          <w:tcPr>
            <w:tcW w:type="dxa" w:w="1440"/>
          </w:tcPr>
          <w:p>
            <w:pPr>
              <w:spacing w:after="20" w:before="20"/>
              <w:jc w:val="right"/>
            </w:pPr>
            <w:r>
              <w:rPr>
                <w:b w:val="0"/>
                <w:color w:val="1B2230"/>
                <w:sz w:val="18"/>
              </w:rPr>
              <w:t>489</w:t>
            </w:r>
          </w:p>
        </w:tc>
      </w:tr>
      <w:tr>
        <w:tc>
          <w:tcPr>
            <w:tcW w:type="dxa" w:w="6192"/>
          </w:tcPr>
          <w:p>
            <w:pPr>
              <w:spacing w:after="20" w:before="20"/>
            </w:pPr>
            <w:r>
              <w:rPr>
                <w:b w:val="0"/>
                <w:color w:val="1B2230"/>
                <w:sz w:val="18"/>
              </w:rPr>
              <w:t>Retained, midday, not early or late</w:t>
            </w:r>
          </w:p>
        </w:tc>
        <w:tc>
          <w:tcPr>
            <w:tcW w:type="dxa" w:w="1440"/>
          </w:tcPr>
          <w:p>
            <w:pPr>
              <w:spacing w:after="20" w:before="20"/>
              <w:jc w:val="right"/>
            </w:pPr>
            <w:r>
              <w:rPr>
                <w:b w:val="0"/>
                <w:color w:val="1B2230"/>
                <w:sz w:val="18"/>
              </w:rPr>
              <w:t>117</w:t>
            </w:r>
          </w:p>
        </w:tc>
      </w:tr>
      <w:tr>
        <w:tc>
          <w:tcPr>
            <w:tcW w:type="dxa" w:w="6192"/>
          </w:tcPr>
          <w:p>
            <w:pPr>
              <w:spacing w:after="20" w:before="20"/>
            </w:pPr>
            <w:r>
              <w:rPr>
                <w:b w:val="0"/>
                <w:color w:val="1B2230"/>
                <w:sz w:val="18"/>
              </w:rPr>
              <w:t>Retained, early or late stratum eligible</w:t>
            </w:r>
          </w:p>
        </w:tc>
        <w:tc>
          <w:tcPr>
            <w:tcW w:type="dxa" w:w="1440"/>
          </w:tcPr>
          <w:p>
            <w:pPr>
              <w:spacing w:after="20" w:before="20"/>
              <w:jc w:val="right"/>
            </w:pPr>
            <w:r>
              <w:rPr>
                <w:b w:val="0"/>
                <w:color w:val="1B2230"/>
                <w:sz w:val="18"/>
              </w:rPr>
              <w:t>102</w:t>
            </w:r>
          </w:p>
        </w:tc>
      </w:tr>
      <w:tr>
        <w:tc>
          <w:tcPr>
            <w:tcW w:type="dxa" w:w="6192"/>
          </w:tcPr>
          <w:p>
            <w:pPr>
              <w:spacing w:after="20" w:before="20"/>
            </w:pPr>
            <w:r>
              <w:rPr>
                <w:b w:val="0"/>
                <w:color w:val="1B2230"/>
                <w:sz w:val="18"/>
              </w:rPr>
              <w:t>Total</w:t>
            </w:r>
          </w:p>
        </w:tc>
        <w:tc>
          <w:tcPr>
            <w:tcW w:type="dxa" w:w="1440"/>
          </w:tcPr>
          <w:p>
            <w:pPr>
              <w:spacing w:after="20" w:before="20"/>
              <w:jc w:val="right"/>
            </w:pPr>
            <w:r>
              <w:rPr>
                <w:b w:val="0"/>
                <w:color w:val="1B2230"/>
                <w:sz w:val="18"/>
              </w:rPr>
              <w:t>2,968</w:t>
            </w:r>
          </w:p>
        </w:tc>
      </w:tr>
    </w:tbl>
    <w:p>
      <w:pPr>
        <w:spacing w:after="40"/>
      </w:pPr>
    </w:p>
    <w:p>
      <w:pPr>
        <w:spacing w:before="0" w:after="100"/>
      </w:pPr>
      <w:r>
        <w:rPr>
          <w:b w:val="0"/>
          <w:i w:val="0"/>
          <w:color w:val="1B2230"/>
          <w:sz w:val="20"/>
        </w:rPr>
        <w:t>That decomposition matters for the next item. Of the 692 geometry failures, only 196 fail on angle alone. 489 fail on angle and coverage together and 7 on coverage alone. So opening the angle up does not recover most of what the filter removed, which limits how much a wider threshold can buy.</w:t>
      </w:r>
    </w:p>
    <w:p>
      <w:pPr>
        <w:spacing w:before="0" w:after="100"/>
      </w:pPr>
      <w:r>
        <w:rPr>
          <w:b w:val="0"/>
          <w:i w:val="0"/>
          <w:color w:val="1B2230"/>
          <w:sz w:val="20"/>
        </w:rPr>
        <w:t>Your other two questions. The 413 weather timestamps count HRRR files, not passes. Every acquisition falls strictly between two integer UTC hours, so linear interpolation needs a floor hour and a ceiling hour per pass. That is 438 pass-hour links. 25 of those analysis hours are shared by two cities, which deduplicates to 413 unique assets, split 409 surface and 4 pressure-level. There are no same-city duplicate links. And only 102 reach simulation because 102 is the number of retained passes falling in the 10-12 or 16-18 strata. The stratum split across the 219 is 55, 59, 58, 47, and 55 plus 47 is 102. The other 117 are midday. These are individual passes, not 102 morning-afternoon pairs.</w:t>
      </w:r>
    </w:p>
    <w:p>
      <w:pPr>
        <w:spacing w:before="220" w:after="60"/>
      </w:pPr>
      <w:r>
        <w:rPr>
          <w:b/>
          <w:i w:val="0"/>
          <w:color w:val="1B2230"/>
          <w:sz w:val="24"/>
        </w:rPr>
        <w:t>2. Pass-equivalent formula</w:t>
      </w:r>
    </w:p>
    <w:p>
      <w:pPr>
        <w:spacing w:before="0" w:after="100"/>
      </w:pPr>
      <w:r>
        <w:rPr>
          <w:b w:val="0"/>
          <w:i w:val="0"/>
          <w:color w:val="1B2230"/>
          <w:sz w:val="20"/>
        </w:rPr>
        <w:t>For each retained pass the weight is clear pixels divided by domain pixels, and the reported total is the sum of those weights. That gives 159.0871 across the 219 passes and 72.6890 across the 102.</w:t>
      </w:r>
    </w:p>
    <w:p>
      <w:pPr>
        <w:spacing w:before="0" w:after="100"/>
      </w:pPr>
      <w:r>
        <w:rPr>
          <w:b w:val="0"/>
          <w:i w:val="0"/>
          <w:color w:val="1B2230"/>
          <w:sz w:val="20"/>
        </w:rPr>
        <w:t>One implementation detail is worth stating because it was a real bug earlier. The clear-pixel count is computed on the cloud grid independently of the view mask. An earlier diagnostic found that all 400,414 cloudy pixels across 127 cloud-bearing scene pairs carried invalid view values, which meant a naively computed clear fraction was cloud-conditioned and the two axes were not separable. Computing the numerator independently of view is what fixes that.</w:t>
      </w:r>
    </w:p>
    <w:p>
      <w:pPr>
        <w:spacing w:before="0" w:after="100"/>
      </w:pPr>
      <w:r>
        <w:rPr>
          <w:b w:val="0"/>
          <w:i w:val="0"/>
          <w:color w:val="1B2230"/>
          <w:sz w:val="20"/>
        </w:rPr>
        <w:t>You were right that this quantity should not be treated as a sample size, and I changed it everywhere rather than defending it. Raw physical pass counts are primary now, and the weighted sum sits beside them labelled as a clear-domain exposure diagnostic. It is not an effective sample size and not a count of atmospheric situations. Eight cloudy passes are eight situations. This is not abstract: the cell we stopped on holds 8 real passes, and discounting it to 0.553 is what made a thin cell look empty.</w:t>
      </w:r>
    </w:p>
    <w:p>
      <w:pPr>
        <w:spacing w:before="0" w:after="100"/>
      </w:pPr>
      <w:r>
        <w:rPr>
          <w:b w:val="0"/>
          <w:i w:val="0"/>
          <w:color w:val="1B2230"/>
          <w:sz w:val="20"/>
        </w:rPr>
        <w:t>One part I could not finish. You asked for usable tree and reference pixels per pass alongside clear fraction. Clear and fill fractions are complete for all 219. Tree and reference counts are not, because they require a frozen sampling design and Gate 3 never selected one. They are stored blank with a machine-readable status flag rather than as zeros. This is also the reason none of the three simulations could run: without per-pass yield I cannot reproduce the pass-level measurement error you asked for, and reporting power without it would be inventing a number.</w:t>
      </w:r>
    </w:p>
    <w:p>
      <w:pPr>
        <w:spacing w:before="220" w:after="60"/>
      </w:pPr>
      <w:r>
        <w:rPr>
          <w:b/>
          <w:i w:val="0"/>
          <w:color w:val="1B2230"/>
          <w:sz w:val="24"/>
        </w:rPr>
        <w:t>3. View-angle threshold</w:t>
      </w:r>
    </w:p>
    <w:p>
      <w:pPr>
        <w:spacing w:before="0" w:after="100"/>
      </w:pPr>
      <w:r>
        <w:rPr>
          <w:b w:val="0"/>
          <w:i w:val="0"/>
          <w:color w:val="1B2230"/>
          <w:sz w:val="20"/>
        </w:rPr>
        <w:t>I ran the full preregistered sequence instead of defending the one we used. The rule is identical at every threshold: domain geometry coverage at or above 0.95, and the pass-level 95th percentile of absolute view zenith at or below the limit. I used p95 rather than a mean or centre-pixel value so the statistic bounds the tail of the angular distribution inside the city domain instead of describing its middle.</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1368"/>
          </w:tcPr>
          <w:p>
            <w:pPr>
              <w:spacing w:after="20" w:before="20"/>
            </w:pPr>
            <w:r>
              <w:rPr>
                <w:b/>
                <w:color w:val="1B2230"/>
                <w:sz w:val="18"/>
              </w:rPr>
              <w:t>Threshold</w:t>
            </w:r>
          </w:p>
        </w:tc>
        <w:tc>
          <w:tcPr>
            <w:tcW w:type="dxa" w:w="2232"/>
          </w:tcPr>
          <w:p>
            <w:pPr>
              <w:spacing w:after="20" w:before="20"/>
              <w:jc w:val="right"/>
            </w:pPr>
            <w:r>
              <w:rPr>
                <w:b/>
                <w:color w:val="1B2230"/>
                <w:sz w:val="18"/>
              </w:rPr>
              <w:t>Five-city historical</w:t>
            </w:r>
          </w:p>
        </w:tc>
        <w:tc>
          <w:tcPr>
            <w:tcW w:type="dxa" w:w="1944"/>
          </w:tcPr>
          <w:p>
            <w:pPr>
              <w:spacing w:after="20" w:before="20"/>
              <w:jc w:val="right"/>
            </w:pPr>
            <w:r>
              <w:rPr>
                <w:b/>
                <w:color w:val="1B2230"/>
                <w:sz w:val="18"/>
              </w:rPr>
              <w:t>Prospective panel</w:t>
            </w:r>
          </w:p>
        </w:tc>
        <w:tc>
          <w:tcPr>
            <w:tcW w:type="dxa" w:w="2880"/>
          </w:tcPr>
          <w:p>
            <w:pPr>
              <w:spacing w:after="20" w:before="20"/>
              <w:jc w:val="right"/>
            </w:pPr>
            <w:r>
              <w:rPr>
                <w:b/>
                <w:color w:val="1B2230"/>
                <w:sz w:val="18"/>
              </w:rPr>
              <w:t>Role</w:t>
            </w:r>
          </w:p>
        </w:tc>
      </w:tr>
      <w:tr>
        <w:tc>
          <w:tcPr>
            <w:tcW w:type="dxa" w:w="1368"/>
          </w:tcPr>
          <w:p>
            <w:pPr>
              <w:spacing w:after="20" w:before="20"/>
            </w:pPr>
            <w:r>
              <w:rPr>
                <w:b w:val="0"/>
                <w:color w:val="1B2230"/>
                <w:sz w:val="18"/>
              </w:rPr>
              <w:t>10 deg</w:t>
            </w:r>
          </w:p>
        </w:tc>
        <w:tc>
          <w:tcPr>
            <w:tcW w:type="dxa" w:w="2232"/>
          </w:tcPr>
          <w:p>
            <w:pPr>
              <w:spacing w:after="20" w:before="20"/>
              <w:jc w:val="right"/>
            </w:pPr>
            <w:r>
              <w:rPr>
                <w:b w:val="0"/>
                <w:color w:val="1B2230"/>
                <w:sz w:val="18"/>
              </w:rPr>
              <w:t>40</w:t>
            </w:r>
          </w:p>
        </w:tc>
        <w:tc>
          <w:tcPr>
            <w:tcW w:type="dxa" w:w="1944"/>
          </w:tcPr>
          <w:p>
            <w:pPr>
              <w:spacing w:after="20" w:before="20"/>
              <w:jc w:val="right"/>
            </w:pPr>
            <w:r>
              <w:rPr>
                <w:b w:val="0"/>
                <w:color w:val="1B2230"/>
                <w:sz w:val="18"/>
              </w:rPr>
              <w:t>3</w:t>
            </w:r>
          </w:p>
        </w:tc>
        <w:tc>
          <w:tcPr>
            <w:tcW w:type="dxa" w:w="2880"/>
          </w:tcPr>
          <w:p>
            <w:pPr>
              <w:spacing w:after="20" w:before="20"/>
              <w:jc w:val="right"/>
            </w:pPr>
            <w:r>
              <w:rPr>
                <w:b w:val="0"/>
                <w:color w:val="1B2230"/>
                <w:sz w:val="18"/>
              </w:rPr>
              <w:t>candidate</w:t>
            </w:r>
          </w:p>
        </w:tc>
      </w:tr>
      <w:tr>
        <w:tc>
          <w:tcPr>
            <w:tcW w:type="dxa" w:w="1368"/>
          </w:tcPr>
          <w:p>
            <w:pPr>
              <w:spacing w:after="20" w:before="20"/>
            </w:pPr>
            <w:r>
              <w:rPr>
                <w:b w:val="0"/>
                <w:color w:val="1B2230"/>
                <w:sz w:val="18"/>
              </w:rPr>
              <w:t>15 deg</w:t>
            </w:r>
          </w:p>
        </w:tc>
        <w:tc>
          <w:tcPr>
            <w:tcW w:type="dxa" w:w="2232"/>
          </w:tcPr>
          <w:p>
            <w:pPr>
              <w:spacing w:after="20" w:before="20"/>
              <w:jc w:val="right"/>
            </w:pPr>
            <w:r>
              <w:rPr>
                <w:b w:val="0"/>
                <w:color w:val="1B2230"/>
                <w:sz w:val="18"/>
              </w:rPr>
              <w:t>127</w:t>
            </w:r>
          </w:p>
        </w:tc>
        <w:tc>
          <w:tcPr>
            <w:tcW w:type="dxa" w:w="1944"/>
          </w:tcPr>
          <w:p>
            <w:pPr>
              <w:spacing w:after="20" w:before="20"/>
              <w:jc w:val="right"/>
            </w:pPr>
            <w:r>
              <w:rPr>
                <w:b w:val="0"/>
                <w:color w:val="1B2230"/>
                <w:sz w:val="18"/>
              </w:rPr>
              <w:t>7</w:t>
            </w:r>
          </w:p>
        </w:tc>
        <w:tc>
          <w:tcPr>
            <w:tcW w:type="dxa" w:w="2880"/>
          </w:tcPr>
          <w:p>
            <w:pPr>
              <w:spacing w:after="20" w:before="20"/>
              <w:jc w:val="right"/>
            </w:pPr>
            <w:r>
              <w:rPr>
                <w:b w:val="0"/>
                <w:color w:val="1B2230"/>
                <w:sz w:val="18"/>
              </w:rPr>
              <w:t>candidate</w:t>
            </w:r>
          </w:p>
        </w:tc>
      </w:tr>
      <w:tr>
        <w:tc>
          <w:tcPr>
            <w:tcW w:type="dxa" w:w="1368"/>
          </w:tcPr>
          <w:p>
            <w:pPr>
              <w:spacing w:after="20" w:before="20"/>
            </w:pPr>
            <w:r>
              <w:rPr>
                <w:b w:val="0"/>
                <w:color w:val="1B2230"/>
                <w:sz w:val="18"/>
              </w:rPr>
              <w:t>20 deg</w:t>
            </w:r>
          </w:p>
        </w:tc>
        <w:tc>
          <w:tcPr>
            <w:tcW w:type="dxa" w:w="2232"/>
          </w:tcPr>
          <w:p>
            <w:pPr>
              <w:spacing w:after="20" w:before="20"/>
              <w:jc w:val="right"/>
            </w:pPr>
            <w:r>
              <w:rPr>
                <w:b w:val="0"/>
                <w:color w:val="1B2230"/>
                <w:sz w:val="18"/>
              </w:rPr>
              <w:t>219</w:t>
            </w:r>
          </w:p>
        </w:tc>
        <w:tc>
          <w:tcPr>
            <w:tcW w:type="dxa" w:w="1944"/>
          </w:tcPr>
          <w:p>
            <w:pPr>
              <w:spacing w:after="20" w:before="20"/>
              <w:jc w:val="right"/>
            </w:pPr>
            <w:r>
              <w:rPr>
                <w:b w:val="0"/>
                <w:color w:val="1B2230"/>
                <w:sz w:val="18"/>
              </w:rPr>
              <w:t>14</w:t>
            </w:r>
          </w:p>
        </w:tc>
        <w:tc>
          <w:tcPr>
            <w:tcW w:type="dxa" w:w="2880"/>
          </w:tcPr>
          <w:p>
            <w:pPr>
              <w:spacing w:after="20" w:before="20"/>
              <w:jc w:val="right"/>
            </w:pPr>
            <w:r>
              <w:rPr>
                <w:b w:val="0"/>
                <w:color w:val="1B2230"/>
                <w:sz w:val="18"/>
              </w:rPr>
              <w:t>what we actually applied</w:t>
            </w:r>
          </w:p>
        </w:tc>
      </w:tr>
      <w:tr>
        <w:tc>
          <w:tcPr>
            <w:tcW w:type="dxa" w:w="1368"/>
          </w:tcPr>
          <w:p>
            <w:pPr>
              <w:spacing w:after="20" w:before="20"/>
            </w:pPr>
            <w:r>
              <w:rPr>
                <w:b w:val="0"/>
                <w:color w:val="1B2230"/>
                <w:sz w:val="18"/>
              </w:rPr>
              <w:t>25 deg</w:t>
            </w:r>
          </w:p>
        </w:tc>
        <w:tc>
          <w:tcPr>
            <w:tcW w:type="dxa" w:w="2232"/>
          </w:tcPr>
          <w:p>
            <w:pPr>
              <w:spacing w:after="20" w:before="20"/>
              <w:jc w:val="right"/>
            </w:pPr>
            <w:r>
              <w:rPr>
                <w:b w:val="0"/>
                <w:color w:val="1B2230"/>
                <w:sz w:val="18"/>
              </w:rPr>
              <w:t>326</w:t>
            </w:r>
          </w:p>
        </w:tc>
        <w:tc>
          <w:tcPr>
            <w:tcW w:type="dxa" w:w="1944"/>
          </w:tcPr>
          <w:p>
            <w:pPr>
              <w:spacing w:after="20" w:before="20"/>
              <w:jc w:val="right"/>
            </w:pPr>
            <w:r>
              <w:rPr>
                <w:b w:val="0"/>
                <w:color w:val="1B2230"/>
                <w:sz w:val="18"/>
              </w:rPr>
              <w:t>52</w:t>
            </w:r>
          </w:p>
        </w:tc>
        <w:tc>
          <w:tcPr>
            <w:tcW w:type="dxa" w:w="2880"/>
          </w:tcPr>
          <w:p>
            <w:pPr>
              <w:spacing w:after="20" w:before="20"/>
              <w:jc w:val="right"/>
            </w:pPr>
            <w:r>
              <w:rPr>
                <w:b w:val="0"/>
                <w:color w:val="1B2230"/>
                <w:sz w:val="18"/>
              </w:rPr>
              <w:t>candidate</w:t>
            </w:r>
          </w:p>
        </w:tc>
      </w:tr>
      <w:tr>
        <w:tc>
          <w:tcPr>
            <w:tcW w:type="dxa" w:w="1368"/>
          </w:tcPr>
          <w:p>
            <w:pPr>
              <w:spacing w:after="20" w:before="20"/>
            </w:pPr>
            <w:r>
              <w:rPr>
                <w:b w:val="0"/>
                <w:color w:val="1B2230"/>
                <w:sz w:val="18"/>
              </w:rPr>
              <w:t>30 deg</w:t>
            </w:r>
          </w:p>
        </w:tc>
        <w:tc>
          <w:tcPr>
            <w:tcW w:type="dxa" w:w="2232"/>
          </w:tcPr>
          <w:p>
            <w:pPr>
              <w:spacing w:after="20" w:before="20"/>
              <w:jc w:val="right"/>
            </w:pPr>
            <w:r>
              <w:rPr>
                <w:b w:val="0"/>
                <w:color w:val="1B2230"/>
                <w:sz w:val="18"/>
              </w:rPr>
              <w:t>413</w:t>
            </w:r>
          </w:p>
        </w:tc>
        <w:tc>
          <w:tcPr>
            <w:tcW w:type="dxa" w:w="1944"/>
          </w:tcPr>
          <w:p>
            <w:pPr>
              <w:spacing w:after="20" w:before="20"/>
              <w:jc w:val="right"/>
            </w:pPr>
            <w:r>
              <w:rPr>
                <w:b w:val="0"/>
                <w:color w:val="1B2230"/>
                <w:sz w:val="18"/>
              </w:rPr>
              <w:t>not run</w:t>
            </w:r>
          </w:p>
        </w:tc>
        <w:tc>
          <w:tcPr>
            <w:tcW w:type="dxa" w:w="2880"/>
          </w:tcPr>
          <w:p>
            <w:pPr>
              <w:spacing w:after="20" w:before="20"/>
              <w:jc w:val="right"/>
            </w:pPr>
            <w:r>
              <w:rPr>
                <w:b w:val="0"/>
                <w:color w:val="1B2230"/>
                <w:sz w:val="18"/>
              </w:rPr>
              <w:t>exploratory only</w:t>
            </w:r>
          </w:p>
        </w:tc>
      </w:tr>
    </w:tbl>
    <w:p>
      <w:pPr>
        <w:spacing w:after="40"/>
      </w:pPr>
    </w:p>
    <w:p>
      <w:pPr>
        <w:spacing w:before="0" w:after="100"/>
      </w:pPr>
      <w:r>
        <w:rPr>
          <w:b w:val="0"/>
          <w:i w:val="0"/>
          <w:color w:val="1B2230"/>
          <w:sz w:val="20"/>
        </w:rPr>
        <w:t>The two count columns are not the same population and I do not want them confused. The left column is the inherited five-city panel screened on geometry alone. The right column is the four prospective city-windows screened on geometry and azimuth and cloud and exact weather together, after the season screen removed cities. That is why 326 becomes 52.</w:t>
      </w:r>
    </w:p>
    <w:p>
      <w:pPr>
        <w:spacing w:before="0" w:after="100"/>
      </w:pPr>
      <w:r>
        <w:rPr>
          <w:b w:val="0"/>
          <w:i w:val="0"/>
          <w:color w:val="1B2230"/>
          <w:sz w:val="20"/>
        </w:rPr>
        <w:t>I did not select a threshold. Azimuth completeness is false on every row of the frozen comparison, and by your own argument azimuth is the component that matters here: ECOSTRESS angular variation is mainly in view azimuth while view zenith stays largely within about 30 degrees, and relative sun-sensor azimuth drives hotspot viewing at several kelvin against an expected contrast of one to three. Choosing a zenith cut without azimuth evidence would be selecting on the smaller component. A further 386 accessible passes still lack complete source azimuth and are marked unresolved rather than imputed.</w:t>
      </w:r>
    </w:p>
    <w:p>
      <w:pPr>
        <w:spacing w:before="220" w:after="60"/>
      </w:pPr>
      <w:r>
        <w:rPr>
          <w:b/>
          <w:i w:val="0"/>
          <w:color w:val="1B2230"/>
          <w:sz w:val="24"/>
        </w:rPr>
        <w:t>4. Within-city wet and dry breakdown</w:t>
      </w:r>
    </w:p>
    <w:p>
      <w:pPr>
        <w:spacing w:before="0" w:after="100"/>
      </w:pPr>
      <w:r>
        <w:rPr>
          <w:b w:val="0"/>
          <w:i w:val="0"/>
          <w:color w:val="1B2230"/>
          <w:sz w:val="20"/>
        </w:rPr>
        <w:t>You said this one might settle the question before the simulations finished, and it did.</w:t>
      </w:r>
    </w:p>
    <w:p>
      <w:pPr>
        <w:spacing w:before="0" w:after="100"/>
      </w:pPr>
      <w:r>
        <w:rPr>
          <w:b w:val="0"/>
          <w:i w:val="0"/>
          <w:color w:val="1B2230"/>
          <w:sz w:val="20"/>
        </w:rPr>
        <w:t>Before the counts, the water axis had to be rebuilt, because you were right that P minus ET0 contains a demand term by construction. ET0 is Penman-Monteith reference evapotranspiration computed from radiation, temperature, humidity and wind; VPD is computed from temperature and humidity. They share inputs. Ending the window a day early removes same-day duplication but not the shared construction. I measured it instead of asserting it. At 30 days P minus ET0 correlates with acquisition VPD at Spearman -0.574 while precipitation alone is -0.388; at 60 days it is -0.585 against -0.442. Meanwhile P minus ET0 correlates with precipitation itself at 0.910, so precipitation keeps almost all of the wetness signal and sheds the demand term. Intervals are whole-city-summer block bootstrap, 39 blocks, 2,000 draws. P minus ET0 is now sensitivity only.</w:t>
      </w:r>
    </w:p>
    <w:p>
      <w:pPr>
        <w:spacing w:before="0" w:after="100"/>
      </w:pPr>
      <w:r>
        <w:rPr>
          <w:b w:val="0"/>
          <w:i w:val="0"/>
          <w:color w:val="1B2230"/>
          <w:sz w:val="20"/>
        </w:rPr>
        <w:t>Read on the old five-city panel at 20 degrees with precipitation only, the support looks adequate. Every city has both high-demand groups, 40 wet and 62 dry. But those counts impose none of your three checks. Applying them (wet and dry within the same city, overlap in absolute VPD rather than tercile membership, and overlap in season) on the prospective panel at 25 degrees leaves this:</w:t>
      </w:r>
    </w:p>
    <w:tbl>
      <w:tblPr>
        <w:tblStyle w:val="TableGrid"/>
        <w:tblW w:type="auto" w:w="0"/>
        <w:jc w:val="left"/>
        <w:tblLayout w:type="fixed"/>
        <w:tblLook w:firstColumn="1" w:firstRow="1" w:lastColumn="0" w:lastRow="0" w:noHBand="0" w:noVBand="1" w:val="04A0"/>
      </w:tblPr>
      <w:tblGrid>
        <w:gridCol w:w="1632"/>
        <w:gridCol w:w="1632"/>
        <w:gridCol w:w="1632"/>
        <w:gridCol w:w="1632"/>
        <w:gridCol w:w="1632"/>
        <w:gridCol w:w="1632"/>
      </w:tblGrid>
      <w:tr>
        <w:tc>
          <w:tcPr>
            <w:tcW w:type="dxa" w:w="2664"/>
          </w:tcPr>
          <w:p>
            <w:pPr>
              <w:spacing w:after="20" w:before="20"/>
            </w:pPr>
            <w:r>
              <w:rPr>
                <w:b/>
                <w:color w:val="1B2230"/>
                <w:sz w:val="18"/>
              </w:rPr>
              <w:t>City window</w:t>
            </w:r>
          </w:p>
        </w:tc>
        <w:tc>
          <w:tcPr>
            <w:tcW w:type="dxa" w:w="648"/>
          </w:tcPr>
          <w:p>
            <w:pPr>
              <w:spacing w:after="20" w:before="20"/>
              <w:jc w:val="right"/>
            </w:pPr>
            <w:r>
              <w:rPr>
                <w:b/>
                <w:color w:val="1B2230"/>
                <w:sz w:val="18"/>
              </w:rPr>
              <w:t>Wet</w:t>
            </w:r>
          </w:p>
        </w:tc>
        <w:tc>
          <w:tcPr>
            <w:tcW w:type="dxa" w:w="648"/>
          </w:tcPr>
          <w:p>
            <w:pPr>
              <w:spacing w:after="20" w:before="20"/>
              <w:jc w:val="right"/>
            </w:pPr>
            <w:r>
              <w:rPr>
                <w:b/>
                <w:color w:val="1B2230"/>
                <w:sz w:val="18"/>
              </w:rPr>
              <w:t>Dry</w:t>
            </w:r>
          </w:p>
        </w:tc>
        <w:tc>
          <w:tcPr>
            <w:tcW w:type="dxa" w:w="1368"/>
          </w:tcPr>
          <w:p>
            <w:pPr>
              <w:spacing w:after="20" w:before="20"/>
              <w:jc w:val="right"/>
            </w:pPr>
            <w:r>
              <w:rPr>
                <w:b/>
                <w:color w:val="1B2230"/>
                <w:sz w:val="18"/>
              </w:rPr>
              <w:t>VPD overlap</w:t>
            </w:r>
          </w:p>
        </w:tc>
        <w:tc>
          <w:tcPr>
            <w:tcW w:type="dxa" w:w="864"/>
          </w:tcPr>
          <w:p>
            <w:pPr>
              <w:spacing w:after="20" w:before="20"/>
              <w:jc w:val="right"/>
            </w:pPr>
            <w:r>
              <w:rPr>
                <w:b/>
                <w:color w:val="1B2230"/>
                <w:sz w:val="18"/>
              </w:rPr>
              <w:t>Season</w:t>
            </w:r>
          </w:p>
        </w:tc>
        <w:tc>
          <w:tcPr>
            <w:tcW w:type="dxa" w:w="2160"/>
          </w:tcPr>
          <w:p>
            <w:pPr>
              <w:spacing w:after="20" w:before="20"/>
              <w:jc w:val="right"/>
            </w:pPr>
            <w:r>
              <w:rPr>
                <w:b/>
                <w:color w:val="1B2230"/>
                <w:sz w:val="18"/>
              </w:rPr>
              <w:t>Result</w:t>
            </w:r>
          </w:p>
        </w:tc>
      </w:tr>
      <w:tr>
        <w:tc>
          <w:tcPr>
            <w:tcW w:type="dxa" w:w="2664"/>
          </w:tcPr>
          <w:p>
            <w:pPr>
              <w:spacing w:after="20" w:before="20"/>
            </w:pPr>
            <w:r>
              <w:rPr>
                <w:b w:val="0"/>
                <w:color w:val="1B2230"/>
                <w:sz w:val="18"/>
              </w:rPr>
              <w:t>Denver-Aurora, Jun-Sep</w:t>
            </w:r>
          </w:p>
        </w:tc>
        <w:tc>
          <w:tcPr>
            <w:tcW w:type="dxa" w:w="648"/>
          </w:tcPr>
          <w:p>
            <w:pPr>
              <w:spacing w:after="20" w:before="20"/>
              <w:jc w:val="right"/>
            </w:pPr>
            <w:r>
              <w:rPr>
                <w:b w:val="0"/>
                <w:color w:val="1B2230"/>
                <w:sz w:val="18"/>
              </w:rPr>
              <w:t>5</w:t>
            </w:r>
          </w:p>
        </w:tc>
        <w:tc>
          <w:tcPr>
            <w:tcW w:type="dxa" w:w="648"/>
          </w:tcPr>
          <w:p>
            <w:pPr>
              <w:spacing w:after="20" w:before="20"/>
              <w:jc w:val="right"/>
            </w:pPr>
            <w:r>
              <w:rPr>
                <w:b w:val="0"/>
                <w:color w:val="1B2230"/>
                <w:sz w:val="18"/>
              </w:rPr>
              <w:t>7</w:t>
            </w:r>
          </w:p>
        </w:tc>
        <w:tc>
          <w:tcPr>
            <w:tcW w:type="dxa" w:w="1368"/>
          </w:tcPr>
          <w:p>
            <w:pPr>
              <w:spacing w:after="20" w:before="20"/>
              <w:jc w:val="right"/>
            </w:pPr>
            <w:r>
              <w:rPr>
                <w:b w:val="0"/>
                <w:color w:val="1B2230"/>
                <w:sz w:val="18"/>
              </w:rPr>
              <w:t>+0.77 kPa</w:t>
            </w:r>
          </w:p>
        </w:tc>
        <w:tc>
          <w:tcPr>
            <w:tcW w:type="dxa" w:w="864"/>
          </w:tcPr>
          <w:p>
            <w:pPr>
              <w:spacing w:after="20" w:before="20"/>
              <w:jc w:val="right"/>
            </w:pPr>
            <w:r>
              <w:rPr>
                <w:b w:val="0"/>
                <w:color w:val="1B2230"/>
                <w:sz w:val="18"/>
              </w:rPr>
              <w:t>+57 d</w:t>
            </w:r>
          </w:p>
        </w:tc>
        <w:tc>
          <w:tcPr>
            <w:tcW w:type="dxa" w:w="2160"/>
          </w:tcPr>
          <w:p>
            <w:pPr>
              <w:spacing w:after="20" w:before="20"/>
              <w:jc w:val="right"/>
            </w:pPr>
            <w:r>
              <w:rPr>
                <w:b w:val="0"/>
                <w:color w:val="1B2230"/>
                <w:sz w:val="18"/>
              </w:rPr>
              <w:t>passes all three</w:t>
            </w:r>
          </w:p>
        </w:tc>
      </w:tr>
      <w:tr>
        <w:tc>
          <w:tcPr>
            <w:tcW w:type="dxa" w:w="2664"/>
          </w:tcPr>
          <w:p>
            <w:pPr>
              <w:spacing w:after="20" w:before="20"/>
            </w:pPr>
            <w:r>
              <w:rPr>
                <w:b w:val="0"/>
                <w:color w:val="1B2230"/>
                <w:sz w:val="18"/>
              </w:rPr>
              <w:t>Atlanta, Jun-Sep</w:t>
            </w:r>
          </w:p>
        </w:tc>
        <w:tc>
          <w:tcPr>
            <w:tcW w:type="dxa" w:w="648"/>
          </w:tcPr>
          <w:p>
            <w:pPr>
              <w:spacing w:after="20" w:before="20"/>
              <w:jc w:val="right"/>
            </w:pPr>
            <w:r>
              <w:rPr>
                <w:b w:val="0"/>
                <w:color w:val="1B2230"/>
                <w:sz w:val="18"/>
              </w:rPr>
              <w:t>1</w:t>
            </w:r>
          </w:p>
        </w:tc>
        <w:tc>
          <w:tcPr>
            <w:tcW w:type="dxa" w:w="648"/>
          </w:tcPr>
          <w:p>
            <w:pPr>
              <w:spacing w:after="20" w:before="20"/>
              <w:jc w:val="right"/>
            </w:pPr>
            <w:r>
              <w:rPr>
                <w:b w:val="0"/>
                <w:color w:val="1B2230"/>
                <w:sz w:val="18"/>
              </w:rPr>
              <w:t>3</w:t>
            </w:r>
          </w:p>
        </w:tc>
        <w:tc>
          <w:tcPr>
            <w:tcW w:type="dxa" w:w="1368"/>
          </w:tcPr>
          <w:p>
            <w:pPr>
              <w:spacing w:after="20" w:before="20"/>
              <w:jc w:val="right"/>
            </w:pPr>
            <w:r>
              <w:rPr>
                <w:b w:val="0"/>
                <w:color w:val="1B2230"/>
                <w:sz w:val="18"/>
              </w:rPr>
              <w:t>-0.29 kPa</w:t>
            </w:r>
          </w:p>
        </w:tc>
        <w:tc>
          <w:tcPr>
            <w:tcW w:type="dxa" w:w="864"/>
          </w:tcPr>
          <w:p>
            <w:pPr>
              <w:spacing w:after="20" w:before="20"/>
              <w:jc w:val="right"/>
            </w:pPr>
            <w:r>
              <w:rPr>
                <w:b w:val="0"/>
                <w:color w:val="1B2230"/>
                <w:sz w:val="18"/>
              </w:rPr>
              <w:t>-6 d</w:t>
            </w:r>
          </w:p>
        </w:tc>
        <w:tc>
          <w:tcPr>
            <w:tcW w:type="dxa" w:w="2160"/>
          </w:tcPr>
          <w:p>
            <w:pPr>
              <w:spacing w:after="20" w:before="20"/>
              <w:jc w:val="right"/>
            </w:pPr>
            <w:r>
              <w:rPr>
                <w:b w:val="0"/>
                <w:color w:val="1B2230"/>
                <w:sz w:val="18"/>
              </w:rPr>
              <w:t>no overlap either way</w:t>
            </w:r>
          </w:p>
        </w:tc>
      </w:tr>
      <w:tr>
        <w:tc>
          <w:tcPr>
            <w:tcW w:type="dxa" w:w="2664"/>
          </w:tcPr>
          <w:p>
            <w:pPr>
              <w:spacing w:after="20" w:before="20"/>
            </w:pPr>
            <w:r>
              <w:rPr>
                <w:b w:val="0"/>
                <w:color w:val="1B2230"/>
                <w:sz w:val="18"/>
              </w:rPr>
              <w:t>Minneapolis-St. Paul, Jun-Sep</w:t>
            </w:r>
          </w:p>
        </w:tc>
        <w:tc>
          <w:tcPr>
            <w:tcW w:type="dxa" w:w="648"/>
          </w:tcPr>
          <w:p>
            <w:pPr>
              <w:spacing w:after="20" w:before="20"/>
              <w:jc w:val="right"/>
            </w:pPr>
            <w:r>
              <w:rPr>
                <w:b w:val="0"/>
                <w:color w:val="1B2230"/>
                <w:sz w:val="18"/>
              </w:rPr>
              <w:t>3</w:t>
            </w:r>
          </w:p>
        </w:tc>
        <w:tc>
          <w:tcPr>
            <w:tcW w:type="dxa" w:w="648"/>
          </w:tcPr>
          <w:p>
            <w:pPr>
              <w:spacing w:after="20" w:before="20"/>
              <w:jc w:val="right"/>
            </w:pPr>
            <w:r>
              <w:rPr>
                <w:b w:val="0"/>
                <w:color w:val="1B2230"/>
                <w:sz w:val="18"/>
              </w:rPr>
              <w:t>1</w:t>
            </w:r>
          </w:p>
        </w:tc>
        <w:tc>
          <w:tcPr>
            <w:tcW w:type="dxa" w:w="1368"/>
          </w:tcPr>
          <w:p>
            <w:pPr>
              <w:spacing w:after="20" w:before="20"/>
              <w:jc w:val="right"/>
            </w:pPr>
            <w:r>
              <w:rPr>
                <w:b w:val="0"/>
                <w:color w:val="1B2230"/>
                <w:sz w:val="18"/>
              </w:rPr>
              <w:t>0.00 kPa</w:t>
            </w:r>
          </w:p>
        </w:tc>
        <w:tc>
          <w:tcPr>
            <w:tcW w:type="dxa" w:w="864"/>
          </w:tcPr>
          <w:p>
            <w:pPr>
              <w:spacing w:after="20" w:before="20"/>
              <w:jc w:val="right"/>
            </w:pPr>
            <w:r>
              <w:rPr>
                <w:b w:val="0"/>
                <w:color w:val="1B2230"/>
                <w:sz w:val="18"/>
              </w:rPr>
              <w:t>0 d</w:t>
            </w:r>
          </w:p>
        </w:tc>
        <w:tc>
          <w:tcPr>
            <w:tcW w:type="dxa" w:w="2160"/>
          </w:tcPr>
          <w:p>
            <w:pPr>
              <w:spacing w:after="20" w:before="20"/>
              <w:jc w:val="right"/>
            </w:pPr>
            <w:r>
              <w:rPr>
                <w:b w:val="0"/>
                <w:color w:val="1B2230"/>
                <w:sz w:val="18"/>
              </w:rPr>
              <w:t>touching, not overlapping</w:t>
            </w:r>
          </w:p>
        </w:tc>
      </w:tr>
      <w:tr>
        <w:tc>
          <w:tcPr>
            <w:tcW w:type="dxa" w:w="2664"/>
          </w:tcPr>
          <w:p>
            <w:pPr>
              <w:spacing w:after="20" w:before="20"/>
            </w:pPr>
            <w:r>
              <w:rPr>
                <w:b w:val="0"/>
                <w:color w:val="1B2230"/>
                <w:sz w:val="18"/>
              </w:rPr>
              <w:t>Phoenix, Apr-May</w:t>
            </w:r>
          </w:p>
        </w:tc>
        <w:tc>
          <w:tcPr>
            <w:tcW w:type="dxa" w:w="648"/>
          </w:tcPr>
          <w:p>
            <w:pPr>
              <w:spacing w:after="20" w:before="20"/>
              <w:jc w:val="right"/>
            </w:pPr>
            <w:r>
              <w:rPr>
                <w:b w:val="0"/>
                <w:color w:val="1B2230"/>
                <w:sz w:val="18"/>
              </w:rPr>
              <w:t>1</w:t>
            </w:r>
          </w:p>
        </w:tc>
        <w:tc>
          <w:tcPr>
            <w:tcW w:type="dxa" w:w="648"/>
          </w:tcPr>
          <w:p>
            <w:pPr>
              <w:spacing w:after="20" w:before="20"/>
              <w:jc w:val="right"/>
            </w:pPr>
            <w:r>
              <w:rPr>
                <w:b w:val="0"/>
                <w:color w:val="1B2230"/>
                <w:sz w:val="18"/>
              </w:rPr>
              <w:t>0</w:t>
            </w:r>
          </w:p>
        </w:tc>
        <w:tc>
          <w:tcPr>
            <w:tcW w:type="dxa" w:w="1368"/>
          </w:tcPr>
          <w:p>
            <w:pPr>
              <w:spacing w:after="20" w:before="20"/>
              <w:jc w:val="right"/>
            </w:pPr>
            <w:r>
              <w:rPr>
                <w:b w:val="0"/>
                <w:color w:val="1B2230"/>
                <w:sz w:val="18"/>
              </w:rPr>
              <w:t>n/a</w:t>
            </w:r>
          </w:p>
        </w:tc>
        <w:tc>
          <w:tcPr>
            <w:tcW w:type="dxa" w:w="864"/>
          </w:tcPr>
          <w:p>
            <w:pPr>
              <w:spacing w:after="20" w:before="20"/>
              <w:jc w:val="right"/>
            </w:pPr>
            <w:r>
              <w:rPr>
                <w:b w:val="0"/>
                <w:color w:val="1B2230"/>
                <w:sz w:val="18"/>
              </w:rPr>
              <w:t>n/a</w:t>
            </w:r>
          </w:p>
        </w:tc>
        <w:tc>
          <w:tcPr>
            <w:tcW w:type="dxa" w:w="2160"/>
          </w:tcPr>
          <w:p>
            <w:pPr>
              <w:spacing w:after="20" w:before="20"/>
              <w:jc w:val="right"/>
            </w:pPr>
            <w:r>
              <w:rPr>
                <w:b w:val="0"/>
                <w:color w:val="1B2230"/>
                <w:sz w:val="18"/>
              </w:rPr>
              <w:t>no dry pass at all</w:t>
            </w:r>
          </w:p>
        </w:tc>
      </w:tr>
    </w:tbl>
    <w:p>
      <w:pPr>
        <w:spacing w:after="40"/>
      </w:pPr>
    </w:p>
    <w:p>
      <w:pPr>
        <w:spacing w:before="0" w:after="100"/>
      </w:pPr>
      <w:r>
        <w:rPr>
          <w:b w:val="0"/>
          <w:i w:val="0"/>
          <w:color w:val="1B2230"/>
          <w:sz w:val="20"/>
        </w:rPr>
        <w:t>One city out of four. Your rule was that fewer than four with genuine overlap means comparative case studies rather than a pooled cross-city effect, so the pooled version is not authorised. Denver cannot carry it alone either: it supplies 55.8 percent of the 52 complete passes, above the 40 percent single-city cap we set in advance.</w:t>
      </w:r>
    </w:p>
    <w:p>
      <w:pPr>
        <w:spacing w:before="0" w:after="100"/>
      </w:pPr>
      <w:r>
        <w:rPr>
          <w:b w:val="0"/>
          <w:i w:val="0"/>
          <w:color w:val="1B2230"/>
          <w:sz w:val="20"/>
        </w:rPr>
        <w:t>Your arithmetic reproduces exactly. The P minus ET0 sensitivity gives 34 wet plus 53 middle plus 68 dry, which is the 155 high-demand passes you counted.</w:t>
      </w:r>
    </w:p>
    <w:p>
      <w:pPr>
        <w:spacing w:before="0" w:after="100"/>
      </w:pPr>
      <w:r>
        <w:rPr>
          <w:b w:val="0"/>
          <w:i w:val="0"/>
          <w:color w:val="1B2230"/>
          <w:sz w:val="20"/>
        </w:rPr>
        <w:t>Two details I think you will want. Phoenix contributes only April-May pre-monsoon support in this profile, so the monsoon and pre-monsoon mixture you were worried about is absent rather than balanced. And on the five-city panel, Phoenix high-demand wet passes have a higher median VPD (5.91 kPa) than its dry ones (5.80 kPa). Under a tercile label that contrast runs backwards on absolute demand, which is a clean demonstration of why terciles had to be replaced with continuous overlap.</w:t>
      </w:r>
    </w:p>
    <w:p>
      <w:pPr>
        <w:spacing w:before="220" w:after="60"/>
      </w:pPr>
      <w:r>
        <w:rPr>
          <w:b/>
          <w:i w:val="0"/>
          <w:color w:val="1B2230"/>
          <w:sz w:val="24"/>
        </w:rPr>
        <w:t>5. Why the city set went from five to four</w:t>
      </w:r>
    </w:p>
    <w:p>
      <w:pPr>
        <w:spacing w:before="0" w:after="100"/>
      </w:pPr>
      <w:r>
        <w:rPr>
          <w:b w:val="0"/>
          <w:i w:val="0"/>
          <w:color w:val="1B2230"/>
          <w:sz w:val="20"/>
        </w:rPr>
        <w:t>This is the question I would ask next, so here it is directly. Los Angeles and Sacramento were removed by the leaf-on screen, and Miami could not be evaluated by it. Denver was added. None of it was a judgement call after seeing results: the rule was frozen at 17:48 on 13 August and the run that produced these values started at 18:10.</w:t>
      </w:r>
    </w:p>
    <w:p>
      <w:pPr>
        <w:spacing w:before="0" w:after="100"/>
      </w:pPr>
      <w:r>
        <w:rPr>
          <w:b w:val="0"/>
          <w:i w:val="0"/>
          <w:color w:val="1B2230"/>
          <w:sz w:val="20"/>
        </w:rPr>
        <w:t>The rule says a calendar month is stable leaf-on only when at least seven of eight years have a usable MOD13Q1.061 value, its eight-year median NDVI is at least 90 percent of that city's own annual peak, and its first quartile is at least 80 percent of that peak. Every month in a window has to pass.</w:t>
      </w:r>
    </w:p>
    <w:p>
      <w:pPr>
        <w:spacing w:before="0" w:after="100"/>
      </w:pPr>
      <w:r>
        <w:rPr>
          <w:b w:val="0"/>
          <w:i w:val="0"/>
          <w:color w:val="1B2230"/>
          <w:sz w:val="20"/>
        </w:rPr>
        <w:t>Los Angeles fails because it is Mediterranean. Its canopy peaks in April after the winter rains and declines through the whole summer:</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1440"/>
          </w:tcPr>
          <w:p>
            <w:pPr>
              <w:spacing w:after="20" w:before="20"/>
            </w:pPr>
            <w:r>
              <w:rPr>
                <w:b/>
                <w:color w:val="1B2230"/>
                <w:sz w:val="18"/>
              </w:rPr>
              <w:t>Month</w:t>
            </w:r>
          </w:p>
        </w:tc>
        <w:tc>
          <w:tcPr>
            <w:tcW w:type="dxa" w:w="1656"/>
          </w:tcPr>
          <w:p>
            <w:pPr>
              <w:spacing w:after="20" w:before="20"/>
              <w:jc w:val="right"/>
            </w:pPr>
            <w:r>
              <w:rPr>
                <w:b/>
                <w:color w:val="1B2230"/>
                <w:sz w:val="18"/>
              </w:rPr>
              <w:t>Median NDVI</w:t>
            </w:r>
          </w:p>
        </w:tc>
        <w:tc>
          <w:tcPr>
            <w:tcW w:type="dxa" w:w="2160"/>
          </w:tcPr>
          <w:p>
            <w:pPr>
              <w:spacing w:after="20" w:before="20"/>
              <w:jc w:val="right"/>
            </w:pPr>
            <w:r>
              <w:rPr>
                <w:b/>
                <w:color w:val="1B2230"/>
                <w:sz w:val="18"/>
              </w:rPr>
              <w:t>Percent of LA peak</w:t>
            </w:r>
          </w:p>
        </w:tc>
        <w:tc>
          <w:tcPr>
            <w:tcW w:type="dxa" w:w="1728"/>
          </w:tcPr>
          <w:p>
            <w:pPr>
              <w:spacing w:after="20" w:before="20"/>
              <w:jc w:val="right"/>
            </w:pPr>
            <w:r>
              <w:rPr>
                <w:b/>
                <w:color w:val="1B2230"/>
                <w:sz w:val="18"/>
              </w:rPr>
              <w:t>Stable</w:t>
            </w:r>
          </w:p>
        </w:tc>
      </w:tr>
      <w:tr>
        <w:tc>
          <w:tcPr>
            <w:tcW w:type="dxa" w:w="1440"/>
          </w:tcPr>
          <w:p>
            <w:pPr>
              <w:spacing w:after="20" w:before="20"/>
            </w:pPr>
            <w:r>
              <w:rPr>
                <w:b w:val="0"/>
                <w:color w:val="1B2230"/>
                <w:sz w:val="18"/>
              </w:rPr>
              <w:t>April</w:t>
            </w:r>
          </w:p>
        </w:tc>
        <w:tc>
          <w:tcPr>
            <w:tcW w:type="dxa" w:w="1656"/>
          </w:tcPr>
          <w:p>
            <w:pPr>
              <w:spacing w:after="20" w:before="20"/>
              <w:jc w:val="right"/>
            </w:pPr>
            <w:r>
              <w:rPr>
                <w:b w:val="0"/>
                <w:color w:val="1B2230"/>
                <w:sz w:val="18"/>
              </w:rPr>
              <w:t>0.344</w:t>
            </w:r>
          </w:p>
        </w:tc>
        <w:tc>
          <w:tcPr>
            <w:tcW w:type="dxa" w:w="2160"/>
          </w:tcPr>
          <w:p>
            <w:pPr>
              <w:spacing w:after="20" w:before="20"/>
              <w:jc w:val="right"/>
            </w:pPr>
            <w:r>
              <w:rPr>
                <w:b w:val="0"/>
                <w:color w:val="1B2230"/>
                <w:sz w:val="18"/>
              </w:rPr>
              <w:t>100.0%</w:t>
            </w:r>
          </w:p>
        </w:tc>
        <w:tc>
          <w:tcPr>
            <w:tcW w:type="dxa" w:w="1728"/>
          </w:tcPr>
          <w:p>
            <w:pPr>
              <w:spacing w:after="20" w:before="20"/>
              <w:jc w:val="right"/>
            </w:pPr>
            <w:r>
              <w:rPr>
                <w:b w:val="0"/>
                <w:color w:val="1B2230"/>
                <w:sz w:val="18"/>
              </w:rPr>
              <w:t>yes, peak</w:t>
            </w:r>
          </w:p>
        </w:tc>
      </w:tr>
      <w:tr>
        <w:tc>
          <w:tcPr>
            <w:tcW w:type="dxa" w:w="1440"/>
          </w:tcPr>
          <w:p>
            <w:pPr>
              <w:spacing w:after="20" w:before="20"/>
            </w:pPr>
            <w:r>
              <w:rPr>
                <w:b w:val="0"/>
                <w:color w:val="1B2230"/>
                <w:sz w:val="18"/>
              </w:rPr>
              <w:t>May</w:t>
            </w:r>
          </w:p>
        </w:tc>
        <w:tc>
          <w:tcPr>
            <w:tcW w:type="dxa" w:w="1656"/>
          </w:tcPr>
          <w:p>
            <w:pPr>
              <w:spacing w:after="20" w:before="20"/>
              <w:jc w:val="right"/>
            </w:pPr>
            <w:r>
              <w:rPr>
                <w:b w:val="0"/>
                <w:color w:val="1B2230"/>
                <w:sz w:val="18"/>
              </w:rPr>
              <w:t>0.339</w:t>
            </w:r>
          </w:p>
        </w:tc>
        <w:tc>
          <w:tcPr>
            <w:tcW w:type="dxa" w:w="2160"/>
          </w:tcPr>
          <w:p>
            <w:pPr>
              <w:spacing w:after="20" w:before="20"/>
              <w:jc w:val="right"/>
            </w:pPr>
            <w:r>
              <w:rPr>
                <w:b w:val="0"/>
                <w:color w:val="1B2230"/>
                <w:sz w:val="18"/>
              </w:rPr>
              <w:t>98.4%</w:t>
            </w:r>
          </w:p>
        </w:tc>
        <w:tc>
          <w:tcPr>
            <w:tcW w:type="dxa" w:w="1728"/>
          </w:tcPr>
          <w:p>
            <w:pPr>
              <w:spacing w:after="20" w:before="20"/>
              <w:jc w:val="right"/>
            </w:pPr>
            <w:r>
              <w:rPr>
                <w:b w:val="0"/>
                <w:color w:val="1B2230"/>
                <w:sz w:val="18"/>
              </w:rPr>
              <w:t>yes</w:t>
            </w:r>
          </w:p>
        </w:tc>
      </w:tr>
      <w:tr>
        <w:tc>
          <w:tcPr>
            <w:tcW w:type="dxa" w:w="1440"/>
          </w:tcPr>
          <w:p>
            <w:pPr>
              <w:spacing w:after="20" w:before="20"/>
            </w:pPr>
            <w:r>
              <w:rPr>
                <w:b w:val="0"/>
                <w:color w:val="1B2230"/>
                <w:sz w:val="18"/>
              </w:rPr>
              <w:t>June</w:t>
            </w:r>
          </w:p>
        </w:tc>
        <w:tc>
          <w:tcPr>
            <w:tcW w:type="dxa" w:w="1656"/>
          </w:tcPr>
          <w:p>
            <w:pPr>
              <w:spacing w:after="20" w:before="20"/>
              <w:jc w:val="right"/>
            </w:pPr>
            <w:r>
              <w:rPr>
                <w:b w:val="0"/>
                <w:color w:val="1B2230"/>
                <w:sz w:val="18"/>
              </w:rPr>
              <w:t>0.327</w:t>
            </w:r>
          </w:p>
        </w:tc>
        <w:tc>
          <w:tcPr>
            <w:tcW w:type="dxa" w:w="2160"/>
          </w:tcPr>
          <w:p>
            <w:pPr>
              <w:spacing w:after="20" w:before="20"/>
              <w:jc w:val="right"/>
            </w:pPr>
            <w:r>
              <w:rPr>
                <w:b w:val="0"/>
                <w:color w:val="1B2230"/>
                <w:sz w:val="18"/>
              </w:rPr>
              <w:t>94.9%</w:t>
            </w:r>
          </w:p>
        </w:tc>
        <w:tc>
          <w:tcPr>
            <w:tcW w:type="dxa" w:w="1728"/>
          </w:tcPr>
          <w:p>
            <w:pPr>
              <w:spacing w:after="20" w:before="20"/>
              <w:jc w:val="right"/>
            </w:pPr>
            <w:r>
              <w:rPr>
                <w:b w:val="0"/>
                <w:color w:val="1B2230"/>
                <w:sz w:val="18"/>
              </w:rPr>
              <w:t>yes</w:t>
            </w:r>
          </w:p>
        </w:tc>
      </w:tr>
      <w:tr>
        <w:tc>
          <w:tcPr>
            <w:tcW w:type="dxa" w:w="1440"/>
          </w:tcPr>
          <w:p>
            <w:pPr>
              <w:spacing w:after="20" w:before="20"/>
            </w:pPr>
            <w:r>
              <w:rPr>
                <w:b w:val="0"/>
                <w:color w:val="1B2230"/>
                <w:sz w:val="18"/>
              </w:rPr>
              <w:t>July</w:t>
            </w:r>
          </w:p>
        </w:tc>
        <w:tc>
          <w:tcPr>
            <w:tcW w:type="dxa" w:w="1656"/>
          </w:tcPr>
          <w:p>
            <w:pPr>
              <w:spacing w:after="20" w:before="20"/>
              <w:jc w:val="right"/>
            </w:pPr>
            <w:r>
              <w:rPr>
                <w:b w:val="0"/>
                <w:color w:val="1B2230"/>
                <w:sz w:val="18"/>
              </w:rPr>
              <w:t>0.309</w:t>
            </w:r>
          </w:p>
        </w:tc>
        <w:tc>
          <w:tcPr>
            <w:tcW w:type="dxa" w:w="2160"/>
          </w:tcPr>
          <w:p>
            <w:pPr>
              <w:spacing w:after="20" w:before="20"/>
              <w:jc w:val="right"/>
            </w:pPr>
            <w:r>
              <w:rPr>
                <w:b w:val="0"/>
                <w:color w:val="1B2230"/>
                <w:sz w:val="18"/>
              </w:rPr>
              <w:t>89.6%</w:t>
            </w:r>
          </w:p>
        </w:tc>
        <w:tc>
          <w:tcPr>
            <w:tcW w:type="dxa" w:w="1728"/>
          </w:tcPr>
          <w:p>
            <w:pPr>
              <w:spacing w:after="20" w:before="20"/>
              <w:jc w:val="right"/>
            </w:pPr>
            <w:r>
              <w:rPr>
                <w:b w:val="0"/>
                <w:color w:val="1B2230"/>
                <w:sz w:val="18"/>
              </w:rPr>
              <w:t>no</w:t>
            </w:r>
          </w:p>
        </w:tc>
      </w:tr>
      <w:tr>
        <w:tc>
          <w:tcPr>
            <w:tcW w:type="dxa" w:w="1440"/>
          </w:tcPr>
          <w:p>
            <w:pPr>
              <w:spacing w:after="20" w:before="20"/>
            </w:pPr>
            <w:r>
              <w:rPr>
                <w:b w:val="0"/>
                <w:color w:val="1B2230"/>
                <w:sz w:val="18"/>
              </w:rPr>
              <w:t>August</w:t>
            </w:r>
          </w:p>
        </w:tc>
        <w:tc>
          <w:tcPr>
            <w:tcW w:type="dxa" w:w="1656"/>
          </w:tcPr>
          <w:p>
            <w:pPr>
              <w:spacing w:after="20" w:before="20"/>
              <w:jc w:val="right"/>
            </w:pPr>
            <w:r>
              <w:rPr>
                <w:b w:val="0"/>
                <w:color w:val="1B2230"/>
                <w:sz w:val="18"/>
              </w:rPr>
              <w:t>0.301</w:t>
            </w:r>
          </w:p>
        </w:tc>
        <w:tc>
          <w:tcPr>
            <w:tcW w:type="dxa" w:w="2160"/>
          </w:tcPr>
          <w:p>
            <w:pPr>
              <w:spacing w:after="20" w:before="20"/>
              <w:jc w:val="right"/>
            </w:pPr>
            <w:r>
              <w:rPr>
                <w:b w:val="0"/>
                <w:color w:val="1B2230"/>
                <w:sz w:val="18"/>
              </w:rPr>
              <w:t>87.5%</w:t>
            </w:r>
          </w:p>
        </w:tc>
        <w:tc>
          <w:tcPr>
            <w:tcW w:type="dxa" w:w="1728"/>
          </w:tcPr>
          <w:p>
            <w:pPr>
              <w:spacing w:after="20" w:before="20"/>
              <w:jc w:val="right"/>
            </w:pPr>
            <w:r>
              <w:rPr>
                <w:b w:val="0"/>
                <w:color w:val="1B2230"/>
                <w:sz w:val="18"/>
              </w:rPr>
              <w:t>no</w:t>
            </w:r>
          </w:p>
        </w:tc>
      </w:tr>
      <w:tr>
        <w:tc>
          <w:tcPr>
            <w:tcW w:type="dxa" w:w="1440"/>
          </w:tcPr>
          <w:p>
            <w:pPr>
              <w:spacing w:after="20" w:before="20"/>
            </w:pPr>
            <w:r>
              <w:rPr>
                <w:b w:val="0"/>
                <w:color w:val="1B2230"/>
                <w:sz w:val="18"/>
              </w:rPr>
              <w:t>September</w:t>
            </w:r>
          </w:p>
        </w:tc>
        <w:tc>
          <w:tcPr>
            <w:tcW w:type="dxa" w:w="1656"/>
          </w:tcPr>
          <w:p>
            <w:pPr>
              <w:spacing w:after="20" w:before="20"/>
              <w:jc w:val="right"/>
            </w:pPr>
            <w:r>
              <w:rPr>
                <w:b w:val="0"/>
                <w:color w:val="1B2230"/>
                <w:sz w:val="18"/>
              </w:rPr>
              <w:t>0.295</w:t>
            </w:r>
          </w:p>
        </w:tc>
        <w:tc>
          <w:tcPr>
            <w:tcW w:type="dxa" w:w="2160"/>
          </w:tcPr>
          <w:p>
            <w:pPr>
              <w:spacing w:after="20" w:before="20"/>
              <w:jc w:val="right"/>
            </w:pPr>
            <w:r>
              <w:rPr>
                <w:b w:val="0"/>
                <w:color w:val="1B2230"/>
                <w:sz w:val="18"/>
              </w:rPr>
              <w:t>85.8%</w:t>
            </w:r>
          </w:p>
        </w:tc>
        <w:tc>
          <w:tcPr>
            <w:tcW w:type="dxa" w:w="1728"/>
          </w:tcPr>
          <w:p>
            <w:pPr>
              <w:spacing w:after="20" w:before="20"/>
              <w:jc w:val="right"/>
            </w:pPr>
            <w:r>
              <w:rPr>
                <w:b w:val="0"/>
                <w:color w:val="1B2230"/>
                <w:sz w:val="18"/>
              </w:rPr>
              <w:t>no</w:t>
            </w:r>
          </w:p>
        </w:tc>
      </w:tr>
      <w:tr>
        <w:tc>
          <w:tcPr>
            <w:tcW w:type="dxa" w:w="1440"/>
          </w:tcPr>
          <w:p>
            <w:pPr>
              <w:spacing w:after="20" w:before="20"/>
            </w:pPr>
            <w:r>
              <w:rPr>
                <w:b w:val="0"/>
                <w:color w:val="1B2230"/>
                <w:sz w:val="18"/>
              </w:rPr>
              <w:t>October</w:t>
            </w:r>
          </w:p>
        </w:tc>
        <w:tc>
          <w:tcPr>
            <w:tcW w:type="dxa" w:w="1656"/>
          </w:tcPr>
          <w:p>
            <w:pPr>
              <w:spacing w:after="20" w:before="20"/>
              <w:jc w:val="right"/>
            </w:pPr>
            <w:r>
              <w:rPr>
                <w:b w:val="0"/>
                <w:color w:val="1B2230"/>
                <w:sz w:val="18"/>
              </w:rPr>
              <w:t>0.294</w:t>
            </w:r>
          </w:p>
        </w:tc>
        <w:tc>
          <w:tcPr>
            <w:tcW w:type="dxa" w:w="2160"/>
          </w:tcPr>
          <w:p>
            <w:pPr>
              <w:spacing w:after="20" w:before="20"/>
              <w:jc w:val="right"/>
            </w:pPr>
            <w:r>
              <w:rPr>
                <w:b w:val="0"/>
                <w:color w:val="1B2230"/>
                <w:sz w:val="18"/>
              </w:rPr>
              <w:t>85.4%</w:t>
            </w:r>
          </w:p>
        </w:tc>
        <w:tc>
          <w:tcPr>
            <w:tcW w:type="dxa" w:w="1728"/>
          </w:tcPr>
          <w:p>
            <w:pPr>
              <w:spacing w:after="20" w:before="20"/>
              <w:jc w:val="right"/>
            </w:pPr>
            <w:r>
              <w:rPr>
                <w:b w:val="0"/>
                <w:color w:val="1B2230"/>
                <w:sz w:val="18"/>
              </w:rPr>
              <w:t>no</w:t>
            </w:r>
          </w:p>
        </w:tc>
      </w:tr>
    </w:tbl>
    <w:p>
      <w:pPr>
        <w:spacing w:after="40"/>
      </w:pPr>
    </w:p>
    <w:p>
      <w:pPr>
        <w:spacing w:before="0" w:after="100"/>
      </w:pPr>
      <w:r>
        <w:rPr>
          <w:b w:val="0"/>
          <w:i w:val="0"/>
          <w:color w:val="1B2230"/>
          <w:sz w:val="20"/>
        </w:rPr>
        <w:t>July misses by four tenths of a percentage point, but August and September miss clearly, so relaxing the bar would only change which month fails. Compare the peak months: Atlanta peaks in July at 0.748, Minneapolis in July at 0.687, Denver in June at 0.424. Those three are summer-peaking, so June to September genuinely is their stable window. Los Angeles and Sacramento peak in April. Sacramento is worse than LA, sitting at 76 to 79 percent of its peak all summer.</w:t>
      </w:r>
    </w:p>
    <w:p>
      <w:pPr>
        <w:spacing w:before="0" w:after="100"/>
      </w:pPr>
      <w:r>
        <w:rPr>
          <w:b w:val="0"/>
          <w:i w:val="0"/>
          <w:color w:val="1B2230"/>
          <w:sz w:val="20"/>
        </w:rPr>
        <w:t>The part I would raise with you is the October candidate. You proposed a Mediterranean October precisely because it should produce the missing corner: demand has fallen but the accumulated balance is near its annual floor after five rainless months. The hydroclimatic reasoning is right. The problem is that five rainless months is also what browns out the canopy, and LA sits at 85.4 percent of peak in October. The condition that creates the corner we need is the same condition that breaks phenological stability. I do not think you can have both in that climate.</w:t>
      </w:r>
    </w:p>
    <w:p>
      <w:pPr>
        <w:spacing w:before="0" w:after="100"/>
      </w:pPr>
      <w:r>
        <w:rPr>
          <w:b w:val="0"/>
          <w:i w:val="0"/>
          <w:color w:val="1B2230"/>
          <w:sz w:val="20"/>
        </w:rPr>
        <w:t>Miami is a different failure. It did not fail the fraction test, it could not be evaluated at all: only one usable year in July, one in August, five in September, against the seven-year requirement. It is too cloudy for MODIS to build clean monthly composites, so its status is incomplete rather than fail. Los Angeles was also already the weakest city on the water axis, with 44 of its 48 passes right-censored on days since meaningful rain at 30 days, because it does not rain there in summer.</w:t>
      </w:r>
    </w:p>
    <w:p>
      <w:pPr>
        <w:spacing w:before="220" w:after="60"/>
      </w:pPr>
      <w:r>
        <w:rPr>
          <w:b/>
          <w:i w:val="0"/>
          <w:color w:val="1B2230"/>
          <w:sz w:val="24"/>
        </w:rPr>
        <w:t>Two things I want to flag against myself</w:t>
      </w:r>
    </w:p>
    <w:p>
      <w:pPr>
        <w:spacing w:before="0" w:after="100"/>
      </w:pPr>
      <w:r>
        <w:rPr>
          <w:b w:val="0"/>
          <w:i w:val="0"/>
          <w:color w:val="1B2230"/>
          <w:sz w:val="20"/>
        </w:rPr>
        <w:t>The independent verification is a script that imports none of the pipeline code, and it passes all ten known-answer checks: VPD from temperature and dewpoint with units, solar position against the published NREL reference to eight decimals, zero same-day leakage across all 219 rolling windows, cloud and fill semantics, tile-to-pass deduplication, and the sign and units of precipitation, ET0 and water balance. But I wrote the script. It is not a second person. If you want that to be real independence, tell me who should do it.</w:t>
      </w:r>
    </w:p>
    <w:p>
      <w:pPr>
        <w:spacing w:before="0" w:after="100"/>
      </w:pPr>
      <w:r>
        <w:rPr>
          <w:b w:val="0"/>
          <w:i w:val="0"/>
          <w:color w:val="1B2230"/>
          <w:sz w:val="20"/>
        </w:rPr>
        <w:t>On Miami, since it is the obvious objection. The guide asks for five cities and never names any of them, and the older four-city plan was Phoenix, Los Angeles, Atlanta and Minneapolis. Miami took the fifth slot for humid contrast. It returned the fewest passes of any city, 16, and contributed nothing at all to the empty corner. I checked whether removing it changes the result and it does not: the low-demand dry cell is 8 physical passes and 0.5527 pass-equivalents with or without it. Denver is the only city in the set that produces any low-demand dry passes at all, which is the point you were making.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B22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