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200"/>
      </w:pPr>
      <w:r>
        <w:rPr>
          <w:rFonts w:ascii="Calibri" w:hAnsi="Calibri"/>
          <w:b/>
          <w:color w:val="2E74B5"/>
          <w:sz w:val="22"/>
        </w:rPr>
        <w:t>URBAN TREE COOLING STUDY</w:t>
      </w:r>
    </w:p>
    <w:p>
      <w:pPr>
        <w:spacing w:after="160"/>
      </w:pPr>
      <w:r>
        <w:rPr>
          <w:rFonts w:ascii="Calibri" w:hAnsi="Calibri"/>
          <w:b/>
          <w:color w:val="1F4D78"/>
          <w:sz w:val="56"/>
        </w:rPr>
        <w:t>Progress, Deliverables,</w:t>
        <w:br/>
        <w:t>and Key Results</w:t>
      </w:r>
    </w:p>
    <w:p>
      <w:pPr>
        <w:spacing w:after="520"/>
      </w:pPr>
      <w:r>
        <w:rPr>
          <w:rFonts w:ascii="Calibri" w:hAnsi="Calibri"/>
          <w:color w:val="5B6573"/>
          <w:sz w:val="32"/>
        </w:rPr>
        <w:t>Professor Review Report</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DECEC"/>
            <w:tcBorders>
              <w:top w:val="single" w:sz="12" w:color="A61B1B"/>
              <w:left w:val="single" w:sz="12" w:color="A61B1B"/>
              <w:bottom w:val="single" w:sz="12" w:color="A61B1B"/>
              <w:right w:val="single" w:sz="12" w:color="A61B1B"/>
            </w:tcBorders>
          </w:tcPr>
          <w:p>
            <w:pPr>
              <w:spacing w:after="60"/>
            </w:pPr>
            <w:r>
              <w:rPr>
                <w:rFonts w:ascii="Calibri" w:hAnsi="Calibri"/>
                <w:b/>
                <w:color w:val="A61B1B"/>
                <w:sz w:val="23"/>
              </w:rPr>
              <w:t>Canonical scientific status: STOP — feasibility chain complete, outcome negative</w:t>
            </w:r>
          </w:p>
          <w:p>
            <w:pPr>
              <w:spacing w:after="0" w:line="264" w:lineRule="auto"/>
            </w:pPr>
            <w:r>
              <w:rPr>
                <w:rFonts w:ascii="Calibri" w:hAnsi="Calibri"/>
                <w:color w:val="1A1A1A"/>
                <w:sz w:val="21"/>
              </w:rPr>
              <w:t>The five-city feasibility chain is now finished end to end: Step 1, the full 911/911 geometry census, exhaustive cloud screening, exact-acquisition HRRR, definitive Step 2, and a definitive time-of-day Step 3. Two frozen gates returned STOP — the demand-by-dryness interaction is not estimable, and the time-of-day contrast is not adequately powered. No ECOSTRESS land-surface-temperature or thermal outcome was opened, no real held-out city was selected, and no 2026 observation was opened. Steps 4–14 remain workflow demonstrations.</w:t>
            </w:r>
          </w:p>
        </w:tc>
      </w:tr>
    </w:tbl>
    <w:p>
      <w:pPr>
        <w:spacing w:after="0"/>
      </w:pPr>
    </w:p>
    <w:p>
      <w:pPr>
        <w:spacing w:before="440" w:after="80"/>
      </w:pPr>
      <w:r>
        <w:rPr>
          <w:rFonts w:ascii="Calibri" w:hAnsi="Calibri"/>
          <w:b/>
          <w:color w:val="5B6573"/>
          <w:sz w:val="22"/>
        </w:rPr>
        <w:t>Prepared for academic review</w:t>
      </w:r>
    </w:p>
    <w:p>
      <w:pPr>
        <w:spacing w:after="60"/>
      </w:pPr>
      <w:r>
        <w:rPr>
          <w:rFonts w:ascii="Calibri" w:hAnsi="Calibri"/>
          <w:color w:val="5B6573"/>
          <w:sz w:val="21"/>
        </w:rPr>
        <w:t>Report date: 6 August 2026  |  Version 2.0 — supersedes v1.0 (partial-geometry state)</w:t>
      </w:r>
    </w:p>
    <w:p>
      <w:pPr>
        <w:spacing w:after="60"/>
      </w:pPr>
      <w:r>
        <w:rPr>
          <w:rFonts w:ascii="Calibri" w:hAnsi="Calibri"/>
          <w:color w:val="5B6573"/>
          <w:sz w:val="21"/>
        </w:rPr>
        <w:t>Evidence window: summers 2018–2025; 2026 remains sealed</w:t>
      </w:r>
    </w:p>
    <w:p>
      <w:pPr>
        <w:spacing w:before="320" w:after="0"/>
      </w:pPr>
      <w:r>
        <w:rPr>
          <w:rFonts w:ascii="Calibri" w:hAnsi="Calibri"/>
          <w:i/>
          <w:color w:val="5B6573"/>
          <w:sz w:val="19"/>
        </w:rPr>
        <w:t>Prepared from the frozen requirements, append-only decision log, Task 1 gate record, output manifests, and verified deliverables.</w:t>
      </w:r>
    </w:p>
    <w:p>
      <w:pPr>
        <w:pageBreakBefore/>
        <w:spacing w:before="0" w:after="0"/>
      </w:pPr>
    </w:p>
    <w:p>
      <w:pPr>
        <w:spacing w:before="0" w:after="100"/>
      </w:pPr>
      <w:r>
        <w:rPr>
          <w:rFonts w:ascii="Calibri" w:hAnsi="Calibri"/>
          <w:b/>
          <w:smallCaps/>
          <w:color w:val="2E74B5"/>
          <w:sz w:val="18"/>
        </w:rPr>
        <w:t>EXECUTIVE SUMMARY</w:t>
      </w:r>
    </w:p>
    <w:p>
      <w:pPr>
        <w:pStyle w:val="Heading1"/>
        <w:keepNext/>
      </w:pPr>
      <w:r>
        <w:t>What has been accomplished</w:t>
      </w:r>
    </w:p>
    <w:p>
      <w:pPr>
        <w:keepLines w:val="0"/>
        <w:spacing w:after="120" w:line="264" w:lineRule="auto"/>
      </w:pPr>
      <w:r>
        <w:rPr>
          <w:rFonts w:ascii="Calibri" w:hAnsi="Calibri"/>
          <w:color w:val="1A1A1A"/>
          <w:sz w:val="22"/>
        </w:rPr>
        <w:t>A reproducible five-city v2 study framework was built from the original step-by-step guide, and the entire pre-thermal feasibility chain has now been run on real data. Task 0 is complete; Step 1 is complete; Step 2 is complete through definitive geometry, cloud, exact-acquisition weather, and the final gate; Step 3 has a definitive time-of-day simulation; and every later guide deliverable was demonstrated in a strictly separated synthetic package.</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2F8"/>
            <w:tcBorders>
              <w:top w:val="single" w:sz="12" w:color="2E74B5"/>
              <w:left w:val="single" w:sz="12" w:color="2E74B5"/>
              <w:bottom w:val="single" w:sz="12" w:color="2E74B5"/>
              <w:right w:val="single" w:sz="12" w:color="2E74B5"/>
            </w:tcBorders>
          </w:tcPr>
          <w:p>
            <w:pPr>
              <w:spacing w:after="60"/>
            </w:pPr>
            <w:r>
              <w:rPr>
                <w:rFonts w:ascii="Calibri" w:hAnsi="Calibri"/>
                <w:b/>
                <w:color w:val="1F4D78"/>
                <w:sz w:val="23"/>
              </w:rPr>
              <w:t>Bottom line for scientific interpretation</w:t>
            </w:r>
          </w:p>
          <w:p>
            <w:pPr>
              <w:spacing w:after="0" w:line="264" w:lineRule="auto"/>
            </w:pPr>
            <w:r>
              <w:rPr>
                <w:rFonts w:ascii="Calibri" w:hAnsi="Calibri"/>
                <w:color w:val="1A1A1A"/>
                <w:sz w:val="21"/>
              </w:rPr>
              <w:t>The project contains no empirical estimate of urban tree cooling, and under the current design it cannot produce a defensible one. That conclusion is now a completed measurement rather than an open question. Two independent frozen gates failed: the demand-by-dryness interaction lacks the observations needed to identify it, and the time-of-day contrast is confounded with solar geometry severely enough that additional passes do not fix it. The scientific contribution presently available is a quantified sampling-and-identifiability finding for clear-sky thermal remote sensing.</w:t>
            </w:r>
          </w:p>
        </w:tc>
      </w:tr>
    </w:tbl>
    <w:p>
      <w:pPr>
        <w:spacing w:after="0"/>
      </w:pPr>
    </w:p>
    <w:p>
      <w:pPr>
        <w:pStyle w:val="Heading2"/>
        <w:keepNext/>
      </w:pPr>
      <w:r>
        <w:t>Key verified results</w:t>
      </w:r>
    </w:p>
    <w:p>
      <w:pPr>
        <w:numPr>
          <w:ilvl w:val="0"/>
          <w:numId w:val="10"/>
        </w:numPr>
        <w:spacing w:after="160" w:line="280" w:lineRule="auto"/>
        <w:ind w:left="720" w:hanging="360"/>
      </w:pPr>
      <w:r>
        <w:rPr>
          <w:rFonts w:ascii="Calibri" w:hAnsi="Calibri"/>
          <w:color w:val="1A1A1A"/>
          <w:sz w:val="22"/>
        </w:rPr>
        <w:t>Only Los Angeles and Minneapolis–St. Paul met the predeclared within-city support screen. The Step 1 decision is cross_city_separation_only, not a within-city interaction claim.</w:t>
      </w:r>
    </w:p>
    <w:p>
      <w:pPr>
        <w:numPr>
          <w:ilvl w:val="0"/>
          <w:numId w:val="10"/>
        </w:numPr>
        <w:spacing w:after="160" w:line="280" w:lineRule="auto"/>
        <w:ind w:left="720" w:hanging="360"/>
      </w:pPr>
      <w:r>
        <w:rPr>
          <w:rFonts w:ascii="Calibri" w:hAnsi="Calibri"/>
          <w:color w:val="1A1A1A"/>
          <w:sz w:val="22"/>
        </w:rPr>
        <w:t>Clear-sky availability is highly uneven: 68 of 976 summer days in Miami versus 697 of 976 in Phoenix. This sampling changes the diagnostic corner support directly.</w:t>
      </w:r>
    </w:p>
    <w:p>
      <w:pPr>
        <w:numPr>
          <w:ilvl w:val="0"/>
          <w:numId w:val="10"/>
        </w:numPr>
        <w:spacing w:after="160" w:line="280" w:lineRule="auto"/>
        <w:ind w:left="720" w:hanging="360"/>
      </w:pPr>
      <w:r>
        <w:rPr>
          <w:rFonts w:ascii="Calibri" w:hAnsi="Calibri"/>
          <w:color w:val="1A1A1A"/>
          <w:sz w:val="22"/>
        </w:rPr>
        <w:t>The real ECOSTRESS catalogue contains 2,968 unique physical city-orbit passes and a 1,055-pass daytime ceiling. Cloud-independent geometry then completed for all 911 archive-available candidates with zero unresolved, yielding 219 near-nadir passes and 159.087 cloud-weighted expected pass-equivalents.</w:t>
      </w:r>
    </w:p>
    <w:p>
      <w:pPr>
        <w:numPr>
          <w:ilvl w:val="0"/>
          <w:numId w:val="10"/>
        </w:numPr>
        <w:spacing w:after="160" w:line="280" w:lineRule="auto"/>
        <w:ind w:left="720" w:hanging="360"/>
      </w:pPr>
      <w:r>
        <w:rPr>
          <w:rFonts w:ascii="Calibri" w:hAnsi="Calibri"/>
          <w:color w:val="1A1A1A"/>
          <w:sz w:val="22"/>
        </w:rPr>
        <w:t>Definitive Step 2 passes all six implementation and data-integrity checks, but fails the frozen count-support gate: the low-demand/dry condition cell holds 0.553 expected pass-equivalents against a required minimum of 10. The demand-by-dryness interaction is therefore not estimable, and no transition-threshold claim is available.</w:t>
      </w:r>
    </w:p>
    <w:p>
      <w:pPr>
        <w:numPr>
          <w:ilvl w:val="0"/>
          <w:numId w:val="10"/>
        </w:numPr>
        <w:spacing w:after="160" w:line="280" w:lineRule="auto"/>
        <w:ind w:left="720" w:hanging="360"/>
      </w:pPr>
      <w:r>
        <w:rPr>
          <w:rFonts w:ascii="Calibri" w:hAnsi="Calibri"/>
          <w:color w:val="1A1A1A"/>
          <w:sz w:val="22"/>
        </w:rPr>
        <w:t>With the interaction dropped, time-of-day dependence became the sole primary objective. Its definitive simulation returns 0.110 power for the frozen 1.50 K contrast against a 0.80 requirement, and 0.100–0.145 under every permitted leave-one-city-out. The late-afternoon indicator is 99.42% predictable from the prespecified adjustment design (VIF 173.4), so an 800-pass panel still reaches only 0.395.</w:t>
      </w:r>
    </w:p>
    <w:p>
      <w:pPr>
        <w:numPr>
          <w:ilvl w:val="0"/>
          <w:numId w:val="10"/>
        </w:numPr>
        <w:spacing w:after="160" w:line="280" w:lineRule="auto"/>
        <w:ind w:left="720" w:hanging="360"/>
      </w:pPr>
      <w:r>
        <w:rPr>
          <w:rFonts w:ascii="Calibri" w:hAnsi="Calibri"/>
          <w:color w:val="1A1A1A"/>
          <w:sz w:val="22"/>
        </w:rPr>
        <w:t>No LST/thermal result, holdout result, or 2026 result exists. Any cooling curves, interaction surfaces, placebos, or robustness numbers in the Steps 3–14 package are synthetic demonstrations.</w:t>
      </w:r>
    </w:p>
    <w:p>
      <w:pPr>
        <w:pStyle w:val="Heading2"/>
        <w:keepNext/>
      </w:pPr>
      <w:r>
        <w:t>Evidence labels used throughout</w:t>
      </w:r>
    </w:p>
    <w:tbl>
      <w:tblPr>
        <w:tblStyle w:val="TableGrid"/>
        <w:tblW w:type="dxa" w:w="9360"/>
        <w:jc w:val="center"/>
        <w:tblLayout w:type="fixed"/>
        <w:tblLook w:firstColumn="1" w:firstRow="1" w:lastColumn="0" w:lastRow="0" w:noHBand="0" w:noVBand="1" w:val="04A0"/>
        <w:tblInd w:w="120" w:type="dxa"/>
      </w:tblPr>
      <w:tblGrid>
        <w:gridCol w:w="1600"/>
        <w:gridCol w:w="4800"/>
        <w:gridCol w:w="2960"/>
      </w:tblGrid>
      <w:tr>
        <w:trPr>
          <w:tblHeader w:val="true"/>
        </w:trPr>
        <w:tc>
          <w:tcPr>
            <w:tcW w:type="dxa" w:w="160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7"/>
              </w:rPr>
              <w:t>Label</w:t>
            </w:r>
          </w:p>
        </w:tc>
        <w:tc>
          <w:tcPr>
            <w:tcW w:type="dxa" w:w="480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7"/>
              </w:rPr>
              <w:t>Meaning</w:t>
            </w:r>
          </w:p>
        </w:tc>
        <w:tc>
          <w:tcPr>
            <w:tcW w:type="dxa" w:w="296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7"/>
              </w:rPr>
              <w:t>May support a scientific finding?</w:t>
            </w:r>
          </w:p>
        </w:tc>
      </w:tr>
      <w:tr>
        <w:tc>
          <w:tcPr>
            <w:tcW w:type="dxa" w:w="1600"/>
            <w:shd w:fill="E9F5EE"/>
          </w:tcPr>
          <w:p>
            <w:pPr>
              <w:spacing w:before="0" w:after="0" w:line="240" w:lineRule="auto"/>
              <w:jc w:val="left"/>
            </w:pPr>
            <w:r/>
            <w:r>
              <w:rPr>
                <w:rFonts w:ascii="Calibri" w:hAnsi="Calibri"/>
                <w:b w:val="0"/>
                <w:color w:val="1A1A1A"/>
                <w:sz w:val="17"/>
              </w:rPr>
              <w:t>Canonical empirical</w:t>
            </w:r>
          </w:p>
        </w:tc>
        <w:tc>
          <w:tcPr>
            <w:tcW w:type="dxa" w:w="4800"/>
          </w:tcPr>
          <w:p>
            <w:pPr>
              <w:spacing w:before="0" w:after="0" w:line="240" w:lineRule="auto"/>
              <w:jc w:val="left"/>
            </w:pPr>
            <w:r/>
            <w:r>
              <w:rPr>
                <w:rFonts w:ascii="Calibri" w:hAnsi="Calibri"/>
                <w:b w:val="0"/>
                <w:color w:val="1A1A1A"/>
                <w:sz w:val="17"/>
              </w:rPr>
              <w:t>Real data; frozen rules; completed and checked</w:t>
            </w:r>
          </w:p>
        </w:tc>
        <w:tc>
          <w:tcPr>
            <w:tcW w:type="dxa" w:w="2960"/>
          </w:tcPr>
          <w:p>
            <w:pPr>
              <w:spacing w:before="0" w:after="0" w:line="240" w:lineRule="auto"/>
              <w:jc w:val="left"/>
            </w:pPr>
            <w:r/>
            <w:r>
              <w:rPr>
                <w:rFonts w:ascii="Calibri" w:hAnsi="Calibri"/>
                <w:b w:val="0"/>
                <w:color w:val="1A1A1A"/>
                <w:sz w:val="17"/>
              </w:rPr>
              <w:t>Yes, within the stated preliminary scope</w:t>
            </w:r>
          </w:p>
        </w:tc>
      </w:tr>
      <w:tr>
        <w:tc>
          <w:tcPr>
            <w:tcW w:type="dxa" w:w="1600"/>
            <w:shd w:fill="FFF4D6"/>
          </w:tcPr>
          <w:p>
            <w:pPr>
              <w:spacing w:before="0" w:after="0" w:line="240" w:lineRule="auto"/>
              <w:jc w:val="left"/>
            </w:pPr>
            <w:r/>
            <w:r>
              <w:rPr>
                <w:rFonts w:ascii="Calibri" w:hAnsi="Calibri"/>
                <w:b w:val="0"/>
                <w:color w:val="1A1A1A"/>
                <w:sz w:val="17"/>
              </w:rPr>
              <w:t>Empirical partial</w:t>
            </w:r>
          </w:p>
        </w:tc>
        <w:tc>
          <w:tcPr>
            <w:tcW w:type="dxa" w:w="4800"/>
          </w:tcPr>
          <w:p>
            <w:pPr>
              <w:spacing w:before="0" w:after="0" w:line="240" w:lineRule="auto"/>
              <w:jc w:val="left"/>
            </w:pPr>
            <w:r/>
            <w:r>
              <w:rPr>
                <w:rFonts w:ascii="Calibri" w:hAnsi="Calibri"/>
                <w:b w:val="0"/>
                <w:color w:val="1A1A1A"/>
                <w:sz w:val="17"/>
              </w:rPr>
              <w:t>Real nonthermal data or a durable processing checkpoint</w:t>
            </w:r>
          </w:p>
        </w:tc>
        <w:tc>
          <w:tcPr>
            <w:tcW w:type="dxa" w:w="2960"/>
          </w:tcPr>
          <w:p>
            <w:pPr>
              <w:spacing w:before="0" w:after="0" w:line="240" w:lineRule="auto"/>
              <w:jc w:val="left"/>
            </w:pPr>
            <w:r/>
            <w:r>
              <w:rPr>
                <w:rFonts w:ascii="Calibri" w:hAnsi="Calibri"/>
                <w:b w:val="0"/>
                <w:color w:val="1A1A1A"/>
                <w:sz w:val="17"/>
              </w:rPr>
              <w:t>Only for availability/process facts; not cooling</w:t>
            </w:r>
          </w:p>
        </w:tc>
      </w:tr>
      <w:tr>
        <w:tc>
          <w:tcPr>
            <w:tcW w:type="dxa" w:w="1600"/>
            <w:shd w:fill="FFF4D6"/>
          </w:tcPr>
          <w:p>
            <w:pPr>
              <w:spacing w:before="0" w:after="0" w:line="240" w:lineRule="auto"/>
              <w:jc w:val="left"/>
            </w:pPr>
            <w:r/>
            <w:r>
              <w:rPr>
                <w:rFonts w:ascii="Calibri" w:hAnsi="Calibri"/>
                <w:b w:val="0"/>
                <w:color w:val="1A1A1A"/>
                <w:sz w:val="17"/>
              </w:rPr>
              <w:t>Preliminary simulation</w:t>
            </w:r>
          </w:p>
        </w:tc>
        <w:tc>
          <w:tcPr>
            <w:tcW w:type="dxa" w:w="4800"/>
          </w:tcPr>
          <w:p>
            <w:pPr>
              <w:spacing w:before="0" w:after="0" w:line="240" w:lineRule="auto"/>
              <w:jc w:val="left"/>
            </w:pPr>
            <w:r/>
            <w:r>
              <w:rPr>
                <w:rFonts w:ascii="Calibri" w:hAnsi="Calibri"/>
                <w:b w:val="0"/>
                <w:color w:val="1A1A1A"/>
                <w:sz w:val="17"/>
              </w:rPr>
              <w:t>Code and planning validation using an uncertified count</w:t>
            </w:r>
          </w:p>
        </w:tc>
        <w:tc>
          <w:tcPr>
            <w:tcW w:type="dxa" w:w="2960"/>
          </w:tcPr>
          <w:p>
            <w:pPr>
              <w:spacing w:before="0" w:after="0" w:line="240" w:lineRule="auto"/>
              <w:jc w:val="left"/>
            </w:pPr>
            <w:r/>
            <w:r>
              <w:rPr>
                <w:rFonts w:ascii="Calibri" w:hAnsi="Calibri"/>
                <w:b w:val="0"/>
                <w:color w:val="1A1A1A"/>
                <w:sz w:val="17"/>
              </w:rPr>
              <w:t>No; planning evidence only</w:t>
            </w:r>
          </w:p>
        </w:tc>
      </w:tr>
      <w:tr>
        <w:tc>
          <w:tcPr>
            <w:tcW w:type="dxa" w:w="1600"/>
            <w:shd w:fill="FDECEC"/>
          </w:tcPr>
          <w:p>
            <w:pPr>
              <w:spacing w:before="0" w:after="0" w:line="240" w:lineRule="auto"/>
              <w:jc w:val="left"/>
            </w:pPr>
            <w:r/>
            <w:r>
              <w:rPr>
                <w:rFonts w:ascii="Calibri" w:hAnsi="Calibri"/>
                <w:b w:val="0"/>
                <w:color w:val="1A1A1A"/>
                <w:sz w:val="17"/>
              </w:rPr>
              <w:t>Synthetic demonstration</w:t>
            </w:r>
          </w:p>
        </w:tc>
        <w:tc>
          <w:tcPr>
            <w:tcW w:type="dxa" w:w="4800"/>
          </w:tcPr>
          <w:p>
            <w:pPr>
              <w:spacing w:before="0" w:after="0" w:line="240" w:lineRule="auto"/>
              <w:jc w:val="left"/>
            </w:pPr>
            <w:r/>
            <w:r>
              <w:rPr>
                <w:rFonts w:ascii="Calibri" w:hAnsi="Calibri"/>
                <w:b w:val="0"/>
                <w:color w:val="1A1A1A"/>
                <w:sz w:val="17"/>
              </w:rPr>
              <w:t>Deterministic fabricated inputs and visibly labelled outputs</w:t>
            </w:r>
          </w:p>
        </w:tc>
        <w:tc>
          <w:tcPr>
            <w:tcW w:type="dxa" w:w="2960"/>
          </w:tcPr>
          <w:p>
            <w:pPr>
              <w:spacing w:before="0" w:after="0" w:line="240" w:lineRule="auto"/>
              <w:jc w:val="left"/>
            </w:pPr>
            <w:r/>
            <w:r>
              <w:rPr>
                <w:rFonts w:ascii="Calibri" w:hAnsi="Calibri"/>
                <w:b w:val="0"/>
                <w:color w:val="1A1A1A"/>
                <w:sz w:val="17"/>
              </w:rPr>
              <w:t>No; schema/workflow demonstration only</w:t>
            </w:r>
          </w:p>
        </w:tc>
      </w:tr>
    </w:tbl>
    <w:p>
      <w:pPr>
        <w:spacing w:after="0"/>
      </w:pPr>
    </w:p>
    <w:p>
      <w:pPr>
        <w:pageBreakBefore/>
        <w:spacing w:before="0" w:after="0"/>
      </w:pPr>
    </w:p>
    <w:p>
      <w:pPr>
        <w:spacing w:before="0" w:after="100"/>
      </w:pPr>
      <w:r>
        <w:rPr>
          <w:rFonts w:ascii="Calibri" w:hAnsi="Calibri"/>
          <w:b/>
          <w:smallCaps/>
          <w:color w:val="2E74B5"/>
          <w:sz w:val="18"/>
        </w:rPr>
        <w:t>STUDY FOUNDATION</w:t>
      </w:r>
    </w:p>
    <w:p>
      <w:pPr>
        <w:pStyle w:val="Heading1"/>
        <w:keepNext/>
      </w:pPr>
      <w:r>
        <w:t>1. Study objective, scope, and guardrails</w:t>
      </w:r>
    </w:p>
    <w:p>
      <w:pPr>
        <w:keepLines w:val="0"/>
        <w:spacing w:after="120" w:line="264" w:lineRule="auto"/>
      </w:pPr>
      <w:r>
        <w:rPr>
          <w:rFonts w:ascii="Calibri" w:hAnsi="Calibri"/>
          <w:color w:val="1A1A1A"/>
          <w:sz w:val="22"/>
        </w:rPr>
        <w:t>The guide asks whether urban tree cooling depends on time of day and hydroclimatic context across Phoenix, Los Angeles, Atlanta, Minneapolis–St. Paul, and Miami. The v2 implementation translated the guide into a one-entry-per-deliverable specification, preserved the existing Phoenix pilot as a regression baseline, and created a separate analysis surface so legacy work was not overwritten.</w:t>
      </w:r>
    </w:p>
    <w:p>
      <w:pPr>
        <w:pStyle w:val="Heading2"/>
        <w:keepNext/>
      </w:pPr>
      <w:r>
        <w:t>Task 0 — specification and guardrails</w:t>
      </w:r>
    </w:p>
    <w:p>
      <w:pPr>
        <w:keepLines w:val="0"/>
        <w:spacing w:after="120" w:line="264" w:lineRule="auto"/>
      </w:pPr>
      <w:r>
        <w:rPr>
          <w:rFonts w:ascii="Calibri" w:hAnsi="Calibri"/>
          <w:color w:val="1A1A1A"/>
          <w:sz w:val="22"/>
        </w:rPr>
        <w:t>Task 0 is complete. It normalized 109 unique guide deliverable IDs, resolved duplicated/malformed rows in the source document without relaxing scientific requirements, established an append-only decision log, and froze the gates that prevent an incomplete feasibility audit from being mistaken for an outcome study.</w:t>
      </w:r>
    </w:p>
    <w:tbl>
      <w:tblPr>
        <w:tblStyle w:val="TableGrid"/>
        <w:tblW w:type="dxa" w:w="9360"/>
        <w:jc w:val="center"/>
        <w:tblLayout w:type="fixed"/>
        <w:tblLook w:firstColumn="1" w:firstRow="1" w:lastColumn="0" w:lastRow="0" w:noHBand="0" w:noVBand="1" w:val="04A0"/>
        <w:tblInd w:w="120" w:type="dxa"/>
      </w:tblPr>
      <w:tblGrid>
        <w:gridCol w:w="2200"/>
        <w:gridCol w:w="7160"/>
      </w:tblGrid>
      <w:tr>
        <w:trPr>
          <w:tblHeader w:val="true"/>
        </w:trPr>
        <w:tc>
          <w:tcPr>
            <w:tcW w:type="dxa" w:w="220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7"/>
              </w:rPr>
              <w:t>Frozen element</w:t>
            </w:r>
          </w:p>
        </w:tc>
        <w:tc>
          <w:tcPr>
            <w:tcW w:type="dxa" w:w="716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7"/>
              </w:rPr>
              <w:t>Implemented rule</w:t>
            </w:r>
          </w:p>
        </w:tc>
      </w:tr>
      <w:tr>
        <w:tc>
          <w:tcPr>
            <w:tcW w:type="dxa" w:w="2200"/>
          </w:tcPr>
          <w:p>
            <w:pPr>
              <w:spacing w:before="0" w:after="0" w:line="240" w:lineRule="auto"/>
              <w:jc w:val="left"/>
            </w:pPr>
            <w:r/>
            <w:r>
              <w:rPr>
                <w:rFonts w:ascii="Calibri" w:hAnsi="Calibri"/>
                <w:b w:val="0"/>
                <w:color w:val="1A1A1A"/>
                <w:sz w:val="17"/>
              </w:rPr>
              <w:t>Study domains</w:t>
            </w:r>
          </w:p>
        </w:tc>
        <w:tc>
          <w:tcPr>
            <w:tcW w:type="dxa" w:w="7160"/>
          </w:tcPr>
          <w:p>
            <w:pPr>
              <w:spacing w:before="0" w:after="0" w:line="240" w:lineRule="auto"/>
              <w:jc w:val="left"/>
            </w:pPr>
            <w:r/>
            <w:r>
              <w:rPr>
                <w:rFonts w:ascii="Calibri" w:hAnsi="Calibri"/>
                <w:b w:val="0"/>
                <w:color w:val="1A1A1A"/>
                <w:sz w:val="17"/>
              </w:rPr>
              <w:t>One consistent rule: 2020 Census Urban Areas for all five cities; source and analysis geometry hashes recorded.</w:t>
            </w:r>
          </w:p>
        </w:tc>
      </w:tr>
      <w:tr>
        <w:tc>
          <w:tcPr>
            <w:tcW w:type="dxa" w:w="2200"/>
          </w:tcPr>
          <w:p>
            <w:pPr>
              <w:spacing w:before="0" w:after="0" w:line="240" w:lineRule="auto"/>
              <w:jc w:val="left"/>
            </w:pPr>
            <w:r/>
            <w:r>
              <w:rPr>
                <w:rFonts w:ascii="Calibri" w:hAnsi="Calibri"/>
                <w:b w:val="0"/>
                <w:color w:val="1A1A1A"/>
                <w:sz w:val="17"/>
              </w:rPr>
              <w:t>Time window</w:t>
            </w:r>
          </w:p>
        </w:tc>
        <w:tc>
          <w:tcPr>
            <w:tcW w:type="dxa" w:w="7160"/>
          </w:tcPr>
          <w:p>
            <w:pPr>
              <w:spacing w:before="0" w:after="0" w:line="240" w:lineRule="auto"/>
              <w:jc w:val="left"/>
            </w:pPr>
            <w:r/>
            <w:r>
              <w:rPr>
                <w:rFonts w:ascii="Calibri" w:hAnsi="Calibri"/>
                <w:b w:val="0"/>
                <w:color w:val="1A1A1A"/>
                <w:sz w:val="17"/>
              </w:rPr>
              <w:t>Summers 2018–2025 for development and feasibility; the full 2026 season remains unopened.</w:t>
            </w:r>
          </w:p>
        </w:tc>
      </w:tr>
      <w:tr>
        <w:tc>
          <w:tcPr>
            <w:tcW w:type="dxa" w:w="2200"/>
          </w:tcPr>
          <w:p>
            <w:pPr>
              <w:spacing w:before="0" w:after="0" w:line="240" w:lineRule="auto"/>
              <w:jc w:val="left"/>
            </w:pPr>
            <w:r/>
            <w:r>
              <w:rPr>
                <w:rFonts w:ascii="Calibri" w:hAnsi="Calibri"/>
                <w:b w:val="0"/>
                <w:color w:val="1A1A1A"/>
                <w:sz w:val="17"/>
              </w:rPr>
              <w:t>Weather axes</w:t>
            </w:r>
          </w:p>
        </w:tc>
        <w:tc>
          <w:tcPr>
            <w:tcW w:type="dxa" w:w="7160"/>
          </w:tcPr>
          <w:p>
            <w:pPr>
              <w:spacing w:before="0" w:after="0" w:line="240" w:lineRule="auto"/>
              <w:jc w:val="left"/>
            </w:pPr>
            <w:r/>
            <w:r>
              <w:rPr>
                <w:rFonts w:ascii="Calibri" w:hAnsi="Calibri"/>
                <w:b w:val="0"/>
                <w:color w:val="1A1A1A"/>
                <w:sz w:val="17"/>
              </w:rPr>
              <w:t>Demand from VPD; antecedent balance from prior-day-ending 30/60-day sums of precipitation minus reference ET; dryness is an explicit reversed percentile.</w:t>
            </w:r>
          </w:p>
        </w:tc>
      </w:tr>
      <w:tr>
        <w:tc>
          <w:tcPr>
            <w:tcW w:type="dxa" w:w="2200"/>
          </w:tcPr>
          <w:p>
            <w:pPr>
              <w:spacing w:before="0" w:after="0" w:line="240" w:lineRule="auto"/>
              <w:jc w:val="left"/>
            </w:pPr>
            <w:r/>
            <w:r>
              <w:rPr>
                <w:rFonts w:ascii="Calibri" w:hAnsi="Calibri"/>
                <w:b w:val="0"/>
                <w:color w:val="1A1A1A"/>
                <w:sz w:val="17"/>
              </w:rPr>
              <w:t>Sampling unit</w:t>
            </w:r>
          </w:p>
        </w:tc>
        <w:tc>
          <w:tcPr>
            <w:tcW w:type="dxa" w:w="7160"/>
          </w:tcPr>
          <w:p>
            <w:pPr>
              <w:spacing w:before="0" w:after="0" w:line="240" w:lineRule="auto"/>
              <w:jc w:val="left"/>
            </w:pPr>
            <w:r/>
            <w:r>
              <w:rPr>
                <w:rFonts w:ascii="Calibri" w:hAnsi="Calibri"/>
                <w:b w:val="0"/>
                <w:color w:val="1A1A1A"/>
                <w:sz w:val="17"/>
              </w:rPr>
              <w:t>Pass is the effective unit for weather effects; pixels and matched sets remain clustered within pass.</w:t>
            </w:r>
          </w:p>
        </w:tc>
      </w:tr>
      <w:tr>
        <w:tc>
          <w:tcPr>
            <w:tcW w:type="dxa" w:w="2200"/>
          </w:tcPr>
          <w:p>
            <w:pPr>
              <w:spacing w:before="0" w:after="0" w:line="240" w:lineRule="auto"/>
              <w:jc w:val="left"/>
            </w:pPr>
            <w:r/>
            <w:r>
              <w:rPr>
                <w:rFonts w:ascii="Calibri" w:hAnsi="Calibri"/>
                <w:b w:val="0"/>
                <w:color w:val="1A1A1A"/>
                <w:sz w:val="17"/>
              </w:rPr>
              <w:t>Satellite timing</w:t>
            </w:r>
          </w:p>
        </w:tc>
        <w:tc>
          <w:tcPr>
            <w:tcW w:type="dxa" w:w="7160"/>
          </w:tcPr>
          <w:p>
            <w:pPr>
              <w:spacing w:before="0" w:after="0" w:line="240" w:lineRule="auto"/>
              <w:jc w:val="left"/>
            </w:pPr>
            <w:r/>
            <w:r>
              <w:rPr>
                <w:rFonts w:ascii="Calibri" w:hAnsi="Calibri"/>
                <w:b w:val="0"/>
                <w:color w:val="1A1A1A"/>
                <w:sz w:val="17"/>
              </w:rPr>
              <w:t>Daytime is 10:00–18:00 local solar time, initially divided into four two-hour strata.</w:t>
            </w:r>
          </w:p>
        </w:tc>
      </w:tr>
      <w:tr>
        <w:tc>
          <w:tcPr>
            <w:tcW w:type="dxa" w:w="2200"/>
          </w:tcPr>
          <w:p>
            <w:pPr>
              <w:spacing w:before="0" w:after="0" w:line="240" w:lineRule="auto"/>
              <w:jc w:val="left"/>
            </w:pPr>
            <w:r/>
            <w:r>
              <w:rPr>
                <w:rFonts w:ascii="Calibri" w:hAnsi="Calibri"/>
                <w:b w:val="0"/>
                <w:color w:val="1A1A1A"/>
                <w:sz w:val="17"/>
              </w:rPr>
              <w:t>Geometry</w:t>
            </w:r>
          </w:p>
        </w:tc>
        <w:tc>
          <w:tcPr>
            <w:tcW w:type="dxa" w:w="7160"/>
          </w:tcPr>
          <w:p>
            <w:pPr>
              <w:spacing w:before="0" w:after="0" w:line="240" w:lineRule="auto"/>
              <w:jc w:val="left"/>
            </w:pPr>
            <w:r/>
            <w:r>
              <w:rPr>
                <w:rFonts w:ascii="Calibri" w:hAnsi="Calibri"/>
                <w:b w:val="0"/>
                <w:color w:val="1A1A1A"/>
                <w:sz w:val="17"/>
              </w:rPr>
              <w:t>Near-nadir requires at least 95% domain coverage and 95th-percentile absolute view zenith no greater than 20°.</w:t>
            </w:r>
          </w:p>
        </w:tc>
      </w:tr>
      <w:tr>
        <w:tc>
          <w:tcPr>
            <w:tcW w:type="dxa" w:w="2200"/>
          </w:tcPr>
          <w:p>
            <w:pPr>
              <w:spacing w:before="0" w:after="0" w:line="240" w:lineRule="auto"/>
              <w:jc w:val="left"/>
            </w:pPr>
            <w:r/>
            <w:r>
              <w:rPr>
                <w:rFonts w:ascii="Calibri" w:hAnsi="Calibri"/>
                <w:b w:val="0"/>
                <w:color w:val="1A1A1A"/>
                <w:sz w:val="17"/>
              </w:rPr>
              <w:t>Blinding</w:t>
            </w:r>
          </w:p>
        </w:tc>
        <w:tc>
          <w:tcPr>
            <w:tcW w:type="dxa" w:w="7160"/>
          </w:tcPr>
          <w:p>
            <w:pPr>
              <w:spacing w:before="0" w:after="0" w:line="240" w:lineRule="auto"/>
              <w:jc w:val="left"/>
            </w:pPr>
            <w:r/>
            <w:r>
              <w:rPr>
                <w:rFonts w:ascii="Calibri" w:hAnsi="Calibri"/>
                <w:b w:val="0"/>
                <w:color w:val="1A1A1A"/>
                <w:sz w:val="17"/>
              </w:rPr>
              <w:t>A held-out city is selected on quality evidence before thermal inspection; the holdout remains UNSELECTED.</w:t>
            </w:r>
          </w:p>
        </w:tc>
      </w:tr>
      <w:tr>
        <w:tc>
          <w:tcPr>
            <w:tcW w:type="dxa" w:w="2200"/>
          </w:tcPr>
          <w:p>
            <w:pPr>
              <w:spacing w:before="0" w:after="0" w:line="240" w:lineRule="auto"/>
              <w:jc w:val="left"/>
            </w:pPr>
            <w:r/>
            <w:r>
              <w:rPr>
                <w:rFonts w:ascii="Calibri" w:hAnsi="Calibri"/>
                <w:b w:val="0"/>
                <w:color w:val="1A1A1A"/>
                <w:sz w:val="17"/>
              </w:rPr>
              <w:t>Language</w:t>
            </w:r>
          </w:p>
        </w:tc>
        <w:tc>
          <w:tcPr>
            <w:tcW w:type="dxa" w:w="7160"/>
          </w:tcPr>
          <w:p>
            <w:pPr>
              <w:spacing w:before="0" w:after="0" w:line="240" w:lineRule="auto"/>
              <w:jc w:val="left"/>
            </w:pPr>
            <w:r/>
            <w:r>
              <w:rPr>
                <w:rFonts w:ascii="Calibri" w:hAnsi="Calibri"/>
                <w:b w:val="0"/>
                <w:color w:val="1A1A1A"/>
                <w:sz w:val="17"/>
              </w:rPr>
              <w:t>The study uses ‘time-of-day dependence,’ not a same-day diurnal course or hysteresis claim.</w:t>
            </w:r>
          </w:p>
        </w:tc>
      </w:tr>
    </w:tbl>
    <w:p>
      <w:pPr>
        <w:spacing w:after="0"/>
      </w:pPr>
    </w:p>
    <w:p>
      <w:pPr>
        <w:pStyle w:val="Heading2"/>
        <w:keepNext/>
      </w:pPr>
      <w:r>
        <w:t>Source hierarchy for this report</w:t>
      </w:r>
    </w:p>
    <w:p>
      <w:pPr>
        <w:keepLines w:val="0"/>
        <w:spacing w:after="120" w:line="264" w:lineRule="auto"/>
      </w:pPr>
      <w:r>
        <w:rPr>
          <w:rFonts w:ascii="Calibri" w:hAnsi="Calibri"/>
          <w:color w:val="1A1A1A"/>
          <w:sz w:val="22"/>
        </w:rPr>
        <w:t>When files differed in status or naming, this report treated the canonical requirements, the latest append-only decision, the Task 1 gate, and the authoritative run manifest as controlling. Figure appearance alone was never used to upgrade an artifact’s scientific status.</w:t>
      </w:r>
    </w:p>
    <w:p>
      <w:pPr>
        <w:pStyle w:val="ListBullet"/>
        <w:spacing w:after="160" w:line="280" w:lineRule="auto"/>
        <w:ind w:left="720" w:hanging="360"/>
      </w:pPr>
      <w:r>
        <w:rPr>
          <w:rFonts w:ascii="Calibri" w:hAnsi="Calibri"/>
          <w:color w:val="1A1A1A"/>
          <w:sz w:val="22"/>
        </w:rPr>
        <w:t>Source guide: StepByStep_Guide_Urban_Tree_Cooling.docx</w:t>
      </w:r>
    </w:p>
    <w:p>
      <w:pPr>
        <w:pStyle w:val="ListBullet"/>
        <w:spacing w:after="160" w:line="280" w:lineRule="auto"/>
        <w:ind w:left="720" w:hanging="360"/>
      </w:pPr>
      <w:r>
        <w:rPr>
          <w:rFonts w:ascii="Calibri" w:hAnsi="Calibri"/>
          <w:color w:val="1A1A1A"/>
          <w:sz w:val="22"/>
        </w:rPr>
        <w:t>Canonical requirements: docs/v2/REQUIREMENTS.md</w:t>
      </w:r>
    </w:p>
    <w:p>
      <w:pPr>
        <w:pStyle w:val="ListBullet"/>
        <w:spacing w:after="160" w:line="280" w:lineRule="auto"/>
        <w:ind w:left="720" w:hanging="360"/>
      </w:pPr>
      <w:r>
        <w:rPr>
          <w:rFonts w:ascii="Calibri" w:hAnsi="Calibri"/>
          <w:color w:val="1A1A1A"/>
          <w:sz w:val="22"/>
        </w:rPr>
        <w:t>Decision history: docs/v2/DECISION_LOG.md</w:t>
      </w:r>
    </w:p>
    <w:p>
      <w:pPr>
        <w:pStyle w:val="ListBullet"/>
        <w:spacing w:after="160" w:line="280" w:lineRule="auto"/>
        <w:ind w:left="720" w:hanging="360"/>
      </w:pPr>
      <w:r>
        <w:rPr>
          <w:rFonts w:ascii="Calibri" w:hAnsi="Calibri"/>
          <w:color w:val="1A1A1A"/>
          <w:sz w:val="22"/>
        </w:rPr>
        <w:t>Active gate: data/processed/v2/task1/TASK1_GATE.md</w:t>
      </w:r>
    </w:p>
    <w:p>
      <w:pPr>
        <w:pStyle w:val="ListBullet"/>
        <w:spacing w:after="160" w:line="280" w:lineRule="auto"/>
        <w:ind w:left="720" w:hanging="360"/>
      </w:pPr>
      <w:r>
        <w:rPr>
          <w:rFonts w:ascii="Calibri" w:hAnsi="Calibri"/>
          <w:color w:val="1A1A1A"/>
          <w:sz w:val="22"/>
        </w:rPr>
        <w:t>Illustrative package manifest: data/processed/v2/illustrative_only/steps02_14/run_manifest.json</w:t>
      </w:r>
    </w:p>
    <w:p>
      <w:pPr>
        <w:pageBreakBefore/>
        <w:spacing w:before="0" w:after="0"/>
      </w:pPr>
    </w:p>
    <w:p>
      <w:pPr>
        <w:spacing w:before="0" w:after="100"/>
      </w:pPr>
      <w:r>
        <w:rPr>
          <w:rFonts w:ascii="Calibri" w:hAnsi="Calibri"/>
          <w:b/>
          <w:smallCaps/>
          <w:color w:val="2E74B5"/>
          <w:sz w:val="18"/>
        </w:rPr>
        <w:t>COMPLETION DASHBOARD</w:t>
      </w:r>
    </w:p>
    <w:p>
      <w:pPr>
        <w:pStyle w:val="Heading1"/>
        <w:keepNext/>
      </w:pPr>
      <w:r>
        <w:t>2. What is complete, partial, demonstrated, and not run</w:t>
      </w:r>
    </w:p>
    <w:p>
      <w:pPr>
        <w:keepLines w:val="0"/>
        <w:spacing w:after="120" w:line="264" w:lineRule="auto"/>
      </w:pPr>
      <w:r>
        <w:rPr>
          <w:rFonts w:ascii="Calibri" w:hAnsi="Calibri"/>
          <w:color w:val="1A1A1A"/>
          <w:sz w:val="22"/>
        </w:rPr>
        <w:t>The table below is the shortest accurate summary of the entire guide. ‘Demonstrated’ means that the expected file structure, calculation path, and presentation were exercised with synthetic inputs; it does not mean the empirical analysis was performed.</w:t>
      </w:r>
    </w:p>
    <w:tbl>
      <w:tblPr>
        <w:tblStyle w:val="TableGrid"/>
        <w:tblW w:type="dxa" w:w="9360"/>
        <w:jc w:val="center"/>
        <w:tblLayout w:type="fixed"/>
        <w:tblLook w:firstColumn="1" w:firstRow="1" w:lastColumn="0" w:lastRow="0" w:noHBand="0" w:noVBand="1" w:val="04A0"/>
        <w:tblInd w:w="120" w:type="dxa"/>
      </w:tblPr>
      <w:tblGrid>
        <w:gridCol w:w="900"/>
        <w:gridCol w:w="1650"/>
        <w:gridCol w:w="3500"/>
        <w:gridCol w:w="3310"/>
      </w:tblGrid>
      <w:tr>
        <w:trPr>
          <w:tblHeader w:val="true"/>
        </w:trPr>
        <w:tc>
          <w:tcPr>
            <w:tcW w:type="dxa" w:w="90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6"/>
              </w:rPr>
              <w:t>Stage</w:t>
            </w:r>
          </w:p>
        </w:tc>
        <w:tc>
          <w:tcPr>
            <w:tcW w:type="dxa" w:w="165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6"/>
              </w:rPr>
              <w:t>Status / evidence</w:t>
            </w:r>
          </w:p>
        </w:tc>
        <w:tc>
          <w:tcPr>
            <w:tcW w:type="dxa" w:w="350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6"/>
              </w:rPr>
              <w:t>Accomplished</w:t>
            </w:r>
          </w:p>
        </w:tc>
        <w:tc>
          <w:tcPr>
            <w:tcW w:type="dxa" w:w="331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6"/>
              </w:rPr>
              <w:t>Still required</w:t>
            </w:r>
          </w:p>
        </w:tc>
      </w:tr>
      <w:tr>
        <w:tc>
          <w:tcPr>
            <w:tcW w:type="dxa" w:w="900"/>
          </w:tcPr>
          <w:p>
            <w:pPr>
              <w:spacing w:before="0" w:after="0" w:line="240" w:lineRule="auto"/>
              <w:jc w:val="left"/>
            </w:pPr>
            <w:r/>
            <w:r>
              <w:rPr>
                <w:rFonts w:ascii="Calibri" w:hAnsi="Calibri"/>
                <w:b w:val="0"/>
                <w:color w:val="1A1A1A"/>
                <w:sz w:val="16"/>
              </w:rPr>
              <w:t>Task 0</w:t>
            </w:r>
          </w:p>
        </w:tc>
        <w:tc>
          <w:tcPr>
            <w:tcW w:type="dxa" w:w="1650"/>
            <w:shd w:fill="E9F5EE"/>
          </w:tcPr>
          <w:p>
            <w:pPr>
              <w:spacing w:before="0" w:after="0" w:line="240" w:lineRule="auto"/>
              <w:jc w:val="left"/>
            </w:pPr>
            <w:r/>
            <w:r>
              <w:rPr>
                <w:rFonts w:ascii="Calibri" w:hAnsi="Calibri"/>
                <w:b w:val="0"/>
                <w:color w:val="1A1A1A"/>
                <w:sz w:val="16"/>
              </w:rPr>
              <w:t>Complete — canonical</w:t>
            </w:r>
          </w:p>
        </w:tc>
        <w:tc>
          <w:tcPr>
            <w:tcW w:type="dxa" w:w="3500"/>
          </w:tcPr>
          <w:p>
            <w:pPr>
              <w:spacing w:before="0" w:after="0" w:line="240" w:lineRule="auto"/>
              <w:jc w:val="left"/>
            </w:pPr>
            <w:r/>
            <w:r>
              <w:rPr>
                <w:rFonts w:ascii="Calibri" w:hAnsi="Calibri"/>
                <w:b w:val="0"/>
                <w:color w:val="1A1A1A"/>
                <w:sz w:val="16"/>
              </w:rPr>
              <w:t>Separate v2 surface; normalized requirements; frozen domains, rules, gates, and decision log.</w:t>
            </w:r>
          </w:p>
        </w:tc>
        <w:tc>
          <w:tcPr>
            <w:tcW w:type="dxa" w:w="3310"/>
          </w:tcPr>
          <w:p>
            <w:pPr>
              <w:spacing w:before="0" w:after="0" w:line="240" w:lineRule="auto"/>
              <w:jc w:val="left"/>
            </w:pPr>
            <w:r/>
            <w:r>
              <w:rPr>
                <w:rFonts w:ascii="Calibri" w:hAnsi="Calibri"/>
                <w:b w:val="0"/>
                <w:color w:val="1A1A1A"/>
                <w:sz w:val="16"/>
              </w:rPr>
              <w:t>Nothing material for Task 0.</w:t>
            </w:r>
          </w:p>
        </w:tc>
      </w:tr>
      <w:tr>
        <w:tc>
          <w:tcPr>
            <w:tcW w:type="dxa" w:w="900"/>
          </w:tcPr>
          <w:p>
            <w:pPr>
              <w:spacing w:before="0" w:after="0" w:line="240" w:lineRule="auto"/>
              <w:jc w:val="left"/>
            </w:pPr>
            <w:r/>
            <w:r>
              <w:rPr>
                <w:rFonts w:ascii="Calibri" w:hAnsi="Calibri"/>
                <w:b w:val="0"/>
                <w:color w:val="1A1A1A"/>
                <w:sz w:val="16"/>
              </w:rPr>
              <w:t>Step 1</w:t>
            </w:r>
          </w:p>
        </w:tc>
        <w:tc>
          <w:tcPr>
            <w:tcW w:type="dxa" w:w="1650"/>
            <w:shd w:fill="E9F5EE"/>
          </w:tcPr>
          <w:p>
            <w:pPr>
              <w:spacing w:before="0" w:after="0" w:line="240" w:lineRule="auto"/>
              <w:jc w:val="left"/>
            </w:pPr>
            <w:r/>
            <w:r>
              <w:rPr>
                <w:rFonts w:ascii="Calibri" w:hAnsi="Calibri"/>
                <w:b w:val="0"/>
                <w:color w:val="1A1A1A"/>
                <w:sz w:val="16"/>
              </w:rPr>
              <w:t>Complete — empirical</w:t>
            </w:r>
          </w:p>
        </w:tc>
        <w:tc>
          <w:tcPr>
            <w:tcW w:type="dxa" w:w="3500"/>
          </w:tcPr>
          <w:p>
            <w:pPr>
              <w:spacing w:before="0" w:after="0" w:line="240" w:lineRule="auto"/>
              <w:jc w:val="left"/>
            </w:pPr>
            <w:r/>
            <w:r>
              <w:rPr>
                <w:rFonts w:ascii="Calibri" w:hAnsi="Calibri"/>
                <w:b w:val="0"/>
                <w:color w:val="1A1A1A"/>
                <w:sz w:val="16"/>
              </w:rPr>
              <w:t>F1.1–F1.4, T1.1–T1.2, M1.1; five cities, eight summers, 4,880 city-days; QA completed.</w:t>
            </w:r>
          </w:p>
        </w:tc>
        <w:tc>
          <w:tcPr>
            <w:tcW w:type="dxa" w:w="3310"/>
          </w:tcPr>
          <w:p>
            <w:pPr>
              <w:spacing w:before="0" w:after="0" w:line="240" w:lineRule="auto"/>
              <w:jc w:val="left"/>
            </w:pPr>
            <w:r/>
            <w:r>
              <w:rPr>
                <w:rFonts w:ascii="Calibri" w:hAnsi="Calibri"/>
                <w:b w:val="0"/>
                <w:color w:val="1A1A1A"/>
                <w:sz w:val="16"/>
              </w:rPr>
              <w:t>Must later be superseded by acquisition-time usable-pass conditions.</w:t>
            </w:r>
          </w:p>
        </w:tc>
      </w:tr>
      <w:tr>
        <w:tc>
          <w:tcPr>
            <w:tcW w:type="dxa" w:w="900"/>
          </w:tcPr>
          <w:p>
            <w:pPr>
              <w:spacing w:before="0" w:after="0" w:line="240" w:lineRule="auto"/>
              <w:jc w:val="left"/>
            </w:pPr>
            <w:r/>
            <w:r>
              <w:rPr>
                <w:rFonts w:ascii="Calibri" w:hAnsi="Calibri"/>
                <w:b w:val="0"/>
                <w:color w:val="1A1A1A"/>
                <w:sz w:val="16"/>
              </w:rPr>
              <w:t>Step 2</w:t>
            </w:r>
          </w:p>
        </w:tc>
        <w:tc>
          <w:tcPr>
            <w:tcW w:type="dxa" w:w="1650"/>
            <w:shd w:fill="E9F5EE"/>
          </w:tcPr>
          <w:p>
            <w:pPr>
              <w:spacing w:before="0" w:after="0" w:line="240" w:lineRule="auto"/>
              <w:jc w:val="left"/>
            </w:pPr>
            <w:r/>
            <w:r>
              <w:rPr>
                <w:rFonts w:ascii="Calibri" w:hAnsi="Calibri"/>
                <w:b w:val="0"/>
                <w:color w:val="1A1A1A"/>
                <w:sz w:val="16"/>
              </w:rPr>
              <w:t>Complete — empirical; gate STOP</w:t>
            </w:r>
          </w:p>
        </w:tc>
        <w:tc>
          <w:tcPr>
            <w:tcW w:type="dxa" w:w="3500"/>
          </w:tcPr>
          <w:p>
            <w:pPr>
              <w:spacing w:before="0" w:after="0" w:line="240" w:lineRule="auto"/>
              <w:jc w:val="left"/>
            </w:pPr>
            <w:r/>
            <w:r>
              <w:rPr>
                <w:rFonts w:ascii="Calibri" w:hAnsi="Calibri"/>
                <w:b w:val="0"/>
                <w:color w:val="1A1A1A"/>
                <w:sz w:val="16"/>
              </w:rPr>
              <w:t>Catalogue, 911/911 L1B GEO geometry, exhaustive official cloud over 219 near-nadir passes, 413/413 exact-acquisition HRRR hours, F2.1–F2.5, T2.1–T2.3; all six checks pass.</w:t>
            </w:r>
          </w:p>
        </w:tc>
        <w:tc>
          <w:tcPr>
            <w:tcW w:type="dxa" w:w="3310"/>
          </w:tcPr>
          <w:p>
            <w:pPr>
              <w:spacing w:before="0" w:after="0" w:line="240" w:lineRule="auto"/>
              <w:jc w:val="left"/>
            </w:pPr>
            <w:r/>
            <w:r>
              <w:rPr>
                <w:rFonts w:ascii="Calibri" w:hAnsi="Calibri"/>
                <w:b w:val="0"/>
                <w:color w:val="1A1A1A"/>
                <w:sz w:val="16"/>
              </w:rPr>
              <w:t>Nothing further under this design. The count-support gate failed at 0.553 pass-equivalents in the low-demand/dry cell.</w:t>
            </w:r>
          </w:p>
        </w:tc>
      </w:tr>
      <w:tr>
        <w:tc>
          <w:tcPr>
            <w:tcW w:type="dxa" w:w="900"/>
          </w:tcPr>
          <w:p>
            <w:pPr>
              <w:spacing w:before="0" w:after="0" w:line="240" w:lineRule="auto"/>
              <w:jc w:val="left"/>
            </w:pPr>
            <w:r/>
            <w:r>
              <w:rPr>
                <w:rFonts w:ascii="Calibri" w:hAnsi="Calibri"/>
                <w:b w:val="0"/>
                <w:color w:val="1A1A1A"/>
                <w:sz w:val="16"/>
              </w:rPr>
              <w:t>Step 3</w:t>
            </w:r>
          </w:p>
        </w:tc>
        <w:tc>
          <w:tcPr>
            <w:tcW w:type="dxa" w:w="1650"/>
            <w:shd w:fill="E9F5EE"/>
          </w:tcPr>
          <w:p>
            <w:pPr>
              <w:spacing w:before="0" w:after="0" w:line="240" w:lineRule="auto"/>
              <w:jc w:val="left"/>
            </w:pPr>
            <w:r/>
            <w:r>
              <w:rPr>
                <w:rFonts w:ascii="Calibri" w:hAnsi="Calibri"/>
                <w:b w:val="0"/>
                <w:color w:val="1A1A1A"/>
                <w:sz w:val="16"/>
              </w:rPr>
              <w:t>Complete — empirical; gate STOP</w:t>
            </w:r>
          </w:p>
        </w:tc>
        <w:tc>
          <w:tcPr>
            <w:tcW w:type="dxa" w:w="3500"/>
          </w:tcPr>
          <w:p>
            <w:pPr>
              <w:spacing w:before="0" w:after="0" w:line="240" w:lineRule="auto"/>
              <w:jc w:val="left"/>
            </w:pPr>
            <w:r/>
            <w:r>
              <w:rPr>
                <w:rFonts w:ascii="Calibri" w:hAnsi="Calibri"/>
                <w:b w:val="0"/>
                <w:color w:val="1A1A1A"/>
                <w:sz w:val="16"/>
              </w:rPr>
              <w:t>Definitive pass-clustered time-of-day simulation on the real 102-pass template; 8 of 11 required checks pass.</w:t>
            </w:r>
          </w:p>
        </w:tc>
        <w:tc>
          <w:tcPr>
            <w:tcW w:type="dxa" w:w="3310"/>
          </w:tcPr>
          <w:p>
            <w:pPr>
              <w:spacing w:before="0" w:after="0" w:line="240" w:lineRule="auto"/>
              <w:jc w:val="left"/>
            </w:pPr>
            <w:r/>
            <w:r>
              <w:rPr>
                <w:rFonts w:ascii="Calibri" w:hAnsi="Calibri"/>
                <w:b w:val="0"/>
                <w:color w:val="1A1A1A"/>
                <w:sz w:val="16"/>
              </w:rPr>
              <w:t>Nothing further under this design. Power is 0.110 against 0.80 and cannot be raised by adding passes.</w:t>
            </w:r>
          </w:p>
        </w:tc>
      </w:tr>
      <w:tr>
        <w:tc>
          <w:tcPr>
            <w:tcW w:type="dxa" w:w="900"/>
          </w:tcPr>
          <w:p>
            <w:pPr>
              <w:spacing w:before="0" w:after="0" w:line="240" w:lineRule="auto"/>
              <w:jc w:val="left"/>
            </w:pPr>
            <w:r/>
            <w:r>
              <w:rPr>
                <w:rFonts w:ascii="Calibri" w:hAnsi="Calibri"/>
                <w:b w:val="0"/>
                <w:color w:val="1A1A1A"/>
                <w:sz w:val="16"/>
              </w:rPr>
              <w:t>Task 2</w:t>
            </w:r>
          </w:p>
        </w:tc>
        <w:tc>
          <w:tcPr>
            <w:tcW w:type="dxa" w:w="1650"/>
            <w:shd w:fill="FDECEC"/>
          </w:tcPr>
          <w:p>
            <w:pPr>
              <w:spacing w:before="0" w:after="0" w:line="240" w:lineRule="auto"/>
              <w:jc w:val="left"/>
            </w:pPr>
            <w:r/>
            <w:r>
              <w:rPr>
                <w:rFonts w:ascii="Calibri" w:hAnsi="Calibri"/>
                <w:b w:val="0"/>
                <w:color w:val="1A1A1A"/>
                <w:sz w:val="16"/>
              </w:rPr>
              <w:t>Inactive / not run</w:t>
            </w:r>
          </w:p>
        </w:tc>
        <w:tc>
          <w:tcPr>
            <w:tcW w:type="dxa" w:w="3500"/>
          </w:tcPr>
          <w:p>
            <w:pPr>
              <w:spacing w:before="0" w:after="0" w:line="240" w:lineRule="auto"/>
              <w:jc w:val="left"/>
            </w:pPr>
            <w:r/>
            <w:r>
              <w:rPr>
                <w:rFonts w:ascii="Calibri" w:hAnsi="Calibri"/>
                <w:b w:val="0"/>
                <w:color w:val="1A1A1A"/>
                <w:sz w:val="16"/>
              </w:rPr>
              <w:t>No canonical Task 2 input was opened.</w:t>
            </w:r>
          </w:p>
        </w:tc>
        <w:tc>
          <w:tcPr>
            <w:tcW w:type="dxa" w:w="3310"/>
          </w:tcPr>
          <w:p>
            <w:pPr>
              <w:spacing w:before="0" w:after="0" w:line="240" w:lineRule="auto"/>
              <w:jc w:val="left"/>
            </w:pPr>
            <w:r/>
            <w:r>
              <w:rPr>
                <w:rFonts w:ascii="Calibri" w:hAnsi="Calibri"/>
                <w:b w:val="0"/>
                <w:color w:val="1A1A1A"/>
                <w:sz w:val="16"/>
              </w:rPr>
              <w:t>Requires canonical Task 1 PASS and preflight.</w:t>
            </w:r>
          </w:p>
        </w:tc>
      </w:tr>
    </w:tbl>
    <w:p>
      <w:pPr>
        <w:spacing w:after="0"/>
      </w:pPr>
    </w:p>
    <w:p>
      <w:pPr>
        <w:pStyle w:val="Heading2"/>
        <w:keepNext/>
      </w:pPr>
      <w:r>
        <w:t>Steps 4–14</w:t>
      </w:r>
    </w:p>
    <w:tbl>
      <w:tblPr>
        <w:tblStyle w:val="TableGrid"/>
        <w:tblW w:type="dxa" w:w="9360"/>
        <w:jc w:val="center"/>
        <w:tblLayout w:type="fixed"/>
        <w:tblLook w:firstColumn="1" w:firstRow="1" w:lastColumn="0" w:lastRow="0" w:noHBand="0" w:noVBand="1" w:val="04A0"/>
        <w:tblInd w:w="120" w:type="dxa"/>
      </w:tblPr>
      <w:tblGrid>
        <w:gridCol w:w="800"/>
        <w:gridCol w:w="4350"/>
        <w:gridCol w:w="4210"/>
      </w:tblGrid>
      <w:tr>
        <w:trPr>
          <w:tblHeader w:val="true"/>
        </w:trPr>
        <w:tc>
          <w:tcPr>
            <w:tcW w:type="dxa" w:w="80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6"/>
              </w:rPr>
              <w:t>Step</w:t>
            </w:r>
          </w:p>
        </w:tc>
        <w:tc>
          <w:tcPr>
            <w:tcW w:type="dxa" w:w="435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6"/>
              </w:rPr>
              <w:t>Demonstrated output</w:t>
            </w:r>
          </w:p>
        </w:tc>
        <w:tc>
          <w:tcPr>
            <w:tcW w:type="dxa" w:w="421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6"/>
              </w:rPr>
              <w:t>Empirical work not yet done</w:t>
            </w:r>
          </w:p>
        </w:tc>
      </w:tr>
      <w:tr>
        <w:tc>
          <w:tcPr>
            <w:tcW w:type="dxa" w:w="800"/>
          </w:tcPr>
          <w:p>
            <w:pPr>
              <w:spacing w:before="0" w:after="0" w:line="240" w:lineRule="auto"/>
              <w:jc w:val="left"/>
            </w:pPr>
            <w:r/>
            <w:r>
              <w:rPr>
                <w:rFonts w:ascii="Calibri" w:hAnsi="Calibri"/>
                <w:b w:val="0"/>
                <w:color w:val="1A1A1A"/>
                <w:sz w:val="16"/>
              </w:rPr>
              <w:t>4</w:t>
            </w:r>
          </w:p>
        </w:tc>
        <w:tc>
          <w:tcPr>
            <w:tcW w:type="dxa" w:w="4350"/>
          </w:tcPr>
          <w:p>
            <w:pPr>
              <w:spacing w:before="0" w:after="0" w:line="240" w:lineRule="auto"/>
              <w:jc w:val="left"/>
            </w:pPr>
            <w:r/>
            <w:r>
              <w:rPr>
                <w:rFonts w:ascii="Calibri" w:hAnsi="Calibri"/>
                <w:b w:val="0"/>
                <w:color w:val="1A1A1A"/>
                <w:sz w:val="16"/>
              </w:rPr>
              <w:t>Native-grid thermal archive, QA layers, histograms, valid counts, band-mode and geolocation schemas.</w:t>
            </w:r>
          </w:p>
        </w:tc>
        <w:tc>
          <w:tcPr>
            <w:tcW w:type="dxa" w:w="4210"/>
          </w:tcPr>
          <w:p>
            <w:pPr>
              <w:spacing w:before="0" w:after="0" w:line="240" w:lineRule="auto"/>
              <w:jc w:val="left"/>
            </w:pPr>
            <w:r/>
            <w:r>
              <w:rPr>
                <w:rFonts w:ascii="Calibri" w:hAnsi="Calibri"/>
                <w:b w:val="0"/>
                <w:color w:val="1A1A1A"/>
                <w:sz w:val="16"/>
              </w:rPr>
              <w:t>No real v2 LST archive or Step 4 source checks.</w:t>
            </w:r>
          </w:p>
        </w:tc>
      </w:tr>
      <w:tr>
        <w:tc>
          <w:tcPr>
            <w:tcW w:type="dxa" w:w="800"/>
          </w:tcPr>
          <w:p>
            <w:pPr>
              <w:spacing w:before="0" w:after="0" w:line="240" w:lineRule="auto"/>
              <w:jc w:val="left"/>
            </w:pPr>
            <w:r/>
            <w:r>
              <w:rPr>
                <w:rFonts w:ascii="Calibri" w:hAnsi="Calibri"/>
                <w:b w:val="0"/>
                <w:color w:val="1A1A1A"/>
                <w:sz w:val="16"/>
              </w:rPr>
              <w:t>5</w:t>
            </w:r>
          </w:p>
        </w:tc>
        <w:tc>
          <w:tcPr>
            <w:tcW w:type="dxa" w:w="4350"/>
          </w:tcPr>
          <w:p>
            <w:pPr>
              <w:spacing w:before="0" w:after="0" w:line="240" w:lineRule="auto"/>
              <w:jc w:val="left"/>
            </w:pPr>
            <w:r/>
            <w:r>
              <w:rPr>
                <w:rFonts w:ascii="Calibri" w:hAnsi="Calibri"/>
                <w:b w:val="0"/>
                <w:color w:val="1A1A1A"/>
                <w:sz w:val="16"/>
              </w:rPr>
              <w:t>Albedo, vegetation-fusion error, radiation, ET/ESI comparisons and inventories.</w:t>
            </w:r>
          </w:p>
        </w:tc>
        <w:tc>
          <w:tcPr>
            <w:tcW w:type="dxa" w:w="4210"/>
          </w:tcPr>
          <w:p>
            <w:pPr>
              <w:spacing w:before="0" w:after="0" w:line="240" w:lineRule="auto"/>
              <w:jc w:val="left"/>
            </w:pPr>
            <w:r/>
            <w:r>
              <w:rPr>
                <w:rFonts w:ascii="Calibri" w:hAnsi="Calibri"/>
                <w:b w:val="0"/>
                <w:color w:val="1A1A1A"/>
                <w:sz w:val="16"/>
              </w:rPr>
              <w:t>No real supporting-product chain or estimates.</w:t>
            </w:r>
          </w:p>
        </w:tc>
      </w:tr>
      <w:tr>
        <w:tc>
          <w:tcPr>
            <w:tcW w:type="dxa" w:w="800"/>
          </w:tcPr>
          <w:p>
            <w:pPr>
              <w:spacing w:before="0" w:after="0" w:line="240" w:lineRule="auto"/>
              <w:jc w:val="left"/>
            </w:pPr>
            <w:r/>
            <w:r>
              <w:rPr>
                <w:rFonts w:ascii="Calibri" w:hAnsi="Calibri"/>
                <w:b w:val="0"/>
                <w:color w:val="1A1A1A"/>
                <w:sz w:val="16"/>
              </w:rPr>
              <w:t>6</w:t>
            </w:r>
          </w:p>
        </w:tc>
        <w:tc>
          <w:tcPr>
            <w:tcW w:type="dxa" w:w="4350"/>
          </w:tcPr>
          <w:p>
            <w:pPr>
              <w:spacing w:before="0" w:after="0" w:line="240" w:lineRule="auto"/>
              <w:jc w:val="left"/>
            </w:pPr>
            <w:r/>
            <w:r>
              <w:rPr>
                <w:rFonts w:ascii="Calibri" w:hAnsi="Calibri"/>
                <w:b w:val="0"/>
                <w:color w:val="1A1A1A"/>
                <w:sz w:val="16"/>
              </w:rPr>
              <w:t>Exact-time meteorology, station validation, HRRR/ERA5 comparison, interpolation and correlations.</w:t>
            </w:r>
          </w:p>
        </w:tc>
        <w:tc>
          <w:tcPr>
            <w:tcW w:type="dxa" w:w="4210"/>
          </w:tcPr>
          <w:p>
            <w:pPr>
              <w:spacing w:before="0" w:after="0" w:line="240" w:lineRule="auto"/>
              <w:jc w:val="left"/>
            </w:pPr>
            <w:r/>
            <w:r>
              <w:rPr>
                <w:rFonts w:ascii="Calibri" w:hAnsi="Calibri"/>
                <w:b w:val="0"/>
                <w:color w:val="1A1A1A"/>
                <w:sz w:val="16"/>
              </w:rPr>
              <w:t>No definitive exact-acquisition HRRR chain.</w:t>
            </w:r>
          </w:p>
        </w:tc>
      </w:tr>
      <w:tr>
        <w:tc>
          <w:tcPr>
            <w:tcW w:type="dxa" w:w="800"/>
          </w:tcPr>
          <w:p>
            <w:pPr>
              <w:spacing w:before="0" w:after="0" w:line="240" w:lineRule="auto"/>
              <w:jc w:val="left"/>
            </w:pPr>
            <w:r/>
            <w:r>
              <w:rPr>
                <w:rFonts w:ascii="Calibri" w:hAnsi="Calibri"/>
                <w:b w:val="0"/>
                <w:color w:val="1A1A1A"/>
                <w:sz w:val="16"/>
              </w:rPr>
              <w:t>7</w:t>
            </w:r>
          </w:p>
        </w:tc>
        <w:tc>
          <w:tcPr>
            <w:tcW w:type="dxa" w:w="4350"/>
          </w:tcPr>
          <w:p>
            <w:pPr>
              <w:spacing w:before="0" w:after="0" w:line="240" w:lineRule="auto"/>
              <w:jc w:val="left"/>
            </w:pPr>
            <w:r/>
            <w:r>
              <w:rPr>
                <w:rFonts w:ascii="Calibri" w:hAnsi="Calibri"/>
                <w:b w:val="0"/>
                <w:color w:val="1A1A1A"/>
                <w:sz w:val="16"/>
              </w:rPr>
              <w:t>Optical timing, image lag, canopy change, land-cover vintages and focal/buffer urban form.</w:t>
            </w:r>
          </w:p>
        </w:tc>
        <w:tc>
          <w:tcPr>
            <w:tcW w:type="dxa" w:w="4210"/>
          </w:tcPr>
          <w:p>
            <w:pPr>
              <w:spacing w:before="0" w:after="0" w:line="240" w:lineRule="auto"/>
              <w:jc w:val="left"/>
            </w:pPr>
            <w:r/>
            <w:r>
              <w:rPr>
                <w:rFonts w:ascii="Calibri" w:hAnsi="Calibri"/>
                <w:b w:val="0"/>
                <w:color w:val="1A1A1A"/>
                <w:sz w:val="16"/>
              </w:rPr>
              <w:t>No empirical multi-city optical/land-cover archive.</w:t>
            </w:r>
          </w:p>
        </w:tc>
      </w:tr>
      <w:tr>
        <w:tc>
          <w:tcPr>
            <w:tcW w:type="dxa" w:w="800"/>
          </w:tcPr>
          <w:p>
            <w:pPr>
              <w:spacing w:before="0" w:after="0" w:line="240" w:lineRule="auto"/>
              <w:jc w:val="left"/>
            </w:pPr>
            <w:r/>
            <w:r>
              <w:rPr>
                <w:rFonts w:ascii="Calibri" w:hAnsi="Calibri"/>
                <w:b w:val="0"/>
                <w:color w:val="1A1A1A"/>
                <w:sz w:val="16"/>
              </w:rPr>
              <w:t>8</w:t>
            </w:r>
          </w:p>
        </w:tc>
        <w:tc>
          <w:tcPr>
            <w:tcW w:type="dxa" w:w="4350"/>
          </w:tcPr>
          <w:p>
            <w:pPr>
              <w:spacing w:before="0" w:after="0" w:line="240" w:lineRule="auto"/>
              <w:jc w:val="left"/>
            </w:pPr>
            <w:r/>
            <w:r>
              <w:rPr>
                <w:rFonts w:ascii="Calibri" w:hAnsi="Calibri"/>
                <w:b w:val="0"/>
                <w:color w:val="1A1A1A"/>
                <w:sz w:val="16"/>
              </w:rPr>
              <w:t>Canopy thresholds, classification, matching balance, registration sensitivity and validation.</w:t>
            </w:r>
          </w:p>
        </w:tc>
        <w:tc>
          <w:tcPr>
            <w:tcW w:type="dxa" w:w="4210"/>
          </w:tcPr>
          <w:p>
            <w:pPr>
              <w:spacing w:before="0" w:after="0" w:line="240" w:lineRule="auto"/>
              <w:jc w:val="left"/>
            </w:pPr>
            <w:r/>
            <w:r>
              <w:rPr>
                <w:rFonts w:ascii="Calibri" w:hAnsi="Calibri"/>
                <w:b w:val="0"/>
                <w:color w:val="1A1A1A"/>
                <w:sz w:val="16"/>
              </w:rPr>
              <w:t>No outcome-blind empirical classifier/matching freeze.</w:t>
            </w:r>
          </w:p>
        </w:tc>
      </w:tr>
      <w:tr>
        <w:tc>
          <w:tcPr>
            <w:tcW w:type="dxa" w:w="800"/>
          </w:tcPr>
          <w:p>
            <w:pPr>
              <w:spacing w:before="0" w:after="0" w:line="240" w:lineRule="auto"/>
              <w:jc w:val="left"/>
            </w:pPr>
            <w:r/>
            <w:r>
              <w:rPr>
                <w:rFonts w:ascii="Calibri" w:hAnsi="Calibri"/>
                <w:b w:val="0"/>
                <w:color w:val="1A1A1A"/>
                <w:sz w:val="16"/>
              </w:rPr>
              <w:t>9</w:t>
            </w:r>
          </w:p>
        </w:tc>
        <w:tc>
          <w:tcPr>
            <w:tcW w:type="dxa" w:w="4350"/>
          </w:tcPr>
          <w:p>
            <w:pPr>
              <w:spacing w:before="0" w:after="0" w:line="240" w:lineRule="auto"/>
              <w:jc w:val="left"/>
            </w:pPr>
            <w:r/>
            <w:r>
              <w:rPr>
                <w:rFonts w:ascii="Calibri" w:hAnsi="Calibri"/>
                <w:b w:val="0"/>
                <w:color w:val="1A1A1A"/>
                <w:sz w:val="16"/>
              </w:rPr>
              <w:t>Analysis-table schema, missingness, distributions, completeness, irrigation evidence and dictionaries.</w:t>
            </w:r>
          </w:p>
        </w:tc>
        <w:tc>
          <w:tcPr>
            <w:tcW w:type="dxa" w:w="4210"/>
          </w:tcPr>
          <w:p>
            <w:pPr>
              <w:spacing w:before="0" w:after="0" w:line="240" w:lineRule="auto"/>
              <w:jc w:val="left"/>
            </w:pPr>
            <w:r/>
            <w:r>
              <w:rPr>
                <w:rFonts w:ascii="Calibri" w:hAnsi="Calibri"/>
                <w:b w:val="0"/>
                <w:color w:val="1A1A1A"/>
                <w:sz w:val="16"/>
              </w:rPr>
              <w:t>No canonical matched-set-by-pass empirical table.</w:t>
            </w:r>
          </w:p>
        </w:tc>
      </w:tr>
      <w:tr>
        <w:tc>
          <w:tcPr>
            <w:tcW w:type="dxa" w:w="800"/>
          </w:tcPr>
          <w:p>
            <w:pPr>
              <w:spacing w:before="0" w:after="0" w:line="240" w:lineRule="auto"/>
              <w:jc w:val="left"/>
            </w:pPr>
            <w:r/>
            <w:r>
              <w:rPr>
                <w:rFonts w:ascii="Calibri" w:hAnsi="Calibri"/>
                <w:b w:val="0"/>
                <w:color w:val="1A1A1A"/>
                <w:sz w:val="16"/>
              </w:rPr>
              <w:t>10</w:t>
            </w:r>
          </w:p>
        </w:tc>
        <w:tc>
          <w:tcPr>
            <w:tcW w:type="dxa" w:w="4350"/>
          </w:tcPr>
          <w:p>
            <w:pPr>
              <w:spacing w:before="0" w:after="0" w:line="240" w:lineRule="auto"/>
              <w:jc w:val="left"/>
            </w:pPr>
            <w:r/>
            <w:r>
              <w:rPr>
                <w:rFonts w:ascii="Calibri" w:hAnsi="Calibri"/>
                <w:b w:val="0"/>
                <w:color w:val="1A1A1A"/>
                <w:sz w:val="16"/>
              </w:rPr>
              <w:t>Time-of-day models, common support, endpoint forest, day/night separation and diagnostics.</w:t>
            </w:r>
          </w:p>
        </w:tc>
        <w:tc>
          <w:tcPr>
            <w:tcW w:type="dxa" w:w="4210"/>
          </w:tcPr>
          <w:p>
            <w:pPr>
              <w:spacing w:before="0" w:after="0" w:line="240" w:lineRule="auto"/>
              <w:jc w:val="left"/>
            </w:pPr>
            <w:r/>
            <w:r>
              <w:rPr>
                <w:rFonts w:ascii="Calibri" w:hAnsi="Calibri"/>
                <w:b w:val="0"/>
                <w:color w:val="1A1A1A"/>
                <w:sz w:val="16"/>
              </w:rPr>
              <w:t>No empirical cooling estimate.</w:t>
            </w:r>
          </w:p>
        </w:tc>
      </w:tr>
      <w:tr>
        <w:tc>
          <w:tcPr>
            <w:tcW w:type="dxa" w:w="800"/>
          </w:tcPr>
          <w:p>
            <w:pPr>
              <w:spacing w:before="0" w:after="0" w:line="240" w:lineRule="auto"/>
              <w:jc w:val="left"/>
            </w:pPr>
            <w:r/>
            <w:r>
              <w:rPr>
                <w:rFonts w:ascii="Calibri" w:hAnsi="Calibri"/>
                <w:b w:val="0"/>
                <w:color w:val="1A1A1A"/>
                <w:sz w:val="16"/>
              </w:rPr>
              <w:t>11</w:t>
            </w:r>
          </w:p>
        </w:tc>
        <w:tc>
          <w:tcPr>
            <w:tcW w:type="dxa" w:w="4350"/>
          </w:tcPr>
          <w:p>
            <w:pPr>
              <w:spacing w:before="0" w:after="0" w:line="240" w:lineRule="auto"/>
              <w:jc w:val="left"/>
            </w:pPr>
            <w:r/>
            <w:r>
              <w:rPr>
                <w:rFonts w:ascii="Calibri" w:hAnsi="Calibri"/>
                <w:b w:val="0"/>
                <w:color w:val="1A1A1A"/>
                <w:sz w:val="16"/>
              </w:rPr>
              <w:t>Leave-one-simulated-city-out checks, quality panels, canopy standardization and holdout schema.</w:t>
            </w:r>
          </w:p>
        </w:tc>
        <w:tc>
          <w:tcPr>
            <w:tcW w:type="dxa" w:w="4210"/>
          </w:tcPr>
          <w:p>
            <w:pPr>
              <w:spacing w:before="0" w:after="0" w:line="240" w:lineRule="auto"/>
              <w:jc w:val="left"/>
            </w:pPr>
            <w:r/>
            <w:r>
              <w:rPr>
                <w:rFonts w:ascii="Calibri" w:hAnsi="Calibri"/>
                <w:b w:val="0"/>
                <w:color w:val="1A1A1A"/>
                <w:sz w:val="16"/>
              </w:rPr>
              <w:t>No real holdout selection or generalization result.</w:t>
            </w:r>
          </w:p>
        </w:tc>
      </w:tr>
      <w:tr>
        <w:tc>
          <w:tcPr>
            <w:tcW w:type="dxa" w:w="800"/>
          </w:tcPr>
          <w:p>
            <w:pPr>
              <w:spacing w:before="0" w:after="0" w:line="240" w:lineRule="auto"/>
              <w:jc w:val="left"/>
            </w:pPr>
            <w:r/>
            <w:r>
              <w:rPr>
                <w:rFonts w:ascii="Calibri" w:hAnsi="Calibri"/>
                <w:b w:val="0"/>
                <w:color w:val="1A1A1A"/>
                <w:sz w:val="16"/>
              </w:rPr>
              <w:t>12</w:t>
            </w:r>
          </w:p>
        </w:tc>
        <w:tc>
          <w:tcPr>
            <w:tcW w:type="dxa" w:w="4350"/>
          </w:tcPr>
          <w:p>
            <w:pPr>
              <w:spacing w:before="0" w:after="0" w:line="240" w:lineRule="auto"/>
              <w:jc w:val="left"/>
            </w:pPr>
            <w:r/>
            <w:r>
              <w:rPr>
                <w:rFonts w:ascii="Calibri" w:hAnsi="Calibri"/>
                <w:b w:val="0"/>
                <w:color w:val="1A1A1A"/>
                <w:sz w:val="16"/>
              </w:rPr>
              <w:t>Demand × dryness surfaces, support masking, slices, model comparisons and transition criteria.</w:t>
            </w:r>
          </w:p>
        </w:tc>
        <w:tc>
          <w:tcPr>
            <w:tcW w:type="dxa" w:w="4210"/>
          </w:tcPr>
          <w:p>
            <w:pPr>
              <w:spacing w:before="0" w:after="0" w:line="240" w:lineRule="auto"/>
              <w:jc w:val="left"/>
            </w:pPr>
            <w:r/>
            <w:r>
              <w:rPr>
                <w:rFonts w:ascii="Calibri" w:hAnsi="Calibri"/>
                <w:b w:val="0"/>
                <w:color w:val="1A1A1A"/>
                <w:sz w:val="16"/>
              </w:rPr>
              <w:t>No empirical surface or threshold claim.</w:t>
            </w:r>
          </w:p>
        </w:tc>
      </w:tr>
      <w:tr>
        <w:tc>
          <w:tcPr>
            <w:tcW w:type="dxa" w:w="800"/>
          </w:tcPr>
          <w:p>
            <w:pPr>
              <w:spacing w:before="0" w:after="0" w:line="240" w:lineRule="auto"/>
              <w:jc w:val="left"/>
            </w:pPr>
            <w:r/>
            <w:r>
              <w:rPr>
                <w:rFonts w:ascii="Calibri" w:hAnsi="Calibri"/>
                <w:b w:val="0"/>
                <w:color w:val="1A1A1A"/>
                <w:sz w:val="16"/>
              </w:rPr>
              <w:t>13</w:t>
            </w:r>
          </w:p>
        </w:tc>
        <w:tc>
          <w:tcPr>
            <w:tcW w:type="dxa" w:w="4350"/>
          </w:tcPr>
          <w:p>
            <w:pPr>
              <w:spacing w:before="0" w:after="0" w:line="240" w:lineRule="auto"/>
              <w:jc w:val="left"/>
            </w:pPr>
            <w:r/>
            <w:r>
              <w:rPr>
                <w:rFonts w:ascii="Calibri" w:hAnsi="Calibri"/>
                <w:b w:val="0"/>
                <w:color w:val="1A1A1A"/>
                <w:sz w:val="16"/>
              </w:rPr>
              <w:t>Placebo, night, sensitivity, radiative attenuation and uncertainty-budget workflows.</w:t>
            </w:r>
          </w:p>
        </w:tc>
        <w:tc>
          <w:tcPr>
            <w:tcW w:type="dxa" w:w="4210"/>
          </w:tcPr>
          <w:p>
            <w:pPr>
              <w:spacing w:before="0" w:after="0" w:line="240" w:lineRule="auto"/>
              <w:jc w:val="left"/>
            </w:pPr>
            <w:r/>
            <w:r>
              <w:rPr>
                <w:rFonts w:ascii="Calibri" w:hAnsi="Calibri"/>
                <w:b w:val="0"/>
                <w:color w:val="1A1A1A"/>
                <w:sz w:val="16"/>
              </w:rPr>
              <w:t>No empirical robustness or detection-limit comparison.</w:t>
            </w:r>
          </w:p>
        </w:tc>
      </w:tr>
      <w:tr>
        <w:tc>
          <w:tcPr>
            <w:tcW w:type="dxa" w:w="800"/>
          </w:tcPr>
          <w:p>
            <w:pPr>
              <w:spacing w:before="0" w:after="0" w:line="240" w:lineRule="auto"/>
              <w:jc w:val="left"/>
            </w:pPr>
            <w:r/>
            <w:r>
              <w:rPr>
                <w:rFonts w:ascii="Calibri" w:hAnsi="Calibri"/>
                <w:b w:val="0"/>
                <w:color w:val="1A1A1A"/>
                <w:sz w:val="16"/>
              </w:rPr>
              <w:t>14</w:t>
            </w:r>
          </w:p>
        </w:tc>
        <w:tc>
          <w:tcPr>
            <w:tcW w:type="dxa" w:w="4350"/>
          </w:tcPr>
          <w:p>
            <w:pPr>
              <w:spacing w:before="0" w:after="0" w:line="240" w:lineRule="auto"/>
              <w:jc w:val="left"/>
            </w:pPr>
            <w:r/>
            <w:r>
              <w:rPr>
                <w:rFonts w:ascii="Calibri" w:hAnsi="Calibri"/>
                <w:b w:val="0"/>
                <w:color w:val="1A1A1A"/>
                <w:sz w:val="16"/>
              </w:rPr>
              <w:t>Six synthetic paper layouts; real STOP memo; confirmatory NOT RUN report; hashed package inventory.</w:t>
            </w:r>
          </w:p>
        </w:tc>
        <w:tc>
          <w:tcPr>
            <w:tcW w:type="dxa" w:w="4210"/>
          </w:tcPr>
          <w:p>
            <w:pPr>
              <w:spacing w:before="0" w:after="0" w:line="240" w:lineRule="auto"/>
              <w:jc w:val="left"/>
            </w:pPr>
            <w:r/>
            <w:r>
              <w:rPr>
                <w:rFonts w:ascii="Calibri" w:hAnsi="Calibri"/>
                <w:b w:val="0"/>
                <w:color w:val="1A1A1A"/>
                <w:sz w:val="16"/>
              </w:rPr>
              <w:t>No empirical manuscript, holdout/2026 confirmation, public scientific release or independent rebuild.</w:t>
            </w:r>
          </w:p>
        </w:tc>
      </w:tr>
    </w:tbl>
    <w:p>
      <w:pPr>
        <w:spacing w:after="0"/>
      </w:pP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Borders>
              <w:top w:val="single" w:sz="12" w:color="B26A00"/>
              <w:left w:val="single" w:sz="12" w:color="B26A00"/>
              <w:bottom w:val="single" w:sz="12" w:color="B26A00"/>
              <w:right w:val="single" w:sz="12" w:color="B26A00"/>
            </w:tcBorders>
          </w:tcPr>
          <w:p>
            <w:pPr>
              <w:spacing w:after="60"/>
            </w:pPr>
            <w:r>
              <w:rPr>
                <w:rFonts w:ascii="Calibri" w:hAnsi="Calibri"/>
                <w:b/>
                <w:color w:val="B26A00"/>
                <w:sz w:val="23"/>
              </w:rPr>
              <w:t>Coverage of the source guide</w:t>
            </w:r>
          </w:p>
          <w:p>
            <w:pPr>
              <w:spacing w:after="0" w:line="264" w:lineRule="auto"/>
            </w:pPr>
            <w:r>
              <w:rPr>
                <w:rFonts w:ascii="Calibri" w:hAnsi="Calibri"/>
                <w:color w:val="1A1A1A"/>
                <w:sz w:val="21"/>
              </w:rPr>
              <w:t>Artifacts occupy all 109 normalized guide ID slots: 7 canonical Step 1 deliverables plus 102 Step 2–14 package IDs. Coverage of an ID proves that the workflow and expected deliverable structure exist; only the evidence label determines whether it is an empirical scientific result.</w:t>
            </w:r>
          </w:p>
        </w:tc>
      </w:tr>
    </w:tbl>
    <w:p>
      <w:pPr>
        <w:spacing w:after="0"/>
      </w:pPr>
    </w:p>
    <w:p>
      <w:pPr>
        <w:pageBreakBefore/>
        <w:spacing w:before="0" w:after="0"/>
      </w:pPr>
    </w:p>
    <w:p>
      <w:pPr>
        <w:spacing w:before="0" w:after="100"/>
      </w:pPr>
      <w:r>
        <w:rPr>
          <w:rFonts w:ascii="Calibri" w:hAnsi="Calibri"/>
          <w:b/>
          <w:smallCaps/>
          <w:color w:val="2E74B5"/>
          <w:sz w:val="18"/>
        </w:rPr>
        <w:t>CANONICAL EMPIRICAL EVIDENCE</w:t>
      </w:r>
    </w:p>
    <w:p>
      <w:pPr>
        <w:pStyle w:val="Heading1"/>
        <w:keepNext/>
      </w:pPr>
      <w:r>
        <w:t>3. Step 1 — five-city weather-condition feasibility</w:t>
      </w:r>
    </w:p>
    <w:p>
      <w:pPr>
        <w:keepLines w:val="0"/>
        <w:spacing w:after="120" w:line="264" w:lineRule="auto"/>
      </w:pPr>
      <w:r>
        <w:rPr>
          <w:rFonts w:ascii="Calibri" w:hAnsi="Calibri"/>
          <w:color w:val="1A1A1A"/>
          <w:sz w:val="22"/>
        </w:rPr>
        <w:t>Step 1 is the only fully completed empirical scientific stage. It asks whether atmospheric demand and antecedent climatic dryness occupy enough independent combinations to support later interaction analyses. It does not use or estimate land-surface temperature.</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2F8"/>
            <w:tcBorders>
              <w:top w:val="single" w:sz="12" w:color="2E74B5"/>
              <w:left w:val="single" w:sz="12" w:color="2E74B5"/>
              <w:bottom w:val="single" w:sz="12" w:color="2E74B5"/>
              <w:right w:val="single" w:sz="12" w:color="2E74B5"/>
            </w:tcBorders>
          </w:tcPr>
          <w:p>
            <w:pPr>
              <w:spacing w:after="60"/>
            </w:pPr>
            <w:r>
              <w:rPr>
                <w:rFonts w:ascii="Calibri" w:hAnsi="Calibri"/>
                <w:b/>
                <w:color w:val="1F4D78"/>
                <w:sz w:val="23"/>
              </w:rPr>
              <w:t>Step 1 decision: cross_city_separation_only</w:t>
            </w:r>
          </w:p>
          <w:p>
            <w:pPr>
              <w:spacing w:after="0" w:line="264" w:lineRule="auto"/>
            </w:pPr>
            <w:r>
              <w:rPr>
                <w:rFonts w:ascii="Calibri" w:hAnsi="Calibri"/>
                <w:color w:val="1A1A1A"/>
                <w:sz w:val="21"/>
              </w:rPr>
              <w:t>The predeclared strong case required adequate clear-sky corner support in at least three cities. Only Los Angeles and Minneapolis–St. Paul passed. The current recommendation is a cross-city/common-support comparison, with an explicit city-confounding limitation and consideration of an additional city.</w:t>
            </w:r>
          </w:p>
        </w:tc>
      </w:tr>
    </w:tbl>
    <w:p>
      <w:pPr>
        <w:spacing w:after="0"/>
      </w:pPr>
    </w:p>
    <w:p>
      <w:pPr>
        <w:pStyle w:val="Heading2"/>
        <w:keepNext/>
      </w:pPr>
      <w:r>
        <w:t>City domains and clear-sky availability</w:t>
      </w:r>
    </w:p>
    <w:tbl>
      <w:tblPr>
        <w:tblStyle w:val="TableGrid"/>
        <w:tblW w:type="dxa" w:w="9360"/>
        <w:jc w:val="center"/>
        <w:tblLayout w:type="fixed"/>
        <w:tblLook w:firstColumn="1" w:firstRow="1" w:lastColumn="0" w:lastRow="0" w:noHBand="0" w:noVBand="1" w:val="04A0"/>
        <w:tblInd w:w="120" w:type="dxa"/>
      </w:tblPr>
      <w:tblGrid>
        <w:gridCol w:w="2100"/>
        <w:gridCol w:w="1000"/>
        <w:gridCol w:w="1500"/>
        <w:gridCol w:w="1500"/>
        <w:gridCol w:w="1500"/>
        <w:gridCol w:w="1760"/>
      </w:tblGrid>
      <w:tr>
        <w:trPr>
          <w:tblHeader w:val="true"/>
        </w:trPr>
        <w:tc>
          <w:tcPr>
            <w:tcW w:type="dxa" w:w="210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7"/>
              </w:rPr>
              <w:t>City</w:t>
            </w:r>
          </w:p>
        </w:tc>
        <w:tc>
          <w:tcPr>
            <w:tcW w:type="dxa" w:w="100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7"/>
              </w:rPr>
              <w:t>Census UA</w:t>
            </w:r>
          </w:p>
        </w:tc>
        <w:tc>
          <w:tcPr>
            <w:tcW w:type="dxa" w:w="150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7"/>
              </w:rPr>
              <w:t>Area (km²)</w:t>
            </w:r>
          </w:p>
        </w:tc>
        <w:tc>
          <w:tcPr>
            <w:tcW w:type="dxa" w:w="150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7"/>
              </w:rPr>
              <w:t>Summer days</w:t>
            </w:r>
          </w:p>
        </w:tc>
        <w:tc>
          <w:tcPr>
            <w:tcW w:type="dxa" w:w="150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7"/>
              </w:rPr>
              <w:t>Clear days</w:t>
            </w:r>
          </w:p>
        </w:tc>
        <w:tc>
          <w:tcPr>
            <w:tcW w:type="dxa" w:w="176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7"/>
              </w:rPr>
              <w:t>Clear %</w:t>
            </w:r>
          </w:p>
        </w:tc>
      </w:tr>
      <w:tr>
        <w:tc>
          <w:tcPr>
            <w:tcW w:type="dxa" w:w="2100"/>
          </w:tcPr>
          <w:p>
            <w:pPr>
              <w:spacing w:before="0" w:after="0" w:line="240" w:lineRule="auto"/>
              <w:jc w:val="left"/>
            </w:pPr>
            <w:r/>
            <w:r>
              <w:rPr>
                <w:rFonts w:ascii="Calibri" w:hAnsi="Calibri"/>
                <w:b w:val="0"/>
                <w:color w:val="1A1A1A"/>
                <w:sz w:val="17"/>
              </w:rPr>
              <w:t>Atlanta</w:t>
            </w:r>
          </w:p>
        </w:tc>
        <w:tc>
          <w:tcPr>
            <w:tcW w:type="dxa" w:w="1000"/>
          </w:tcPr>
          <w:p>
            <w:pPr>
              <w:spacing w:before="0" w:after="0" w:line="240" w:lineRule="auto"/>
              <w:jc w:val="left"/>
            </w:pPr>
            <w:r/>
            <w:r>
              <w:rPr>
                <w:rFonts w:ascii="Calibri" w:hAnsi="Calibri"/>
                <w:b w:val="0"/>
                <w:color w:val="1A1A1A"/>
                <w:sz w:val="17"/>
              </w:rPr>
              <w:t>03817</w:t>
            </w:r>
          </w:p>
        </w:tc>
        <w:tc>
          <w:tcPr>
            <w:tcW w:type="dxa" w:w="1500"/>
          </w:tcPr>
          <w:p>
            <w:pPr>
              <w:spacing w:before="0" w:after="0" w:line="240" w:lineRule="auto"/>
              <w:jc w:val="left"/>
            </w:pPr>
            <w:r/>
            <w:r>
              <w:rPr>
                <w:rFonts w:ascii="Calibri" w:hAnsi="Calibri"/>
                <w:b w:val="0"/>
                <w:color w:val="1A1A1A"/>
                <w:sz w:val="17"/>
              </w:rPr>
              <w:t>6,612.80</w:t>
            </w:r>
          </w:p>
        </w:tc>
        <w:tc>
          <w:tcPr>
            <w:tcW w:type="dxa" w:w="1500"/>
          </w:tcPr>
          <w:p>
            <w:pPr>
              <w:spacing w:before="0" w:after="0" w:line="240" w:lineRule="auto"/>
              <w:jc w:val="left"/>
            </w:pPr>
            <w:r/>
            <w:r>
              <w:rPr>
                <w:rFonts w:ascii="Calibri" w:hAnsi="Calibri"/>
                <w:b w:val="0"/>
                <w:color w:val="1A1A1A"/>
                <w:sz w:val="17"/>
              </w:rPr>
              <w:t>976</w:t>
            </w:r>
          </w:p>
        </w:tc>
        <w:tc>
          <w:tcPr>
            <w:tcW w:type="dxa" w:w="1500"/>
          </w:tcPr>
          <w:p>
            <w:pPr>
              <w:spacing w:before="0" w:after="0" w:line="240" w:lineRule="auto"/>
              <w:jc w:val="left"/>
            </w:pPr>
            <w:r/>
            <w:r>
              <w:rPr>
                <w:rFonts w:ascii="Calibri" w:hAnsi="Calibri"/>
                <w:b w:val="0"/>
                <w:color w:val="1A1A1A"/>
                <w:sz w:val="17"/>
              </w:rPr>
              <w:t>133</w:t>
            </w:r>
          </w:p>
        </w:tc>
        <w:tc>
          <w:tcPr>
            <w:tcW w:type="dxa" w:w="1760"/>
          </w:tcPr>
          <w:p>
            <w:pPr>
              <w:spacing w:before="0" w:after="0" w:line="240" w:lineRule="auto"/>
              <w:jc w:val="left"/>
            </w:pPr>
            <w:r/>
            <w:r>
              <w:rPr>
                <w:rFonts w:ascii="Calibri" w:hAnsi="Calibri"/>
                <w:b w:val="0"/>
                <w:color w:val="1A1A1A"/>
                <w:sz w:val="17"/>
              </w:rPr>
              <w:t>13.63%</w:t>
            </w:r>
          </w:p>
        </w:tc>
      </w:tr>
      <w:tr>
        <w:tc>
          <w:tcPr>
            <w:tcW w:type="dxa" w:w="2100"/>
          </w:tcPr>
          <w:p>
            <w:pPr>
              <w:spacing w:before="0" w:after="0" w:line="240" w:lineRule="auto"/>
              <w:jc w:val="left"/>
            </w:pPr>
            <w:r/>
            <w:r>
              <w:rPr>
                <w:rFonts w:ascii="Calibri" w:hAnsi="Calibri"/>
                <w:b w:val="0"/>
                <w:color w:val="1A1A1A"/>
                <w:sz w:val="17"/>
              </w:rPr>
              <w:t>Los Angeles</w:t>
            </w:r>
          </w:p>
        </w:tc>
        <w:tc>
          <w:tcPr>
            <w:tcW w:type="dxa" w:w="1000"/>
          </w:tcPr>
          <w:p>
            <w:pPr>
              <w:spacing w:before="0" w:after="0" w:line="240" w:lineRule="auto"/>
              <w:jc w:val="left"/>
            </w:pPr>
            <w:r/>
            <w:r>
              <w:rPr>
                <w:rFonts w:ascii="Calibri" w:hAnsi="Calibri"/>
                <w:b w:val="0"/>
                <w:color w:val="1A1A1A"/>
                <w:sz w:val="17"/>
              </w:rPr>
              <w:t>51445</w:t>
            </w:r>
          </w:p>
        </w:tc>
        <w:tc>
          <w:tcPr>
            <w:tcW w:type="dxa" w:w="1500"/>
          </w:tcPr>
          <w:p>
            <w:pPr>
              <w:spacing w:before="0" w:after="0" w:line="240" w:lineRule="auto"/>
              <w:jc w:val="left"/>
            </w:pPr>
            <w:r/>
            <w:r>
              <w:rPr>
                <w:rFonts w:ascii="Calibri" w:hAnsi="Calibri"/>
                <w:b w:val="0"/>
                <w:color w:val="1A1A1A"/>
                <w:sz w:val="17"/>
              </w:rPr>
              <w:t>4,242.65</w:t>
            </w:r>
          </w:p>
        </w:tc>
        <w:tc>
          <w:tcPr>
            <w:tcW w:type="dxa" w:w="1500"/>
          </w:tcPr>
          <w:p>
            <w:pPr>
              <w:spacing w:before="0" w:after="0" w:line="240" w:lineRule="auto"/>
              <w:jc w:val="left"/>
            </w:pPr>
            <w:r/>
            <w:r>
              <w:rPr>
                <w:rFonts w:ascii="Calibri" w:hAnsi="Calibri"/>
                <w:b w:val="0"/>
                <w:color w:val="1A1A1A"/>
                <w:sz w:val="17"/>
              </w:rPr>
              <w:t>976</w:t>
            </w:r>
          </w:p>
        </w:tc>
        <w:tc>
          <w:tcPr>
            <w:tcW w:type="dxa" w:w="1500"/>
          </w:tcPr>
          <w:p>
            <w:pPr>
              <w:spacing w:before="0" w:after="0" w:line="240" w:lineRule="auto"/>
              <w:jc w:val="left"/>
            </w:pPr>
            <w:r/>
            <w:r>
              <w:rPr>
                <w:rFonts w:ascii="Calibri" w:hAnsi="Calibri"/>
                <w:b w:val="0"/>
                <w:color w:val="1A1A1A"/>
                <w:sz w:val="17"/>
              </w:rPr>
              <w:t>659</w:t>
            </w:r>
          </w:p>
        </w:tc>
        <w:tc>
          <w:tcPr>
            <w:tcW w:type="dxa" w:w="1760"/>
          </w:tcPr>
          <w:p>
            <w:pPr>
              <w:spacing w:before="0" w:after="0" w:line="240" w:lineRule="auto"/>
              <w:jc w:val="left"/>
            </w:pPr>
            <w:r/>
            <w:r>
              <w:rPr>
                <w:rFonts w:ascii="Calibri" w:hAnsi="Calibri"/>
                <w:b w:val="0"/>
                <w:color w:val="1A1A1A"/>
                <w:sz w:val="17"/>
              </w:rPr>
              <w:t>67.52%</w:t>
            </w:r>
          </w:p>
        </w:tc>
      </w:tr>
      <w:tr>
        <w:tc>
          <w:tcPr>
            <w:tcW w:type="dxa" w:w="2100"/>
          </w:tcPr>
          <w:p>
            <w:pPr>
              <w:spacing w:before="0" w:after="0" w:line="240" w:lineRule="auto"/>
              <w:jc w:val="left"/>
            </w:pPr>
            <w:r/>
            <w:r>
              <w:rPr>
                <w:rFonts w:ascii="Calibri" w:hAnsi="Calibri"/>
                <w:b w:val="0"/>
                <w:color w:val="1A1A1A"/>
                <w:sz w:val="17"/>
              </w:rPr>
              <w:t>Miami</w:t>
            </w:r>
          </w:p>
        </w:tc>
        <w:tc>
          <w:tcPr>
            <w:tcW w:type="dxa" w:w="1000"/>
          </w:tcPr>
          <w:p>
            <w:pPr>
              <w:spacing w:before="0" w:after="0" w:line="240" w:lineRule="auto"/>
              <w:jc w:val="left"/>
            </w:pPr>
            <w:r/>
            <w:r>
              <w:rPr>
                <w:rFonts w:ascii="Calibri" w:hAnsi="Calibri"/>
                <w:b w:val="0"/>
                <w:color w:val="1A1A1A"/>
                <w:sz w:val="17"/>
              </w:rPr>
              <w:t>56602</w:t>
            </w:r>
          </w:p>
        </w:tc>
        <w:tc>
          <w:tcPr>
            <w:tcW w:type="dxa" w:w="1500"/>
          </w:tcPr>
          <w:p>
            <w:pPr>
              <w:spacing w:before="0" w:after="0" w:line="240" w:lineRule="auto"/>
              <w:jc w:val="left"/>
            </w:pPr>
            <w:r/>
            <w:r>
              <w:rPr>
                <w:rFonts w:ascii="Calibri" w:hAnsi="Calibri"/>
                <w:b w:val="0"/>
                <w:color w:val="1A1A1A"/>
                <w:sz w:val="17"/>
              </w:rPr>
              <w:t>3,223.01</w:t>
            </w:r>
          </w:p>
        </w:tc>
        <w:tc>
          <w:tcPr>
            <w:tcW w:type="dxa" w:w="1500"/>
          </w:tcPr>
          <w:p>
            <w:pPr>
              <w:spacing w:before="0" w:after="0" w:line="240" w:lineRule="auto"/>
              <w:jc w:val="left"/>
            </w:pPr>
            <w:r/>
            <w:r>
              <w:rPr>
                <w:rFonts w:ascii="Calibri" w:hAnsi="Calibri"/>
                <w:b w:val="0"/>
                <w:color w:val="1A1A1A"/>
                <w:sz w:val="17"/>
              </w:rPr>
              <w:t>976</w:t>
            </w:r>
          </w:p>
        </w:tc>
        <w:tc>
          <w:tcPr>
            <w:tcW w:type="dxa" w:w="1500"/>
          </w:tcPr>
          <w:p>
            <w:pPr>
              <w:spacing w:before="0" w:after="0" w:line="240" w:lineRule="auto"/>
              <w:jc w:val="left"/>
            </w:pPr>
            <w:r/>
            <w:r>
              <w:rPr>
                <w:rFonts w:ascii="Calibri" w:hAnsi="Calibri"/>
                <w:b w:val="0"/>
                <w:color w:val="1A1A1A"/>
                <w:sz w:val="17"/>
              </w:rPr>
              <w:t>68</w:t>
            </w:r>
          </w:p>
        </w:tc>
        <w:tc>
          <w:tcPr>
            <w:tcW w:type="dxa" w:w="1760"/>
          </w:tcPr>
          <w:p>
            <w:pPr>
              <w:spacing w:before="0" w:after="0" w:line="240" w:lineRule="auto"/>
              <w:jc w:val="left"/>
            </w:pPr>
            <w:r/>
            <w:r>
              <w:rPr>
                <w:rFonts w:ascii="Calibri" w:hAnsi="Calibri"/>
                <w:b w:val="0"/>
                <w:color w:val="1A1A1A"/>
                <w:sz w:val="17"/>
              </w:rPr>
              <w:t>6.97%</w:t>
            </w:r>
          </w:p>
        </w:tc>
      </w:tr>
      <w:tr>
        <w:tc>
          <w:tcPr>
            <w:tcW w:type="dxa" w:w="2100"/>
          </w:tcPr>
          <w:p>
            <w:pPr>
              <w:spacing w:before="0" w:after="0" w:line="240" w:lineRule="auto"/>
              <w:jc w:val="left"/>
            </w:pPr>
            <w:r/>
            <w:r>
              <w:rPr>
                <w:rFonts w:ascii="Calibri" w:hAnsi="Calibri"/>
                <w:b w:val="0"/>
                <w:color w:val="1A1A1A"/>
                <w:sz w:val="17"/>
              </w:rPr>
              <w:t>Minneapolis–St. Paul</w:t>
            </w:r>
          </w:p>
        </w:tc>
        <w:tc>
          <w:tcPr>
            <w:tcW w:type="dxa" w:w="1000"/>
          </w:tcPr>
          <w:p>
            <w:pPr>
              <w:spacing w:before="0" w:after="0" w:line="240" w:lineRule="auto"/>
              <w:jc w:val="left"/>
            </w:pPr>
            <w:r/>
            <w:r>
              <w:rPr>
                <w:rFonts w:ascii="Calibri" w:hAnsi="Calibri"/>
                <w:b w:val="0"/>
                <w:color w:val="1A1A1A"/>
                <w:sz w:val="17"/>
              </w:rPr>
              <w:t>57628</w:t>
            </w:r>
          </w:p>
        </w:tc>
        <w:tc>
          <w:tcPr>
            <w:tcW w:type="dxa" w:w="1500"/>
          </w:tcPr>
          <w:p>
            <w:pPr>
              <w:spacing w:before="0" w:after="0" w:line="240" w:lineRule="auto"/>
              <w:jc w:val="left"/>
            </w:pPr>
            <w:r/>
            <w:r>
              <w:rPr>
                <w:rFonts w:ascii="Calibri" w:hAnsi="Calibri"/>
                <w:b w:val="0"/>
                <w:color w:val="1A1A1A"/>
                <w:sz w:val="17"/>
              </w:rPr>
              <w:t>2,628.48</w:t>
            </w:r>
          </w:p>
        </w:tc>
        <w:tc>
          <w:tcPr>
            <w:tcW w:type="dxa" w:w="1500"/>
          </w:tcPr>
          <w:p>
            <w:pPr>
              <w:spacing w:before="0" w:after="0" w:line="240" w:lineRule="auto"/>
              <w:jc w:val="left"/>
            </w:pPr>
            <w:r/>
            <w:r>
              <w:rPr>
                <w:rFonts w:ascii="Calibri" w:hAnsi="Calibri"/>
                <w:b w:val="0"/>
                <w:color w:val="1A1A1A"/>
                <w:sz w:val="17"/>
              </w:rPr>
              <w:t>976</w:t>
            </w:r>
          </w:p>
        </w:tc>
        <w:tc>
          <w:tcPr>
            <w:tcW w:type="dxa" w:w="1500"/>
          </w:tcPr>
          <w:p>
            <w:pPr>
              <w:spacing w:before="0" w:after="0" w:line="240" w:lineRule="auto"/>
              <w:jc w:val="left"/>
            </w:pPr>
            <w:r/>
            <w:r>
              <w:rPr>
                <w:rFonts w:ascii="Calibri" w:hAnsi="Calibri"/>
                <w:b w:val="0"/>
                <w:color w:val="1A1A1A"/>
                <w:sz w:val="17"/>
              </w:rPr>
              <w:t>263</w:t>
            </w:r>
          </w:p>
        </w:tc>
        <w:tc>
          <w:tcPr>
            <w:tcW w:type="dxa" w:w="1760"/>
          </w:tcPr>
          <w:p>
            <w:pPr>
              <w:spacing w:before="0" w:after="0" w:line="240" w:lineRule="auto"/>
              <w:jc w:val="left"/>
            </w:pPr>
            <w:r/>
            <w:r>
              <w:rPr>
                <w:rFonts w:ascii="Calibri" w:hAnsi="Calibri"/>
                <w:b w:val="0"/>
                <w:color w:val="1A1A1A"/>
                <w:sz w:val="17"/>
              </w:rPr>
              <w:t>26.95%</w:t>
            </w:r>
          </w:p>
        </w:tc>
      </w:tr>
      <w:tr>
        <w:tc>
          <w:tcPr>
            <w:tcW w:type="dxa" w:w="2100"/>
          </w:tcPr>
          <w:p>
            <w:pPr>
              <w:spacing w:before="0" w:after="0" w:line="240" w:lineRule="auto"/>
              <w:jc w:val="left"/>
            </w:pPr>
            <w:r/>
            <w:r>
              <w:rPr>
                <w:rFonts w:ascii="Calibri" w:hAnsi="Calibri"/>
                <w:b w:val="0"/>
                <w:color w:val="1A1A1A"/>
                <w:sz w:val="17"/>
              </w:rPr>
              <w:t>Phoenix</w:t>
            </w:r>
          </w:p>
        </w:tc>
        <w:tc>
          <w:tcPr>
            <w:tcW w:type="dxa" w:w="1000"/>
          </w:tcPr>
          <w:p>
            <w:pPr>
              <w:spacing w:before="0" w:after="0" w:line="240" w:lineRule="auto"/>
              <w:jc w:val="left"/>
            </w:pPr>
            <w:r/>
            <w:r>
              <w:rPr>
                <w:rFonts w:ascii="Calibri" w:hAnsi="Calibri"/>
                <w:b w:val="0"/>
                <w:color w:val="1A1A1A"/>
                <w:sz w:val="17"/>
              </w:rPr>
              <w:t>69184</w:t>
            </w:r>
          </w:p>
        </w:tc>
        <w:tc>
          <w:tcPr>
            <w:tcW w:type="dxa" w:w="1500"/>
          </w:tcPr>
          <w:p>
            <w:pPr>
              <w:spacing w:before="0" w:after="0" w:line="240" w:lineRule="auto"/>
              <w:jc w:val="left"/>
            </w:pPr>
            <w:r/>
            <w:r>
              <w:rPr>
                <w:rFonts w:ascii="Calibri" w:hAnsi="Calibri"/>
                <w:b w:val="0"/>
                <w:color w:val="1A1A1A"/>
                <w:sz w:val="17"/>
              </w:rPr>
              <w:t>2,876.31</w:t>
            </w:r>
          </w:p>
        </w:tc>
        <w:tc>
          <w:tcPr>
            <w:tcW w:type="dxa" w:w="1500"/>
          </w:tcPr>
          <w:p>
            <w:pPr>
              <w:spacing w:before="0" w:after="0" w:line="240" w:lineRule="auto"/>
              <w:jc w:val="left"/>
            </w:pPr>
            <w:r/>
            <w:r>
              <w:rPr>
                <w:rFonts w:ascii="Calibri" w:hAnsi="Calibri"/>
                <w:b w:val="0"/>
                <w:color w:val="1A1A1A"/>
                <w:sz w:val="17"/>
              </w:rPr>
              <w:t>976</w:t>
            </w:r>
          </w:p>
        </w:tc>
        <w:tc>
          <w:tcPr>
            <w:tcW w:type="dxa" w:w="1500"/>
          </w:tcPr>
          <w:p>
            <w:pPr>
              <w:spacing w:before="0" w:after="0" w:line="240" w:lineRule="auto"/>
              <w:jc w:val="left"/>
            </w:pPr>
            <w:r/>
            <w:r>
              <w:rPr>
                <w:rFonts w:ascii="Calibri" w:hAnsi="Calibri"/>
                <w:b w:val="0"/>
                <w:color w:val="1A1A1A"/>
                <w:sz w:val="17"/>
              </w:rPr>
              <w:t>697</w:t>
            </w:r>
          </w:p>
        </w:tc>
        <w:tc>
          <w:tcPr>
            <w:tcW w:type="dxa" w:w="1760"/>
          </w:tcPr>
          <w:p>
            <w:pPr>
              <w:spacing w:before="0" w:after="0" w:line="240" w:lineRule="auto"/>
              <w:jc w:val="left"/>
            </w:pPr>
            <w:r/>
            <w:r>
              <w:rPr>
                <w:rFonts w:ascii="Calibri" w:hAnsi="Calibri"/>
                <w:b w:val="0"/>
                <w:color w:val="1A1A1A"/>
                <w:sz w:val="17"/>
              </w:rPr>
              <w:t>71.41%</w:t>
            </w:r>
          </w:p>
        </w:tc>
      </w:tr>
    </w:tbl>
    <w:p>
      <w:pPr>
        <w:spacing w:after="0"/>
      </w:pPr>
    </w:p>
    <w:p>
      <w:pPr>
        <w:pStyle w:val="Heading2"/>
        <w:keepNext/>
      </w:pPr>
      <w:r>
        <w:t>Thirty-day feasibility result</w:t>
      </w:r>
    </w:p>
    <w:tbl>
      <w:tblPr>
        <w:tblStyle w:val="TableGrid"/>
        <w:tblW w:type="dxa" w:w="9360"/>
        <w:jc w:val="center"/>
        <w:tblLayout w:type="fixed"/>
        <w:tblLook w:firstColumn="1" w:firstRow="1" w:lastColumn="0" w:lastRow="0" w:noHBand="0" w:noVBand="1" w:val="04A0"/>
        <w:tblInd w:w="120" w:type="dxa"/>
      </w:tblPr>
      <w:tblGrid>
        <w:gridCol w:w="1750"/>
        <w:gridCol w:w="1300"/>
        <w:gridCol w:w="1200"/>
        <w:gridCol w:w="1250"/>
        <w:gridCol w:w="2300"/>
        <w:gridCol w:w="1560"/>
      </w:tblGrid>
      <w:tr>
        <w:trPr>
          <w:tblHeader w:val="true"/>
        </w:trPr>
        <w:tc>
          <w:tcPr>
            <w:tcW w:type="dxa" w:w="175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7"/>
              </w:rPr>
              <w:t>City</w:t>
            </w:r>
          </w:p>
        </w:tc>
        <w:tc>
          <w:tcPr>
            <w:tcW w:type="dxa" w:w="130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7"/>
              </w:rPr>
              <w:t>High-demand / wet</w:t>
            </w:r>
          </w:p>
        </w:tc>
        <w:tc>
          <w:tcPr>
            <w:tcW w:type="dxa" w:w="120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7"/>
              </w:rPr>
              <w:t>Low-demand / dry</w:t>
            </w:r>
          </w:p>
        </w:tc>
        <w:tc>
          <w:tcPr>
            <w:tcW w:type="dxa" w:w="125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7"/>
              </w:rPr>
              <w:t>Combined share</w:t>
            </w:r>
          </w:p>
        </w:tc>
        <w:tc>
          <w:tcPr>
            <w:tcW w:type="dxa" w:w="230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7"/>
              </w:rPr>
              <w:t>Clear-sky Spearman ρ (95% CI)</w:t>
            </w:r>
          </w:p>
        </w:tc>
        <w:tc>
          <w:tcPr>
            <w:tcW w:type="dxa" w:w="156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7"/>
              </w:rPr>
              <w:t>Within-city support</w:t>
            </w:r>
          </w:p>
        </w:tc>
      </w:tr>
      <w:tr>
        <w:tc>
          <w:tcPr>
            <w:tcW w:type="dxa" w:w="1750"/>
          </w:tcPr>
          <w:p>
            <w:pPr>
              <w:spacing w:before="0" w:after="0" w:line="240" w:lineRule="auto"/>
              <w:jc w:val="left"/>
            </w:pPr>
            <w:r/>
            <w:r>
              <w:rPr>
                <w:rFonts w:ascii="Calibri" w:hAnsi="Calibri"/>
                <w:b w:val="0"/>
                <w:color w:val="1A1A1A"/>
                <w:sz w:val="17"/>
              </w:rPr>
              <w:t>Atlanta</w:t>
            </w:r>
          </w:p>
        </w:tc>
        <w:tc>
          <w:tcPr>
            <w:tcW w:type="dxa" w:w="1300"/>
          </w:tcPr>
          <w:p>
            <w:pPr>
              <w:spacing w:before="0" w:after="0" w:line="240" w:lineRule="auto"/>
              <w:jc w:val="left"/>
            </w:pPr>
            <w:r/>
            <w:r>
              <w:rPr>
                <w:rFonts w:ascii="Calibri" w:hAnsi="Calibri"/>
                <w:b w:val="0"/>
                <w:color w:val="1A1A1A"/>
                <w:sz w:val="17"/>
              </w:rPr>
              <w:t>11</w:t>
            </w:r>
          </w:p>
        </w:tc>
        <w:tc>
          <w:tcPr>
            <w:tcW w:type="dxa" w:w="1200"/>
          </w:tcPr>
          <w:p>
            <w:pPr>
              <w:spacing w:before="0" w:after="0" w:line="240" w:lineRule="auto"/>
              <w:jc w:val="left"/>
            </w:pPr>
            <w:r/>
            <w:r>
              <w:rPr>
                <w:rFonts w:ascii="Calibri" w:hAnsi="Calibri"/>
                <w:b w:val="0"/>
                <w:color w:val="1A1A1A"/>
                <w:sz w:val="17"/>
              </w:rPr>
              <w:t>2</w:t>
            </w:r>
          </w:p>
        </w:tc>
        <w:tc>
          <w:tcPr>
            <w:tcW w:type="dxa" w:w="1250"/>
          </w:tcPr>
          <w:p>
            <w:pPr>
              <w:spacing w:before="0" w:after="0" w:line="240" w:lineRule="auto"/>
              <w:jc w:val="left"/>
            </w:pPr>
            <w:r/>
            <w:r>
              <w:rPr>
                <w:rFonts w:ascii="Calibri" w:hAnsi="Calibri"/>
                <w:b w:val="0"/>
                <w:color w:val="1A1A1A"/>
                <w:sz w:val="17"/>
              </w:rPr>
              <w:t>9.8%</w:t>
            </w:r>
          </w:p>
        </w:tc>
        <w:tc>
          <w:tcPr>
            <w:tcW w:type="dxa" w:w="2300"/>
          </w:tcPr>
          <w:p>
            <w:pPr>
              <w:spacing w:before="0" w:after="0" w:line="240" w:lineRule="auto"/>
              <w:jc w:val="left"/>
            </w:pPr>
            <w:r/>
            <w:r>
              <w:rPr>
                <w:rFonts w:ascii="Calibri" w:hAnsi="Calibri"/>
                <w:b w:val="0"/>
                <w:color w:val="1A1A1A"/>
                <w:sz w:val="17"/>
              </w:rPr>
              <w:t>0.534 (0.249–0.714)</w:t>
            </w:r>
          </w:p>
        </w:tc>
        <w:tc>
          <w:tcPr>
            <w:tcW w:type="dxa" w:w="1560"/>
          </w:tcPr>
          <w:p>
            <w:pPr>
              <w:spacing w:before="0" w:after="0" w:line="240" w:lineRule="auto"/>
              <w:jc w:val="left"/>
            </w:pPr>
            <w:r/>
            <w:r>
              <w:rPr>
                <w:rFonts w:ascii="Calibri" w:hAnsi="Calibri"/>
                <w:b w:val="0"/>
                <w:color w:val="1A1A1A"/>
                <w:sz w:val="17"/>
              </w:rPr>
              <w:t>No</w:t>
            </w:r>
          </w:p>
        </w:tc>
      </w:tr>
      <w:tr>
        <w:tc>
          <w:tcPr>
            <w:tcW w:type="dxa" w:w="1750"/>
          </w:tcPr>
          <w:p>
            <w:pPr>
              <w:spacing w:before="0" w:after="0" w:line="240" w:lineRule="auto"/>
              <w:jc w:val="left"/>
            </w:pPr>
            <w:r/>
            <w:r>
              <w:rPr>
                <w:rFonts w:ascii="Calibri" w:hAnsi="Calibri"/>
                <w:b w:val="0"/>
                <w:color w:val="1A1A1A"/>
                <w:sz w:val="17"/>
              </w:rPr>
              <w:t>Los Angeles</w:t>
            </w:r>
          </w:p>
        </w:tc>
        <w:tc>
          <w:tcPr>
            <w:tcW w:type="dxa" w:w="1300"/>
          </w:tcPr>
          <w:p>
            <w:pPr>
              <w:spacing w:before="0" w:after="0" w:line="240" w:lineRule="auto"/>
              <w:jc w:val="left"/>
            </w:pPr>
            <w:r/>
            <w:r>
              <w:rPr>
                <w:rFonts w:ascii="Calibri" w:hAnsi="Calibri"/>
                <w:b w:val="0"/>
                <w:color w:val="1A1A1A"/>
                <w:sz w:val="17"/>
              </w:rPr>
              <w:t>53</w:t>
            </w:r>
          </w:p>
        </w:tc>
        <w:tc>
          <w:tcPr>
            <w:tcW w:type="dxa" w:w="1200"/>
          </w:tcPr>
          <w:p>
            <w:pPr>
              <w:spacing w:before="0" w:after="0" w:line="240" w:lineRule="auto"/>
              <w:jc w:val="left"/>
            </w:pPr>
            <w:r/>
            <w:r>
              <w:rPr>
                <w:rFonts w:ascii="Calibri" w:hAnsi="Calibri"/>
                <w:b w:val="0"/>
                <w:color w:val="1A1A1A"/>
                <w:sz w:val="17"/>
              </w:rPr>
              <w:t>29</w:t>
            </w:r>
          </w:p>
        </w:tc>
        <w:tc>
          <w:tcPr>
            <w:tcW w:type="dxa" w:w="1250"/>
          </w:tcPr>
          <w:p>
            <w:pPr>
              <w:spacing w:before="0" w:after="0" w:line="240" w:lineRule="auto"/>
              <w:jc w:val="left"/>
            </w:pPr>
            <w:r/>
            <w:r>
              <w:rPr>
                <w:rFonts w:ascii="Calibri" w:hAnsi="Calibri"/>
                <w:b w:val="0"/>
                <w:color w:val="1A1A1A"/>
                <w:sz w:val="17"/>
              </w:rPr>
              <w:t>12.4%</w:t>
            </w:r>
          </w:p>
        </w:tc>
        <w:tc>
          <w:tcPr>
            <w:tcW w:type="dxa" w:w="2300"/>
          </w:tcPr>
          <w:p>
            <w:pPr>
              <w:spacing w:before="0" w:after="0" w:line="240" w:lineRule="auto"/>
              <w:jc w:val="left"/>
            </w:pPr>
            <w:r/>
            <w:r>
              <w:rPr>
                <w:rFonts w:ascii="Calibri" w:hAnsi="Calibri"/>
                <w:b w:val="0"/>
                <w:color w:val="1A1A1A"/>
                <w:sz w:val="17"/>
              </w:rPr>
              <w:t>0.321 (0.135–0.452)</w:t>
            </w:r>
          </w:p>
        </w:tc>
        <w:tc>
          <w:tcPr>
            <w:tcW w:type="dxa" w:w="1560"/>
          </w:tcPr>
          <w:p>
            <w:pPr>
              <w:spacing w:before="0" w:after="0" w:line="240" w:lineRule="auto"/>
              <w:jc w:val="left"/>
            </w:pPr>
            <w:r/>
            <w:r>
              <w:rPr>
                <w:rFonts w:ascii="Calibri" w:hAnsi="Calibri"/>
                <w:b w:val="0"/>
                <w:color w:val="1A1A1A"/>
                <w:sz w:val="17"/>
              </w:rPr>
              <w:t>Yes</w:t>
            </w:r>
          </w:p>
        </w:tc>
      </w:tr>
      <w:tr>
        <w:tc>
          <w:tcPr>
            <w:tcW w:type="dxa" w:w="1750"/>
          </w:tcPr>
          <w:p>
            <w:pPr>
              <w:spacing w:before="0" w:after="0" w:line="240" w:lineRule="auto"/>
              <w:jc w:val="left"/>
            </w:pPr>
            <w:r/>
            <w:r>
              <w:rPr>
                <w:rFonts w:ascii="Calibri" w:hAnsi="Calibri"/>
                <w:b w:val="0"/>
                <w:color w:val="1A1A1A"/>
                <w:sz w:val="17"/>
              </w:rPr>
              <w:t>Miami</w:t>
            </w:r>
          </w:p>
        </w:tc>
        <w:tc>
          <w:tcPr>
            <w:tcW w:type="dxa" w:w="1300"/>
          </w:tcPr>
          <w:p>
            <w:pPr>
              <w:spacing w:before="0" w:after="0" w:line="240" w:lineRule="auto"/>
              <w:jc w:val="left"/>
            </w:pPr>
            <w:r/>
            <w:r>
              <w:rPr>
                <w:rFonts w:ascii="Calibri" w:hAnsi="Calibri"/>
                <w:b w:val="0"/>
                <w:color w:val="1A1A1A"/>
                <w:sz w:val="17"/>
              </w:rPr>
              <w:t>2</w:t>
            </w:r>
          </w:p>
        </w:tc>
        <w:tc>
          <w:tcPr>
            <w:tcW w:type="dxa" w:w="1200"/>
          </w:tcPr>
          <w:p>
            <w:pPr>
              <w:spacing w:before="0" w:after="0" w:line="240" w:lineRule="auto"/>
              <w:jc w:val="left"/>
            </w:pPr>
            <w:r/>
            <w:r>
              <w:rPr>
                <w:rFonts w:ascii="Calibri" w:hAnsi="Calibri"/>
                <w:b w:val="0"/>
                <w:color w:val="1A1A1A"/>
                <w:sz w:val="17"/>
              </w:rPr>
              <w:t>2</w:t>
            </w:r>
          </w:p>
        </w:tc>
        <w:tc>
          <w:tcPr>
            <w:tcW w:type="dxa" w:w="1250"/>
          </w:tcPr>
          <w:p>
            <w:pPr>
              <w:spacing w:before="0" w:after="0" w:line="240" w:lineRule="auto"/>
              <w:jc w:val="left"/>
            </w:pPr>
            <w:r/>
            <w:r>
              <w:rPr>
                <w:rFonts w:ascii="Calibri" w:hAnsi="Calibri"/>
                <w:b w:val="0"/>
                <w:color w:val="1A1A1A"/>
                <w:sz w:val="17"/>
              </w:rPr>
              <w:t>5.9%</w:t>
            </w:r>
          </w:p>
        </w:tc>
        <w:tc>
          <w:tcPr>
            <w:tcW w:type="dxa" w:w="2300"/>
          </w:tcPr>
          <w:p>
            <w:pPr>
              <w:spacing w:before="0" w:after="0" w:line="240" w:lineRule="auto"/>
              <w:jc w:val="left"/>
            </w:pPr>
            <w:r/>
            <w:r>
              <w:rPr>
                <w:rFonts w:ascii="Calibri" w:hAnsi="Calibri"/>
                <w:b w:val="0"/>
                <w:color w:val="1A1A1A"/>
                <w:sz w:val="17"/>
              </w:rPr>
              <w:t>0.328 (0.048–0.613)</w:t>
            </w:r>
          </w:p>
        </w:tc>
        <w:tc>
          <w:tcPr>
            <w:tcW w:type="dxa" w:w="1560"/>
          </w:tcPr>
          <w:p>
            <w:pPr>
              <w:spacing w:before="0" w:after="0" w:line="240" w:lineRule="auto"/>
              <w:jc w:val="left"/>
            </w:pPr>
            <w:r/>
            <w:r>
              <w:rPr>
                <w:rFonts w:ascii="Calibri" w:hAnsi="Calibri"/>
                <w:b w:val="0"/>
                <w:color w:val="1A1A1A"/>
                <w:sz w:val="17"/>
              </w:rPr>
              <w:t>No</w:t>
            </w:r>
          </w:p>
        </w:tc>
      </w:tr>
      <w:tr>
        <w:tc>
          <w:tcPr>
            <w:tcW w:type="dxa" w:w="1750"/>
          </w:tcPr>
          <w:p>
            <w:pPr>
              <w:spacing w:before="0" w:after="0" w:line="240" w:lineRule="auto"/>
              <w:jc w:val="left"/>
            </w:pPr>
            <w:r/>
            <w:r>
              <w:rPr>
                <w:rFonts w:ascii="Calibri" w:hAnsi="Calibri"/>
                <w:b w:val="0"/>
                <w:color w:val="1A1A1A"/>
                <w:sz w:val="17"/>
              </w:rPr>
              <w:t>Minneapolis–St. Paul</w:t>
            </w:r>
          </w:p>
        </w:tc>
        <w:tc>
          <w:tcPr>
            <w:tcW w:type="dxa" w:w="1300"/>
          </w:tcPr>
          <w:p>
            <w:pPr>
              <w:spacing w:before="0" w:after="0" w:line="240" w:lineRule="auto"/>
              <w:jc w:val="left"/>
            </w:pPr>
            <w:r/>
            <w:r>
              <w:rPr>
                <w:rFonts w:ascii="Calibri" w:hAnsi="Calibri"/>
                <w:b w:val="0"/>
                <w:color w:val="1A1A1A"/>
                <w:sz w:val="17"/>
              </w:rPr>
              <w:t>31</w:t>
            </w:r>
          </w:p>
        </w:tc>
        <w:tc>
          <w:tcPr>
            <w:tcW w:type="dxa" w:w="1200"/>
          </w:tcPr>
          <w:p>
            <w:pPr>
              <w:spacing w:before="0" w:after="0" w:line="240" w:lineRule="auto"/>
              <w:jc w:val="left"/>
            </w:pPr>
            <w:r/>
            <w:r>
              <w:rPr>
                <w:rFonts w:ascii="Calibri" w:hAnsi="Calibri"/>
                <w:b w:val="0"/>
                <w:color w:val="1A1A1A"/>
                <w:sz w:val="17"/>
              </w:rPr>
              <w:t>5</w:t>
            </w:r>
          </w:p>
        </w:tc>
        <w:tc>
          <w:tcPr>
            <w:tcW w:type="dxa" w:w="1250"/>
          </w:tcPr>
          <w:p>
            <w:pPr>
              <w:spacing w:before="0" w:after="0" w:line="240" w:lineRule="auto"/>
              <w:jc w:val="left"/>
            </w:pPr>
            <w:r/>
            <w:r>
              <w:rPr>
                <w:rFonts w:ascii="Calibri" w:hAnsi="Calibri"/>
                <w:b w:val="0"/>
                <w:color w:val="1A1A1A"/>
                <w:sz w:val="17"/>
              </w:rPr>
              <w:t>13.7%</w:t>
            </w:r>
          </w:p>
        </w:tc>
        <w:tc>
          <w:tcPr>
            <w:tcW w:type="dxa" w:w="2300"/>
          </w:tcPr>
          <w:p>
            <w:pPr>
              <w:spacing w:before="0" w:after="0" w:line="240" w:lineRule="auto"/>
              <w:jc w:val="left"/>
            </w:pPr>
            <w:r/>
            <w:r>
              <w:rPr>
                <w:rFonts w:ascii="Calibri" w:hAnsi="Calibri"/>
                <w:b w:val="0"/>
                <w:color w:val="1A1A1A"/>
                <w:sz w:val="17"/>
              </w:rPr>
              <w:t>0.540 (0.201–0.678)</w:t>
            </w:r>
          </w:p>
        </w:tc>
        <w:tc>
          <w:tcPr>
            <w:tcW w:type="dxa" w:w="1560"/>
          </w:tcPr>
          <w:p>
            <w:pPr>
              <w:spacing w:before="0" w:after="0" w:line="240" w:lineRule="auto"/>
              <w:jc w:val="left"/>
            </w:pPr>
            <w:r/>
            <w:r>
              <w:rPr>
                <w:rFonts w:ascii="Calibri" w:hAnsi="Calibri"/>
                <w:b w:val="0"/>
                <w:color w:val="1A1A1A"/>
                <w:sz w:val="17"/>
              </w:rPr>
              <w:t>Yes</w:t>
            </w:r>
          </w:p>
        </w:tc>
      </w:tr>
      <w:tr>
        <w:tc>
          <w:tcPr>
            <w:tcW w:type="dxa" w:w="1750"/>
          </w:tcPr>
          <w:p>
            <w:pPr>
              <w:spacing w:before="0" w:after="0" w:line="240" w:lineRule="auto"/>
              <w:jc w:val="left"/>
            </w:pPr>
            <w:r/>
            <w:r>
              <w:rPr>
                <w:rFonts w:ascii="Calibri" w:hAnsi="Calibri"/>
                <w:b w:val="0"/>
                <w:color w:val="1A1A1A"/>
                <w:sz w:val="17"/>
              </w:rPr>
              <w:t>Phoenix</w:t>
            </w:r>
          </w:p>
        </w:tc>
        <w:tc>
          <w:tcPr>
            <w:tcW w:type="dxa" w:w="1300"/>
          </w:tcPr>
          <w:p>
            <w:pPr>
              <w:spacing w:before="0" w:after="0" w:line="240" w:lineRule="auto"/>
              <w:jc w:val="left"/>
            </w:pPr>
            <w:r/>
            <w:r>
              <w:rPr>
                <w:rFonts w:ascii="Calibri" w:hAnsi="Calibri"/>
                <w:b w:val="0"/>
                <w:color w:val="1A1A1A"/>
                <w:sz w:val="17"/>
              </w:rPr>
              <w:t>29</w:t>
            </w:r>
          </w:p>
        </w:tc>
        <w:tc>
          <w:tcPr>
            <w:tcW w:type="dxa" w:w="1200"/>
          </w:tcPr>
          <w:p>
            <w:pPr>
              <w:spacing w:before="0" w:after="0" w:line="240" w:lineRule="auto"/>
              <w:jc w:val="left"/>
            </w:pPr>
            <w:r/>
            <w:r>
              <w:rPr>
                <w:rFonts w:ascii="Calibri" w:hAnsi="Calibri"/>
                <w:b w:val="0"/>
                <w:color w:val="1A1A1A"/>
                <w:sz w:val="17"/>
              </w:rPr>
              <w:t>14</w:t>
            </w:r>
          </w:p>
        </w:tc>
        <w:tc>
          <w:tcPr>
            <w:tcW w:type="dxa" w:w="1250"/>
          </w:tcPr>
          <w:p>
            <w:pPr>
              <w:spacing w:before="0" w:after="0" w:line="240" w:lineRule="auto"/>
              <w:jc w:val="left"/>
            </w:pPr>
            <w:r/>
            <w:r>
              <w:rPr>
                <w:rFonts w:ascii="Calibri" w:hAnsi="Calibri"/>
                <w:b w:val="0"/>
                <w:color w:val="1A1A1A"/>
                <w:sz w:val="17"/>
              </w:rPr>
              <w:t>6.2%</w:t>
            </w:r>
          </w:p>
        </w:tc>
        <w:tc>
          <w:tcPr>
            <w:tcW w:type="dxa" w:w="2300"/>
          </w:tcPr>
          <w:p>
            <w:pPr>
              <w:spacing w:before="0" w:after="0" w:line="240" w:lineRule="auto"/>
              <w:jc w:val="left"/>
            </w:pPr>
            <w:r/>
            <w:r>
              <w:rPr>
                <w:rFonts w:ascii="Calibri" w:hAnsi="Calibri"/>
                <w:b w:val="0"/>
                <w:color w:val="1A1A1A"/>
                <w:sz w:val="17"/>
              </w:rPr>
              <w:t>0.524 (0.421–0.593)</w:t>
            </w:r>
          </w:p>
        </w:tc>
        <w:tc>
          <w:tcPr>
            <w:tcW w:type="dxa" w:w="1560"/>
          </w:tcPr>
          <w:p>
            <w:pPr>
              <w:spacing w:before="0" w:after="0" w:line="240" w:lineRule="auto"/>
              <w:jc w:val="left"/>
            </w:pPr>
            <w:r/>
            <w:r>
              <w:rPr>
                <w:rFonts w:ascii="Calibri" w:hAnsi="Calibri"/>
                <w:b w:val="0"/>
                <w:color w:val="1A1A1A"/>
                <w:sz w:val="17"/>
              </w:rPr>
              <w:t>No</w:t>
            </w:r>
          </w:p>
        </w:tc>
      </w:tr>
    </w:tbl>
    <w:p>
      <w:pPr>
        <w:spacing w:after="0"/>
      </w:pPr>
    </w:p>
    <w:p>
      <w:pPr>
        <w:keepLines w:val="0"/>
        <w:spacing w:after="120" w:line="264" w:lineRule="auto"/>
      </w:pPr>
      <w:r>
        <w:rPr>
          <w:rFonts w:ascii="Calibri" w:hAnsi="Calibri"/>
          <w:color w:val="1A1A1A"/>
          <w:sz w:val="22"/>
        </w:rPr>
        <w:t>The clear-sky screen used Census-domain mean ERA5 total cloud cover at the hour nearest 14:00 local solar time, with a frozen threshold of 0.25. Spearman intervals use whole-summer blocks rather than treating individual days as independent.</w:t>
      </w:r>
    </w:p>
    <w:p>
      <w:pPr>
        <w:pageBreakBefore/>
        <w:spacing w:before="0" w:after="0"/>
      </w:pPr>
    </w:p>
    <w:p>
      <w:pPr>
        <w:spacing w:before="0" w:after="100"/>
      </w:pPr>
      <w:r>
        <w:rPr>
          <w:rFonts w:ascii="Calibri" w:hAnsi="Calibri"/>
          <w:b/>
          <w:smallCaps/>
          <w:color w:val="2E74B5"/>
          <w:sz w:val="18"/>
        </w:rPr>
        <w:t>STEP 1 VISUAL EVIDENCE</w:t>
      </w:r>
    </w:p>
    <w:p>
      <w:pPr>
        <w:pStyle w:val="Heading1"/>
        <w:keepNext/>
      </w:pPr>
      <w:r>
        <w:t>Clear-sky sampling changes the available joint support</w:t>
      </w:r>
    </w:p>
    <w:p>
      <w:pPr>
        <w:keepLines/>
        <w:spacing w:before="60" w:after="80"/>
        <w:jc w:val="center"/>
      </w:pPr>
      <w:r>
        <w:drawing>
          <wp:inline xmlns:a="http://schemas.openxmlformats.org/drawingml/2006/main" xmlns:pic="http://schemas.openxmlformats.org/drawingml/2006/picture">
            <wp:extent cx="5806440" cy="3251606"/>
            <wp:docPr id="1" name="Picture 1"/>
            <wp:cNvGraphicFramePr>
              <a:graphicFrameLocks noChangeAspect="1"/>
            </wp:cNvGraphicFramePr>
            <a:graphic>
              <a:graphicData uri="http://schemas.openxmlformats.org/drawingml/2006/picture">
                <pic:pic>
                  <pic:nvPicPr>
                    <pic:cNvPr id="0" name="F1.2_clear_sky_overlay.png"/>
                    <pic:cNvPicPr/>
                  </pic:nvPicPr>
                  <pic:blipFill>
                    <a:blip r:embed="rId11"/>
                    <a:stretch>
                      <a:fillRect/>
                    </a:stretch>
                  </pic:blipFill>
                  <pic:spPr>
                    <a:xfrm>
                      <a:off x="0" y="0"/>
                      <a:ext cx="5806440" cy="3251606"/>
                    </a:xfrm>
                    <a:prstGeom prst="rect"/>
                  </pic:spPr>
                </pic:pic>
              </a:graphicData>
            </a:graphic>
          </wp:inline>
        </w:drawing>
      </w:r>
    </w:p>
    <w:p>
      <w:pPr>
        <w:keepLines/>
        <w:spacing w:before="0" w:after="80"/>
      </w:pPr>
      <w:r>
        <w:rPr>
          <w:rFonts w:ascii="Calibri" w:hAnsi="Calibri"/>
          <w:b/>
          <w:color w:val="1F4D78"/>
          <w:sz w:val="18"/>
        </w:rPr>
        <w:t xml:space="preserve">Figure 1 (F1.2). </w:t>
      </w:r>
      <w:r>
        <w:rPr>
          <w:rFonts w:ascii="Calibri" w:hAnsi="Calibri"/>
          <w:color w:val="1A1A1A"/>
          <w:sz w:val="18"/>
        </w:rPr>
        <w:t>Thirty-day atmospheric-demand and antecedent-dryness support across five cities. All summer days are grey and likely clear-sky days are blue; the shaded off-diagonal corners are the diagnostic cells. Clear-sky filtering substantially thins support in Atlanta, Miami, and Phoenix.</w:t>
      </w:r>
    </w:p>
    <w:p>
      <w:pPr>
        <w:keepLines/>
        <w:spacing w:before="0" w:after="160"/>
      </w:pPr>
      <w:r>
        <w:rPr>
          <w:rFonts w:ascii="Calibri" w:hAnsi="Calibri"/>
          <w:i/>
          <w:color w:val="5B6573"/>
          <w:sz w:val="16"/>
        </w:rPr>
        <w:t>Evidence status: Canonical empirical meteorological screening; no thermal outcome. Source: data/processed/v2/task1/step1/figures/F1.2_clear_sky_overlay.png</w:t>
      </w:r>
    </w:p>
    <w:p>
      <w:pPr>
        <w:keepLines w:val="0"/>
        <w:spacing w:after="120" w:line="264" w:lineRule="auto"/>
      </w:pPr>
      <w:r>
        <w:rPr>
          <w:rFonts w:ascii="Calibri" w:hAnsi="Calibri"/>
          <w:color w:val="1A1A1A"/>
          <w:sz w:val="22"/>
        </w:rPr>
        <w:t>The figure shows why a simple ‘hot versus dry’ interaction is difficult to identify within several cities: demand and dryness are positively correlated, and the rare off-diagonal combinations become even thinner after clear-sky selection. Los Angeles and Minneapolis–St. Paul retain the best within-city support, but the five-city panel does not satisfy the strong three-city rule.</w:t>
      </w:r>
    </w:p>
    <w:p>
      <w:pPr>
        <w:keepLines/>
        <w:spacing w:before="60" w:after="80"/>
        <w:jc w:val="center"/>
      </w:pPr>
      <w:r>
        <w:drawing>
          <wp:inline xmlns:a="http://schemas.openxmlformats.org/drawingml/2006/main" xmlns:pic="http://schemas.openxmlformats.org/drawingml/2006/picture">
            <wp:extent cx="5806440" cy="1923207"/>
            <wp:docPr id="2" name="Picture 2"/>
            <wp:cNvGraphicFramePr>
              <a:graphicFrameLocks noChangeAspect="1"/>
            </wp:cNvGraphicFramePr>
            <a:graphic>
              <a:graphicData uri="http://schemas.openxmlformats.org/drawingml/2006/picture">
                <pic:pic>
                  <pic:nvPicPr>
                    <pic:cNvPr id="0" name="F1.3_corner_counts.png"/>
                    <pic:cNvPicPr/>
                  </pic:nvPicPr>
                  <pic:blipFill>
                    <a:blip r:embed="rId12"/>
                    <a:stretch>
                      <a:fillRect/>
                    </a:stretch>
                  </pic:blipFill>
                  <pic:spPr>
                    <a:xfrm>
                      <a:off x="0" y="0"/>
                      <a:ext cx="5806440" cy="1923207"/>
                    </a:xfrm>
                    <a:prstGeom prst="rect"/>
                  </pic:spPr>
                </pic:pic>
              </a:graphicData>
            </a:graphic>
          </wp:inline>
        </w:drawing>
      </w:r>
    </w:p>
    <w:p>
      <w:pPr>
        <w:keepLines/>
        <w:spacing w:before="0" w:after="80"/>
      </w:pPr>
      <w:r>
        <w:rPr>
          <w:rFonts w:ascii="Calibri" w:hAnsi="Calibri"/>
          <w:b/>
          <w:color w:val="1F4D78"/>
          <w:sz w:val="18"/>
        </w:rPr>
        <w:t xml:space="preserve">Figure 2 (F1.3). </w:t>
      </w:r>
      <w:r>
        <w:rPr>
          <w:rFonts w:ascii="Calibri" w:hAnsi="Calibri"/>
          <w:color w:val="1A1A1A"/>
          <w:sz w:val="18"/>
        </w:rPr>
        <w:t>Proportions in the two diagnostic corner cells before and after likely clear-sky sampling, with Wilson 95% confidence intervals. These bars describe sampling support, not tree-cooling effects.</w:t>
      </w:r>
    </w:p>
    <w:p>
      <w:pPr>
        <w:keepLines/>
        <w:spacing w:before="0" w:after="160"/>
      </w:pPr>
      <w:r>
        <w:rPr>
          <w:rFonts w:ascii="Calibri" w:hAnsi="Calibri"/>
          <w:i/>
          <w:color w:val="5B6573"/>
          <w:sz w:val="16"/>
        </w:rPr>
        <w:t>Evidence status: Canonical empirical meteorological screening; no thermal outcome. Source: data/processed/v2/task1/step1/figures/F1.3_corner_counts.png</w:t>
      </w:r>
    </w:p>
    <w:p>
      <w:pPr>
        <w:pageBreakBefore/>
        <w:spacing w:before="0" w:after="0"/>
      </w:pPr>
    </w:p>
    <w:p>
      <w:pPr>
        <w:spacing w:before="0" w:after="100"/>
      </w:pPr>
      <w:r>
        <w:rPr>
          <w:rFonts w:ascii="Calibri" w:hAnsi="Calibri"/>
          <w:b/>
          <w:smallCaps/>
          <w:color w:val="2E74B5"/>
          <w:sz w:val="18"/>
        </w:rPr>
        <w:t>STEP 1 SENSITIVITY AND QA</w:t>
      </w:r>
    </w:p>
    <w:p>
      <w:pPr>
        <w:pStyle w:val="Heading1"/>
        <w:keepNext/>
      </w:pPr>
      <w:r>
        <w:t>Thirty-day versus sixty-day antecedent windows</w:t>
      </w:r>
    </w:p>
    <w:p>
      <w:pPr>
        <w:keepLines w:val="0"/>
        <w:spacing w:after="120" w:line="264" w:lineRule="auto"/>
      </w:pPr>
      <w:r>
        <w:rPr>
          <w:rFonts w:ascii="Calibri" w:hAnsi="Calibri"/>
          <w:color w:val="1A1A1A"/>
          <w:sz w:val="22"/>
        </w:rPr>
        <w:t>The ≥10% combined corner-share diagnostic changes in three cities between the required 30- and 60-day windows. This is not the full within-city support rule (≥5 days per corner and |ρ|&lt;0.8), so window choice remains a declared sensitivity.</w:t>
      </w:r>
    </w:p>
    <w:tbl>
      <w:tblPr>
        <w:tblStyle w:val="TableGrid"/>
        <w:tblW w:type="dxa" w:w="9360"/>
        <w:jc w:val="center"/>
        <w:tblLayout w:type="fixed"/>
        <w:tblLook w:firstColumn="1" w:firstRow="1" w:lastColumn="0" w:lastRow="0" w:noHBand="0" w:noVBand="1" w:val="04A0"/>
        <w:tblInd w:w="120" w:type="dxa"/>
      </w:tblPr>
      <w:tblGrid>
        <w:gridCol w:w="2300"/>
        <w:gridCol w:w="2500"/>
        <w:gridCol w:w="1700"/>
        <w:gridCol w:w="2860"/>
      </w:tblGrid>
      <w:tr>
        <w:trPr>
          <w:tblHeader w:val="true"/>
        </w:trPr>
        <w:tc>
          <w:tcPr>
            <w:tcW w:type="dxa" w:w="230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7"/>
              </w:rPr>
              <w:t>City</w:t>
            </w:r>
          </w:p>
        </w:tc>
        <w:tc>
          <w:tcPr>
            <w:tcW w:type="dxa" w:w="250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7"/>
              </w:rPr>
              <w:t>30-day clear-sky corner share</w:t>
            </w:r>
          </w:p>
        </w:tc>
        <w:tc>
          <w:tcPr>
            <w:tcW w:type="dxa" w:w="170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7"/>
              </w:rPr>
              <w:t>60-day share</w:t>
            </w:r>
          </w:p>
        </w:tc>
        <w:tc>
          <w:tcPr>
            <w:tcW w:type="dxa" w:w="286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7"/>
              </w:rPr>
              <w:t>≥10% share status stable?</w:t>
            </w:r>
          </w:p>
        </w:tc>
      </w:tr>
      <w:tr>
        <w:tc>
          <w:tcPr>
            <w:tcW w:type="dxa" w:w="2300"/>
          </w:tcPr>
          <w:p>
            <w:pPr>
              <w:spacing w:before="0" w:after="0" w:line="240" w:lineRule="auto"/>
              <w:jc w:val="left"/>
            </w:pPr>
            <w:r/>
            <w:r>
              <w:rPr>
                <w:rFonts w:ascii="Calibri" w:hAnsi="Calibri"/>
                <w:b w:val="0"/>
                <w:color w:val="1A1A1A"/>
                <w:sz w:val="17"/>
              </w:rPr>
              <w:t>Atlanta</w:t>
            </w:r>
          </w:p>
        </w:tc>
        <w:tc>
          <w:tcPr>
            <w:tcW w:type="dxa" w:w="2500"/>
          </w:tcPr>
          <w:p>
            <w:pPr>
              <w:spacing w:before="0" w:after="0" w:line="240" w:lineRule="auto"/>
              <w:jc w:val="left"/>
            </w:pPr>
            <w:r/>
            <w:r>
              <w:rPr>
                <w:rFonts w:ascii="Calibri" w:hAnsi="Calibri"/>
                <w:b w:val="0"/>
                <w:color w:val="1A1A1A"/>
                <w:sz w:val="17"/>
              </w:rPr>
              <w:t>9.8%</w:t>
            </w:r>
          </w:p>
        </w:tc>
        <w:tc>
          <w:tcPr>
            <w:tcW w:type="dxa" w:w="1700"/>
          </w:tcPr>
          <w:p>
            <w:pPr>
              <w:spacing w:before="0" w:after="0" w:line="240" w:lineRule="auto"/>
              <w:jc w:val="left"/>
            </w:pPr>
            <w:r/>
            <w:r>
              <w:rPr>
                <w:rFonts w:ascii="Calibri" w:hAnsi="Calibri"/>
                <w:b w:val="0"/>
                <w:color w:val="1A1A1A"/>
                <w:sz w:val="17"/>
              </w:rPr>
              <w:t>11.3%</w:t>
            </w:r>
          </w:p>
        </w:tc>
        <w:tc>
          <w:tcPr>
            <w:tcW w:type="dxa" w:w="2860"/>
          </w:tcPr>
          <w:p>
            <w:pPr>
              <w:spacing w:before="0" w:after="0" w:line="240" w:lineRule="auto"/>
              <w:jc w:val="left"/>
            </w:pPr>
            <w:r/>
            <w:r>
              <w:rPr>
                <w:rFonts w:ascii="Calibri" w:hAnsi="Calibri"/>
                <w:b w:val="0"/>
                <w:color w:val="1A1A1A"/>
                <w:sz w:val="17"/>
              </w:rPr>
              <w:t>No</w:t>
            </w:r>
          </w:p>
        </w:tc>
      </w:tr>
      <w:tr>
        <w:tc>
          <w:tcPr>
            <w:tcW w:type="dxa" w:w="2300"/>
          </w:tcPr>
          <w:p>
            <w:pPr>
              <w:spacing w:before="0" w:after="0" w:line="240" w:lineRule="auto"/>
              <w:jc w:val="left"/>
            </w:pPr>
            <w:r/>
            <w:r>
              <w:rPr>
                <w:rFonts w:ascii="Calibri" w:hAnsi="Calibri"/>
                <w:b w:val="0"/>
                <w:color w:val="1A1A1A"/>
                <w:sz w:val="17"/>
              </w:rPr>
              <w:t>Los Angeles</w:t>
            </w:r>
          </w:p>
        </w:tc>
        <w:tc>
          <w:tcPr>
            <w:tcW w:type="dxa" w:w="2500"/>
          </w:tcPr>
          <w:p>
            <w:pPr>
              <w:spacing w:before="0" w:after="0" w:line="240" w:lineRule="auto"/>
              <w:jc w:val="left"/>
            </w:pPr>
            <w:r/>
            <w:r>
              <w:rPr>
                <w:rFonts w:ascii="Calibri" w:hAnsi="Calibri"/>
                <w:b w:val="0"/>
                <w:color w:val="1A1A1A"/>
                <w:sz w:val="17"/>
              </w:rPr>
              <w:t>12.4%</w:t>
            </w:r>
          </w:p>
        </w:tc>
        <w:tc>
          <w:tcPr>
            <w:tcW w:type="dxa" w:w="1700"/>
          </w:tcPr>
          <w:p>
            <w:pPr>
              <w:spacing w:before="0" w:after="0" w:line="240" w:lineRule="auto"/>
              <w:jc w:val="left"/>
            </w:pPr>
            <w:r/>
            <w:r>
              <w:rPr>
                <w:rFonts w:ascii="Calibri" w:hAnsi="Calibri"/>
                <w:b w:val="0"/>
                <w:color w:val="1A1A1A"/>
                <w:sz w:val="17"/>
              </w:rPr>
              <w:t>12.9%</w:t>
            </w:r>
          </w:p>
        </w:tc>
        <w:tc>
          <w:tcPr>
            <w:tcW w:type="dxa" w:w="2860"/>
          </w:tcPr>
          <w:p>
            <w:pPr>
              <w:spacing w:before="0" w:after="0" w:line="240" w:lineRule="auto"/>
              <w:jc w:val="left"/>
            </w:pPr>
            <w:r/>
            <w:r>
              <w:rPr>
                <w:rFonts w:ascii="Calibri" w:hAnsi="Calibri"/>
                <w:b w:val="0"/>
                <w:color w:val="1A1A1A"/>
                <w:sz w:val="17"/>
              </w:rPr>
              <w:t>Yes</w:t>
            </w:r>
          </w:p>
        </w:tc>
      </w:tr>
      <w:tr>
        <w:tc>
          <w:tcPr>
            <w:tcW w:type="dxa" w:w="2300"/>
          </w:tcPr>
          <w:p>
            <w:pPr>
              <w:spacing w:before="0" w:after="0" w:line="240" w:lineRule="auto"/>
              <w:jc w:val="left"/>
            </w:pPr>
            <w:r/>
            <w:r>
              <w:rPr>
                <w:rFonts w:ascii="Calibri" w:hAnsi="Calibri"/>
                <w:b w:val="0"/>
                <w:color w:val="1A1A1A"/>
                <w:sz w:val="17"/>
              </w:rPr>
              <w:t>Miami</w:t>
            </w:r>
          </w:p>
        </w:tc>
        <w:tc>
          <w:tcPr>
            <w:tcW w:type="dxa" w:w="2500"/>
          </w:tcPr>
          <w:p>
            <w:pPr>
              <w:spacing w:before="0" w:after="0" w:line="240" w:lineRule="auto"/>
              <w:jc w:val="left"/>
            </w:pPr>
            <w:r/>
            <w:r>
              <w:rPr>
                <w:rFonts w:ascii="Calibri" w:hAnsi="Calibri"/>
                <w:b w:val="0"/>
                <w:color w:val="1A1A1A"/>
                <w:sz w:val="17"/>
              </w:rPr>
              <w:t>5.9%</w:t>
            </w:r>
          </w:p>
        </w:tc>
        <w:tc>
          <w:tcPr>
            <w:tcW w:type="dxa" w:w="1700"/>
          </w:tcPr>
          <w:p>
            <w:pPr>
              <w:spacing w:before="0" w:after="0" w:line="240" w:lineRule="auto"/>
              <w:jc w:val="left"/>
            </w:pPr>
            <w:r/>
            <w:r>
              <w:rPr>
                <w:rFonts w:ascii="Calibri" w:hAnsi="Calibri"/>
                <w:b w:val="0"/>
                <w:color w:val="1A1A1A"/>
                <w:sz w:val="17"/>
              </w:rPr>
              <w:t>20.6%</w:t>
            </w:r>
          </w:p>
        </w:tc>
        <w:tc>
          <w:tcPr>
            <w:tcW w:type="dxa" w:w="2860"/>
          </w:tcPr>
          <w:p>
            <w:pPr>
              <w:spacing w:before="0" w:after="0" w:line="240" w:lineRule="auto"/>
              <w:jc w:val="left"/>
            </w:pPr>
            <w:r/>
            <w:r>
              <w:rPr>
                <w:rFonts w:ascii="Calibri" w:hAnsi="Calibri"/>
                <w:b w:val="0"/>
                <w:color w:val="1A1A1A"/>
                <w:sz w:val="17"/>
              </w:rPr>
              <w:t>No</w:t>
            </w:r>
          </w:p>
        </w:tc>
      </w:tr>
      <w:tr>
        <w:tc>
          <w:tcPr>
            <w:tcW w:type="dxa" w:w="2300"/>
          </w:tcPr>
          <w:p>
            <w:pPr>
              <w:spacing w:before="0" w:after="0" w:line="240" w:lineRule="auto"/>
              <w:jc w:val="left"/>
            </w:pPr>
            <w:r/>
            <w:r>
              <w:rPr>
                <w:rFonts w:ascii="Calibri" w:hAnsi="Calibri"/>
                <w:b w:val="0"/>
                <w:color w:val="1A1A1A"/>
                <w:sz w:val="17"/>
              </w:rPr>
              <w:t>Minneapolis–St. Paul</w:t>
            </w:r>
          </w:p>
        </w:tc>
        <w:tc>
          <w:tcPr>
            <w:tcW w:type="dxa" w:w="2500"/>
          </w:tcPr>
          <w:p>
            <w:pPr>
              <w:spacing w:before="0" w:after="0" w:line="240" w:lineRule="auto"/>
              <w:jc w:val="left"/>
            </w:pPr>
            <w:r/>
            <w:r>
              <w:rPr>
                <w:rFonts w:ascii="Calibri" w:hAnsi="Calibri"/>
                <w:b w:val="0"/>
                <w:color w:val="1A1A1A"/>
                <w:sz w:val="17"/>
              </w:rPr>
              <w:t>13.7%</w:t>
            </w:r>
          </w:p>
        </w:tc>
        <w:tc>
          <w:tcPr>
            <w:tcW w:type="dxa" w:w="1700"/>
          </w:tcPr>
          <w:p>
            <w:pPr>
              <w:spacing w:before="0" w:after="0" w:line="240" w:lineRule="auto"/>
              <w:jc w:val="left"/>
            </w:pPr>
            <w:r/>
            <w:r>
              <w:rPr>
                <w:rFonts w:ascii="Calibri" w:hAnsi="Calibri"/>
                <w:b w:val="0"/>
                <w:color w:val="1A1A1A"/>
                <w:sz w:val="17"/>
              </w:rPr>
              <w:t>7.2%</w:t>
            </w:r>
          </w:p>
        </w:tc>
        <w:tc>
          <w:tcPr>
            <w:tcW w:type="dxa" w:w="2860"/>
          </w:tcPr>
          <w:p>
            <w:pPr>
              <w:spacing w:before="0" w:after="0" w:line="240" w:lineRule="auto"/>
              <w:jc w:val="left"/>
            </w:pPr>
            <w:r/>
            <w:r>
              <w:rPr>
                <w:rFonts w:ascii="Calibri" w:hAnsi="Calibri"/>
                <w:b w:val="0"/>
                <w:color w:val="1A1A1A"/>
                <w:sz w:val="17"/>
              </w:rPr>
              <w:t>No</w:t>
            </w:r>
          </w:p>
        </w:tc>
      </w:tr>
      <w:tr>
        <w:tc>
          <w:tcPr>
            <w:tcW w:type="dxa" w:w="2300"/>
          </w:tcPr>
          <w:p>
            <w:pPr>
              <w:spacing w:before="0" w:after="0" w:line="240" w:lineRule="auto"/>
              <w:jc w:val="left"/>
            </w:pPr>
            <w:r/>
            <w:r>
              <w:rPr>
                <w:rFonts w:ascii="Calibri" w:hAnsi="Calibri"/>
                <w:b w:val="0"/>
                <w:color w:val="1A1A1A"/>
                <w:sz w:val="17"/>
              </w:rPr>
              <w:t>Phoenix</w:t>
            </w:r>
          </w:p>
        </w:tc>
        <w:tc>
          <w:tcPr>
            <w:tcW w:type="dxa" w:w="2500"/>
          </w:tcPr>
          <w:p>
            <w:pPr>
              <w:spacing w:before="0" w:after="0" w:line="240" w:lineRule="auto"/>
              <w:jc w:val="left"/>
            </w:pPr>
            <w:r/>
            <w:r>
              <w:rPr>
                <w:rFonts w:ascii="Calibri" w:hAnsi="Calibri"/>
                <w:b w:val="0"/>
                <w:color w:val="1A1A1A"/>
                <w:sz w:val="17"/>
              </w:rPr>
              <w:t>6.2%</w:t>
            </w:r>
          </w:p>
        </w:tc>
        <w:tc>
          <w:tcPr>
            <w:tcW w:type="dxa" w:w="1700"/>
          </w:tcPr>
          <w:p>
            <w:pPr>
              <w:spacing w:before="0" w:after="0" w:line="240" w:lineRule="auto"/>
              <w:jc w:val="left"/>
            </w:pPr>
            <w:r/>
            <w:r>
              <w:rPr>
                <w:rFonts w:ascii="Calibri" w:hAnsi="Calibri"/>
                <w:b w:val="0"/>
                <w:color w:val="1A1A1A"/>
                <w:sz w:val="17"/>
              </w:rPr>
              <w:t>8.2%</w:t>
            </w:r>
          </w:p>
        </w:tc>
        <w:tc>
          <w:tcPr>
            <w:tcW w:type="dxa" w:w="2860"/>
          </w:tcPr>
          <w:p>
            <w:pPr>
              <w:spacing w:before="0" w:after="0" w:line="240" w:lineRule="auto"/>
              <w:jc w:val="left"/>
            </w:pPr>
            <w:r/>
            <w:r>
              <w:rPr>
                <w:rFonts w:ascii="Calibri" w:hAnsi="Calibri"/>
                <w:b w:val="0"/>
                <w:color w:val="1A1A1A"/>
                <w:sz w:val="17"/>
              </w:rPr>
              <w:t>Yes</w:t>
            </w:r>
          </w:p>
        </w:tc>
      </w:tr>
    </w:tbl>
    <w:p>
      <w:pPr>
        <w:spacing w:after="0"/>
      </w:pPr>
    </w:p>
    <w:p>
      <w:pPr>
        <w:keepLines/>
        <w:spacing w:before="60" w:after="80"/>
        <w:jc w:val="center"/>
      </w:pPr>
      <w:r>
        <w:drawing>
          <wp:inline xmlns:a="http://schemas.openxmlformats.org/drawingml/2006/main" xmlns:pic="http://schemas.openxmlformats.org/drawingml/2006/picture">
            <wp:extent cx="5212080" cy="2918765"/>
            <wp:docPr id="3" name="Picture 3"/>
            <wp:cNvGraphicFramePr>
              <a:graphicFrameLocks noChangeAspect="1"/>
            </wp:cNvGraphicFramePr>
            <a:graphic>
              <a:graphicData uri="http://schemas.openxmlformats.org/drawingml/2006/picture">
                <pic:pic>
                  <pic:nvPicPr>
                    <pic:cNvPr id="0" name="F1.4_joint_60d.png"/>
                    <pic:cNvPicPr/>
                  </pic:nvPicPr>
                  <pic:blipFill>
                    <a:blip r:embed="rId13"/>
                    <a:stretch>
                      <a:fillRect/>
                    </a:stretch>
                  </pic:blipFill>
                  <pic:spPr>
                    <a:xfrm>
                      <a:off x="0" y="0"/>
                      <a:ext cx="5212080" cy="2918765"/>
                    </a:xfrm>
                    <a:prstGeom prst="rect"/>
                  </pic:spPr>
                </pic:pic>
              </a:graphicData>
            </a:graphic>
          </wp:inline>
        </w:drawing>
      </w:r>
    </w:p>
    <w:p>
      <w:pPr>
        <w:keepLines/>
        <w:spacing w:before="0" w:after="80"/>
      </w:pPr>
      <w:r>
        <w:rPr>
          <w:rFonts w:ascii="Calibri" w:hAnsi="Calibri"/>
          <w:b/>
          <w:color w:val="1F4D78"/>
          <w:sz w:val="18"/>
        </w:rPr>
        <w:t xml:space="preserve">Figure 3 (F1.4). </w:t>
      </w:r>
      <w:r>
        <w:rPr>
          <w:rFonts w:ascii="Calibri" w:hAnsi="Calibri"/>
          <w:color w:val="1A1A1A"/>
          <w:sz w:val="18"/>
        </w:rPr>
        <w:t>Sixty-day sensitivity version of the five-city joint-support figure. Its differences from the 30-day screen are carried forward as a design sensitivity rather than resolved by selecting a preferred window.</w:t>
      </w:r>
    </w:p>
    <w:p>
      <w:pPr>
        <w:keepLines/>
        <w:spacing w:before="0" w:after="160"/>
      </w:pPr>
      <w:r>
        <w:rPr>
          <w:rFonts w:ascii="Calibri" w:hAnsi="Calibri"/>
          <w:i/>
          <w:color w:val="5B6573"/>
          <w:sz w:val="16"/>
        </w:rPr>
        <w:t>Evidence status: Canonical empirical meteorological sensitivity; no thermal outcome. Source: data/processed/v2/task1/step1/figures/F1.4_joint_60d.png</w:t>
      </w:r>
    </w:p>
    <w:p>
      <w:pPr>
        <w:pStyle w:val="Heading2"/>
        <w:keepNext/>
      </w:pPr>
      <w:r>
        <w:t>Quality checks and documented limitation</w:t>
      </w:r>
    </w:p>
    <w:p>
      <w:pPr>
        <w:pStyle w:val="ListBullet"/>
        <w:spacing w:after="160" w:line="280" w:lineRule="auto"/>
        <w:ind w:left="720" w:hanging="360"/>
      </w:pPr>
      <w:r>
        <w:rPr>
          <w:rFonts w:ascii="Calibri" w:hAnsi="Calibri"/>
          <w:color w:val="1A1A1A"/>
          <w:sz w:val="22"/>
        </w:rPr>
        <w:t>Step 1 contains 4,880 unique city-date rows: 976 summer days for each of five cities across eight summers.</w:t>
      </w:r>
    </w:p>
    <w:p>
      <w:pPr>
        <w:pStyle w:val="ListBullet"/>
        <w:spacing w:after="160" w:line="280" w:lineRule="auto"/>
        <w:ind w:left="720" w:hanging="360"/>
      </w:pPr>
      <w:r>
        <w:rPr>
          <w:rFonts w:ascii="Calibri" w:hAnsi="Calibri"/>
          <w:color w:val="1A1A1A"/>
          <w:sz w:val="22"/>
        </w:rPr>
        <w:t>Unit, percentile, cell-count, bootstrap, permutation, figure, and geometry-validity checks were completed; the repair changed no clear-day, cell, corner, or gate result.</w:t>
      </w:r>
    </w:p>
    <w:p>
      <w:pPr>
        <w:pStyle w:val="ListBullet"/>
        <w:spacing w:after="160" w:line="280" w:lineRule="auto"/>
        <w:ind w:left="720" w:hanging="360"/>
      </w:pPr>
      <w:r>
        <w:rPr>
          <w:rFonts w:ascii="Calibri" w:hAnsi="Calibri"/>
          <w:color w:val="1A1A1A"/>
          <w:sz w:val="22"/>
        </w:rPr>
        <w:t>The analysis used 2,000 whole-summer bootstrap draws and 2,000 permutations with seed 20260801.</w:t>
      </w:r>
    </w:p>
    <w:p>
      <w:pPr>
        <w:pStyle w:val="ListBullet"/>
        <w:spacing w:after="160" w:line="280" w:lineRule="auto"/>
        <w:ind w:left="720" w:hanging="360"/>
      </w:pPr>
      <w:r>
        <w:rPr>
          <w:rFonts w:ascii="Calibri" w:hAnsi="Calibri"/>
          <w:color w:val="1A1A1A"/>
          <w:sz w:val="22"/>
        </w:rPr>
        <w:t>Phoenix’s 30-day balance was negative in June in all 8 summers, but July’s median rose above June’s in only 3 of 8. The sign check passed; the stricter annual monsoon-rise diagnostic did not.</w:t>
      </w:r>
    </w:p>
    <w:p>
      <w:pPr>
        <w:pageBreakBefore/>
        <w:spacing w:before="0" w:after="0"/>
      </w:pPr>
    </w:p>
    <w:p>
      <w:pPr>
        <w:spacing w:before="0" w:after="100"/>
      </w:pPr>
      <w:r>
        <w:rPr>
          <w:rFonts w:ascii="Calibri" w:hAnsi="Calibri"/>
          <w:b/>
          <w:smallCaps/>
          <w:color w:val="2E74B5"/>
          <w:sz w:val="18"/>
        </w:rPr>
        <w:t>EMPIRICAL BUT INCOMPLETE</w:t>
      </w:r>
    </w:p>
    <w:p>
      <w:pPr>
        <w:pStyle w:val="Heading1"/>
        <w:keepNext/>
      </w:pPr>
      <w:r>
        <w:t>4. Step 2 — satellite catalogue, quality screening, and geometry remediation</w:t>
      </w:r>
    </w:p>
    <w:p>
      <w:pPr>
        <w:keepLines w:val="0"/>
        <w:spacing w:after="120" w:line="264" w:lineRule="auto"/>
      </w:pPr>
      <w:r>
        <w:rPr>
          <w:rFonts w:ascii="Calibri" w:hAnsi="Calibri"/>
          <w:color w:val="1A1A1A"/>
          <w:sz w:val="22"/>
        </w:rPr>
        <w:t>Step 2 was intended to replace the daily weather screen with the actual conditions sampled by usable ECOSTRESS passes. Substantial real-data work was completed, but the definitive usable-pass total does not exist because the cloud-independent geometry audit was stopped before completion.</w:t>
      </w:r>
    </w:p>
    <w:p>
      <w:pPr>
        <w:pStyle w:val="Heading2"/>
        <w:keepNext/>
      </w:pPr>
      <w:r>
        <w:t>Catalogue results</w:t>
      </w:r>
    </w:p>
    <w:tbl>
      <w:tblPr>
        <w:tblStyle w:val="TableGrid"/>
        <w:tblW w:type="dxa" w:w="9360"/>
        <w:jc w:val="center"/>
        <w:tblLayout w:type="fixed"/>
        <w:tblLook w:firstColumn="1" w:firstRow="1" w:lastColumn="0" w:lastRow="0" w:noHBand="0" w:noVBand="1" w:val="04A0"/>
        <w:tblInd w:w="120" w:type="dxa"/>
      </w:tblPr>
      <w:tblGrid>
        <w:gridCol w:w="6200"/>
        <w:gridCol w:w="3160"/>
      </w:tblGrid>
      <w:tr>
        <w:trPr>
          <w:tblHeader w:val="true"/>
        </w:trPr>
        <w:tc>
          <w:tcPr>
            <w:tcW w:type="dxa" w:w="620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8"/>
              </w:rPr>
              <w:t>City</w:t>
            </w:r>
          </w:p>
        </w:tc>
        <w:tc>
          <w:tcPr>
            <w:tcW w:type="dxa" w:w="316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8"/>
              </w:rPr>
              <w:t>Daytime catalogue-ceiling passes</w:t>
            </w:r>
          </w:p>
        </w:tc>
      </w:tr>
      <w:tr>
        <w:tc>
          <w:tcPr>
            <w:tcW w:type="dxa" w:w="6200"/>
          </w:tcPr>
          <w:p>
            <w:pPr>
              <w:spacing w:before="0" w:after="0" w:line="240" w:lineRule="auto"/>
              <w:jc w:val="left"/>
            </w:pPr>
            <w:r/>
            <w:r>
              <w:rPr>
                <w:rFonts w:ascii="Calibri" w:hAnsi="Calibri"/>
                <w:b w:val="0"/>
                <w:color w:val="1A1A1A"/>
                <w:sz w:val="18"/>
              </w:rPr>
              <w:t>Atlanta</w:t>
            </w:r>
          </w:p>
        </w:tc>
        <w:tc>
          <w:tcPr>
            <w:tcW w:type="dxa" w:w="3160"/>
          </w:tcPr>
          <w:p>
            <w:pPr>
              <w:spacing w:before="0" w:after="0" w:line="240" w:lineRule="auto"/>
              <w:jc w:val="left"/>
            </w:pPr>
            <w:r/>
            <w:r>
              <w:rPr>
                <w:rFonts w:ascii="Calibri" w:hAnsi="Calibri"/>
                <w:b w:val="0"/>
                <w:color w:val="1A1A1A"/>
                <w:sz w:val="18"/>
              </w:rPr>
              <w:t>213</w:t>
            </w:r>
          </w:p>
        </w:tc>
      </w:tr>
      <w:tr>
        <w:tc>
          <w:tcPr>
            <w:tcW w:type="dxa" w:w="6200"/>
          </w:tcPr>
          <w:p>
            <w:pPr>
              <w:spacing w:before="0" w:after="0" w:line="240" w:lineRule="auto"/>
              <w:jc w:val="left"/>
            </w:pPr>
            <w:r/>
            <w:r>
              <w:rPr>
                <w:rFonts w:ascii="Calibri" w:hAnsi="Calibri"/>
                <w:b w:val="0"/>
                <w:color w:val="1A1A1A"/>
                <w:sz w:val="18"/>
              </w:rPr>
              <w:t>Los Angeles</w:t>
            </w:r>
          </w:p>
        </w:tc>
        <w:tc>
          <w:tcPr>
            <w:tcW w:type="dxa" w:w="3160"/>
          </w:tcPr>
          <w:p>
            <w:pPr>
              <w:spacing w:before="0" w:after="0" w:line="240" w:lineRule="auto"/>
              <w:jc w:val="left"/>
            </w:pPr>
            <w:r/>
            <w:r>
              <w:rPr>
                <w:rFonts w:ascii="Calibri" w:hAnsi="Calibri"/>
                <w:b w:val="0"/>
                <w:color w:val="1A1A1A"/>
                <w:sz w:val="18"/>
              </w:rPr>
              <w:t>212</w:t>
            </w:r>
          </w:p>
        </w:tc>
      </w:tr>
      <w:tr>
        <w:tc>
          <w:tcPr>
            <w:tcW w:type="dxa" w:w="6200"/>
          </w:tcPr>
          <w:p>
            <w:pPr>
              <w:spacing w:before="0" w:after="0" w:line="240" w:lineRule="auto"/>
              <w:jc w:val="left"/>
            </w:pPr>
            <w:r/>
            <w:r>
              <w:rPr>
                <w:rFonts w:ascii="Calibri" w:hAnsi="Calibri"/>
                <w:b w:val="0"/>
                <w:color w:val="1A1A1A"/>
                <w:sz w:val="18"/>
              </w:rPr>
              <w:t>Miami</w:t>
            </w:r>
          </w:p>
        </w:tc>
        <w:tc>
          <w:tcPr>
            <w:tcW w:type="dxa" w:w="3160"/>
          </w:tcPr>
          <w:p>
            <w:pPr>
              <w:spacing w:before="0" w:after="0" w:line="240" w:lineRule="auto"/>
              <w:jc w:val="left"/>
            </w:pPr>
            <w:r/>
            <w:r>
              <w:rPr>
                <w:rFonts w:ascii="Calibri" w:hAnsi="Calibri"/>
                <w:b w:val="0"/>
                <w:color w:val="1A1A1A"/>
                <w:sz w:val="18"/>
              </w:rPr>
              <w:t>120</w:t>
            </w:r>
          </w:p>
        </w:tc>
      </w:tr>
      <w:tr>
        <w:tc>
          <w:tcPr>
            <w:tcW w:type="dxa" w:w="6200"/>
          </w:tcPr>
          <w:p>
            <w:pPr>
              <w:spacing w:before="0" w:after="0" w:line="240" w:lineRule="auto"/>
              <w:jc w:val="left"/>
            </w:pPr>
            <w:r/>
            <w:r>
              <w:rPr>
                <w:rFonts w:ascii="Calibri" w:hAnsi="Calibri"/>
                <w:b w:val="0"/>
                <w:color w:val="1A1A1A"/>
                <w:sz w:val="18"/>
              </w:rPr>
              <w:t>Minneapolis–St. Paul</w:t>
            </w:r>
          </w:p>
        </w:tc>
        <w:tc>
          <w:tcPr>
            <w:tcW w:type="dxa" w:w="3160"/>
          </w:tcPr>
          <w:p>
            <w:pPr>
              <w:spacing w:before="0" w:after="0" w:line="240" w:lineRule="auto"/>
              <w:jc w:val="left"/>
            </w:pPr>
            <w:r/>
            <w:r>
              <w:rPr>
                <w:rFonts w:ascii="Calibri" w:hAnsi="Calibri"/>
                <w:b w:val="0"/>
                <w:color w:val="1A1A1A"/>
                <w:sz w:val="18"/>
              </w:rPr>
              <w:t>298</w:t>
            </w:r>
          </w:p>
        </w:tc>
      </w:tr>
      <w:tr>
        <w:tc>
          <w:tcPr>
            <w:tcW w:type="dxa" w:w="6200"/>
          </w:tcPr>
          <w:p>
            <w:pPr>
              <w:spacing w:before="0" w:after="0" w:line="240" w:lineRule="auto"/>
              <w:jc w:val="left"/>
            </w:pPr>
            <w:r/>
            <w:r>
              <w:rPr>
                <w:rFonts w:ascii="Calibri" w:hAnsi="Calibri"/>
                <w:b w:val="0"/>
                <w:color w:val="1A1A1A"/>
                <w:sz w:val="18"/>
              </w:rPr>
              <w:t>Phoenix</w:t>
            </w:r>
          </w:p>
        </w:tc>
        <w:tc>
          <w:tcPr>
            <w:tcW w:type="dxa" w:w="3160"/>
          </w:tcPr>
          <w:p>
            <w:pPr>
              <w:spacing w:before="0" w:after="0" w:line="240" w:lineRule="auto"/>
              <w:jc w:val="left"/>
            </w:pPr>
            <w:r/>
            <w:r>
              <w:rPr>
                <w:rFonts w:ascii="Calibri" w:hAnsi="Calibri"/>
                <w:b w:val="0"/>
                <w:color w:val="1A1A1A"/>
                <w:sz w:val="18"/>
              </w:rPr>
              <w:t>212</w:t>
            </w:r>
          </w:p>
        </w:tc>
      </w:tr>
      <w:tr>
        <w:tc>
          <w:tcPr>
            <w:tcW w:type="dxa" w:w="6200"/>
          </w:tcPr>
          <w:p>
            <w:pPr>
              <w:spacing w:before="0" w:after="0" w:line="240" w:lineRule="auto"/>
              <w:jc w:val="left"/>
            </w:pPr>
            <w:r/>
            <w:r>
              <w:rPr>
                <w:rFonts w:ascii="Calibri" w:hAnsi="Calibri"/>
                <w:b w:val="0"/>
                <w:color w:val="1A1A1A"/>
                <w:sz w:val="18"/>
              </w:rPr>
              <w:t>Total</w:t>
            </w:r>
          </w:p>
        </w:tc>
        <w:tc>
          <w:tcPr>
            <w:tcW w:type="dxa" w:w="3160"/>
          </w:tcPr>
          <w:p>
            <w:pPr>
              <w:spacing w:before="0" w:after="0" w:line="240" w:lineRule="auto"/>
              <w:jc w:val="left"/>
            </w:pPr>
            <w:r/>
            <w:r>
              <w:rPr>
                <w:rFonts w:ascii="Calibri" w:hAnsi="Calibri"/>
                <w:b w:val="0"/>
                <w:color w:val="1A1A1A"/>
                <w:sz w:val="18"/>
              </w:rPr>
              <w:t>1,055</w:t>
            </w:r>
          </w:p>
        </w:tc>
      </w:tr>
    </w:tbl>
    <w:p>
      <w:pPr>
        <w:spacing w:after="0"/>
      </w:pPr>
    </w:p>
    <w:p>
      <w:pPr>
        <w:keepLines w:val="0"/>
        <w:spacing w:after="120" w:line="264" w:lineRule="auto"/>
      </w:pPr>
      <w:r>
        <w:rPr>
          <w:rFonts w:ascii="Calibri" w:hAnsi="Calibri"/>
          <w:color w:val="1A1A1A"/>
          <w:sz w:val="22"/>
        </w:rPr>
        <w:t>The live search returned 13,577 tiled granules. Provenance-preserving deduplication reduced these to 2,968 physical city-orbit passes, of which 1,055 fell between 10:00 and 18:00 local solar time. Definitive geometry and cloud screening then reduced that daytime ceiling to 219 retained near-nadir passes carrying 159.087 expected pass-equivalents.</w:t>
      </w:r>
    </w:p>
    <w:p>
      <w:pPr>
        <w:keepLines/>
        <w:spacing w:before="60" w:after="80"/>
        <w:jc w:val="center"/>
      </w:pPr>
      <w:r>
        <w:drawing>
          <wp:inline xmlns:a="http://schemas.openxmlformats.org/drawingml/2006/main" xmlns:pic="http://schemas.openxmlformats.org/drawingml/2006/picture">
            <wp:extent cx="5806440" cy="1687342"/>
            <wp:docPr id="4" name="Picture 4"/>
            <wp:cNvGraphicFramePr>
              <a:graphicFrameLocks noChangeAspect="1"/>
            </wp:cNvGraphicFramePr>
            <a:graphic>
              <a:graphicData uri="http://schemas.openxmlformats.org/drawingml/2006/picture">
                <pic:pic>
                  <pic:nvPicPr>
                    <pic:cNvPr id="0" name="F2.2_usable_pass_heatmaps.png"/>
                    <pic:cNvPicPr/>
                  </pic:nvPicPr>
                  <pic:blipFill>
                    <a:blip r:embed="rId14"/>
                    <a:stretch>
                      <a:fillRect/>
                    </a:stretch>
                  </pic:blipFill>
                  <pic:spPr>
                    <a:xfrm>
                      <a:off x="0" y="0"/>
                      <a:ext cx="5806440" cy="1687342"/>
                    </a:xfrm>
                    <a:prstGeom prst="rect"/>
                  </pic:spPr>
                </pic:pic>
              </a:graphicData>
            </a:graphic>
          </wp:inline>
        </w:drawing>
      </w:r>
    </w:p>
    <w:p>
      <w:pPr>
        <w:keepLines/>
        <w:spacing w:before="0" w:after="80"/>
      </w:pPr>
      <w:r>
        <w:rPr>
          <w:rFonts w:ascii="Calibri" w:hAnsi="Calibri"/>
          <w:b/>
          <w:color w:val="1F4D78"/>
          <w:sz w:val="18"/>
        </w:rPr>
        <w:t xml:space="preserve">Figure 4 (definitive F2.2). </w:t>
      </w:r>
      <w:r>
        <w:rPr>
          <w:rFonts w:ascii="Calibri" w:hAnsi="Calibri"/>
          <w:color w:val="1A1A1A"/>
          <w:sz w:val="18"/>
        </w:rPr>
        <w:t>Usable near-nadir passes by city and year, and by city and local-solar-time stratum, after the complete geometry and cloud screen. These are the counts every later power and support calculation rests on.</w:t>
      </w:r>
    </w:p>
    <w:p>
      <w:pPr>
        <w:keepLines/>
        <w:spacing w:before="0" w:after="160"/>
      </w:pPr>
      <w:r>
        <w:rPr>
          <w:rFonts w:ascii="Calibri" w:hAnsi="Calibri"/>
          <w:i/>
          <w:color w:val="5B6573"/>
          <w:sz w:val="16"/>
        </w:rPr>
        <w:t>Evidence status: Canonical empirical Step-2 output; nonthermal. Source: data/processed/v2/task1/step2_definitive_l1b_geo_D0047_archive_available/figures/F2.2_usable_pass_heatmaps.png</w:t>
      </w:r>
    </w:p>
    <w:p>
      <w:pPr>
        <w:pageBreakBefore/>
        <w:spacing w:before="0" w:after="0"/>
      </w:pPr>
    </w:p>
    <w:p>
      <w:pPr>
        <w:spacing w:before="0" w:after="100"/>
      </w:pPr>
      <w:r>
        <w:rPr>
          <w:rFonts w:ascii="Calibri" w:hAnsi="Calibri"/>
          <w:b/>
          <w:smallCaps/>
          <w:color w:val="2E74B5"/>
          <w:sz w:val="18"/>
        </w:rPr>
        <w:t>STEP 2 REMEDIATION RECORD</w:t>
      </w:r>
    </w:p>
    <w:p>
      <w:pPr>
        <w:pStyle w:val="Heading1"/>
        <w:keepNext/>
      </w:pPr>
      <w:r>
        <w:t>Why the first quality count was rejected</w:t>
      </w:r>
    </w:p>
    <w:p>
      <w:pPr>
        <w:keepLines w:val="0"/>
        <w:spacing w:after="120" w:line="264" w:lineRule="auto"/>
      </w:pPr>
      <w:r>
        <w:rPr>
          <w:rFonts w:ascii="Calibri" w:hAnsi="Calibri"/>
          <w:color w:val="1A1A1A"/>
          <w:sz w:val="22"/>
        </w:rPr>
        <w:t>An initial tiled-product screen left 107 nominal pre-cloud candidates. The exhaustive audit then found that tiled view angle was not cloud independent: across 127 cloud-bearing layer pairs, all 400,414 cloudy pixels had invalid tiled view_zenith values. The earlier 95% view-coverage rule therefore partly measured retrieval availability rather than physical geometry. The provisional expected total of 106.4273 pass-equivalents (floor 106) was retained only as failed diagnostic evidence and was not used as a certified count.</w:t>
      </w:r>
    </w:p>
    <w:p>
      <w:pPr>
        <w:pStyle w:val="Heading2"/>
        <w:keepNext/>
      </w:pPr>
      <w:r>
        <w:t>Cloud-independent L1B GEO remediation</w:t>
      </w:r>
    </w:p>
    <w:tbl>
      <w:tblPr>
        <w:tblStyle w:val="TableGrid"/>
        <w:tblW w:type="dxa" w:w="9360"/>
        <w:jc w:val="center"/>
        <w:tblLayout w:type="fixed"/>
        <w:tblLook w:firstColumn="1" w:firstRow="1" w:lastColumn="0" w:lastRow="0" w:noHBand="0" w:noVBand="1" w:val="04A0"/>
        <w:tblInd w:w="120" w:type="dxa"/>
      </w:tblPr>
      <w:tblGrid>
        <w:gridCol w:w="2600"/>
        <w:gridCol w:w="1600"/>
        <w:gridCol w:w="5160"/>
      </w:tblGrid>
      <w:tr>
        <w:trPr>
          <w:tblHeader w:val="true"/>
        </w:trPr>
        <w:tc>
          <w:tcPr>
            <w:tcW w:type="dxa" w:w="260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7"/>
              </w:rPr>
              <w:t>Checkpoint fact</w:t>
            </w:r>
          </w:p>
        </w:tc>
        <w:tc>
          <w:tcPr>
            <w:tcW w:type="dxa" w:w="160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7"/>
              </w:rPr>
              <w:t>Verified value</w:t>
            </w:r>
          </w:p>
        </w:tc>
        <w:tc>
          <w:tcPr>
            <w:tcW w:type="dxa" w:w="516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7"/>
              </w:rPr>
              <w:t>Interpretation</w:t>
            </w:r>
          </w:p>
        </w:tc>
      </w:tr>
      <w:tr>
        <w:tc>
          <w:tcPr>
            <w:tcW w:type="dxa" w:w="2600"/>
          </w:tcPr>
          <w:p>
            <w:pPr>
              <w:spacing w:before="0" w:after="0" w:line="240" w:lineRule="auto"/>
              <w:jc w:val="left"/>
            </w:pPr>
            <w:r/>
            <w:r>
              <w:rPr>
                <w:rFonts w:ascii="Calibri" w:hAnsi="Calibri"/>
                <w:b w:val="0"/>
                <w:color w:val="1A1A1A"/>
                <w:sz w:val="17"/>
              </w:rPr>
              <w:t>Original metadata candidates</w:t>
            </w:r>
          </w:p>
        </w:tc>
        <w:tc>
          <w:tcPr>
            <w:tcW w:type="dxa" w:w="1600"/>
          </w:tcPr>
          <w:p>
            <w:pPr>
              <w:spacing w:before="0" w:after="0" w:line="240" w:lineRule="auto"/>
              <w:jc w:val="left"/>
            </w:pPr>
            <w:r/>
            <w:r>
              <w:rPr>
                <w:rFonts w:ascii="Calibri" w:hAnsi="Calibri"/>
                <w:b w:val="0"/>
                <w:color w:val="1A1A1A"/>
                <w:sz w:val="17"/>
              </w:rPr>
              <w:t>942</w:t>
            </w:r>
          </w:p>
        </w:tc>
        <w:tc>
          <w:tcPr>
            <w:tcW w:type="dxa" w:w="5160"/>
          </w:tcPr>
          <w:p>
            <w:pPr>
              <w:spacing w:before="0" w:after="0" w:line="240" w:lineRule="auto"/>
              <w:jc w:val="left"/>
            </w:pPr>
            <w:r/>
            <w:r>
              <w:rPr>
                <w:rFonts w:ascii="Calibri" w:hAnsi="Calibri"/>
                <w:b w:val="0"/>
                <w:color w:val="1A1A1A"/>
                <w:sz w:val="17"/>
              </w:rPr>
              <w:t>Required cloud-independent geometry census under the original rule.</w:t>
            </w:r>
          </w:p>
        </w:tc>
      </w:tr>
      <w:tr>
        <w:tc>
          <w:tcPr>
            <w:tcW w:type="dxa" w:w="2600"/>
          </w:tcPr>
          <w:p>
            <w:pPr>
              <w:spacing w:before="0" w:after="0" w:line="240" w:lineRule="auto"/>
              <w:jc w:val="left"/>
            </w:pPr>
            <w:r/>
            <w:r>
              <w:rPr>
                <w:rFonts w:ascii="Calibri" w:hAnsi="Calibri"/>
                <w:b w:val="0"/>
                <w:color w:val="1A1A1A"/>
                <w:sz w:val="17"/>
              </w:rPr>
              <w:t>Exact GEO scene identities</w:t>
            </w:r>
          </w:p>
        </w:tc>
        <w:tc>
          <w:tcPr>
            <w:tcW w:type="dxa" w:w="1600"/>
          </w:tcPr>
          <w:p>
            <w:pPr>
              <w:spacing w:before="0" w:after="0" w:line="240" w:lineRule="auto"/>
              <w:jc w:val="left"/>
            </w:pPr>
            <w:r/>
            <w:r>
              <w:rPr>
                <w:rFonts w:ascii="Calibri" w:hAnsi="Calibri"/>
                <w:b w:val="0"/>
                <w:color w:val="1A1A1A"/>
                <w:sz w:val="17"/>
              </w:rPr>
              <w:t>1,370</w:t>
            </w:r>
          </w:p>
        </w:tc>
        <w:tc>
          <w:tcPr>
            <w:tcW w:type="dxa" w:w="5160"/>
          </w:tcPr>
          <w:p>
            <w:pPr>
              <w:spacing w:before="0" w:after="0" w:line="240" w:lineRule="auto"/>
              <w:jc w:val="left"/>
            </w:pPr>
            <w:r/>
            <w:r>
              <w:rPr>
                <w:rFonts w:ascii="Calibri" w:hAnsi="Calibri"/>
                <w:b w:val="0"/>
                <w:color w:val="1A1A1A"/>
                <w:sz w:val="17"/>
              </w:rPr>
              <w:t>Mission-exact orbit/scene identities resolved from frozen provenance.</w:t>
            </w:r>
          </w:p>
        </w:tc>
      </w:tr>
      <w:tr>
        <w:tc>
          <w:tcPr>
            <w:tcW w:type="dxa" w:w="2600"/>
          </w:tcPr>
          <w:p>
            <w:pPr>
              <w:spacing w:before="0" w:after="0" w:line="240" w:lineRule="auto"/>
              <w:jc w:val="left"/>
            </w:pPr>
            <w:r/>
            <w:r>
              <w:rPr>
                <w:rFonts w:ascii="Calibri" w:hAnsi="Calibri"/>
                <w:b w:val="0"/>
                <w:color w:val="1A1A1A"/>
                <w:sz w:val="17"/>
              </w:rPr>
              <w:t>Available / unavailable exact scenes</w:t>
            </w:r>
          </w:p>
        </w:tc>
        <w:tc>
          <w:tcPr>
            <w:tcW w:type="dxa" w:w="1600"/>
          </w:tcPr>
          <w:p>
            <w:pPr>
              <w:spacing w:before="0" w:after="0" w:line="240" w:lineRule="auto"/>
              <w:jc w:val="left"/>
            </w:pPr>
            <w:r/>
            <w:r>
              <w:rPr>
                <w:rFonts w:ascii="Calibri" w:hAnsi="Calibri"/>
                <w:b w:val="0"/>
                <w:color w:val="1A1A1A"/>
                <w:sz w:val="17"/>
              </w:rPr>
              <w:t>1,329 / 41</w:t>
            </w:r>
          </w:p>
        </w:tc>
        <w:tc>
          <w:tcPr>
            <w:tcW w:type="dxa" w:w="5160"/>
          </w:tcPr>
          <w:p>
            <w:pPr>
              <w:spacing w:before="0" w:after="0" w:line="240" w:lineRule="auto"/>
              <w:jc w:val="left"/>
            </w:pPr>
            <w:r/>
            <w:r>
              <w:rPr>
                <w:rFonts w:ascii="Calibri" w:hAnsi="Calibri"/>
                <w:b w:val="0"/>
                <w:color w:val="1A1A1A"/>
                <w:sz w:val="17"/>
              </w:rPr>
              <w:t>Forty-one official objects repeatedly returned 404 while controls succeeded.</w:t>
            </w:r>
          </w:p>
        </w:tc>
      </w:tr>
      <w:tr>
        <w:tc>
          <w:tcPr>
            <w:tcW w:type="dxa" w:w="2600"/>
          </w:tcPr>
          <w:p>
            <w:pPr>
              <w:spacing w:before="0" w:after="0" w:line="240" w:lineRule="auto"/>
              <w:jc w:val="left"/>
            </w:pPr>
            <w:r/>
            <w:r>
              <w:rPr>
                <w:rFonts w:ascii="Calibri" w:hAnsi="Calibri"/>
                <w:b w:val="0"/>
                <w:color w:val="1A1A1A"/>
                <w:sz w:val="17"/>
              </w:rPr>
              <w:t>Candidate passes affected</w:t>
            </w:r>
          </w:p>
        </w:tc>
        <w:tc>
          <w:tcPr>
            <w:tcW w:type="dxa" w:w="1600"/>
          </w:tcPr>
          <w:p>
            <w:pPr>
              <w:spacing w:before="0" w:after="0" w:line="240" w:lineRule="auto"/>
              <w:jc w:val="left"/>
            </w:pPr>
            <w:r/>
            <w:r>
              <w:rPr>
                <w:rFonts w:ascii="Calibri" w:hAnsi="Calibri"/>
                <w:b w:val="0"/>
                <w:color w:val="1A1A1A"/>
                <w:sz w:val="17"/>
              </w:rPr>
              <w:t>31</w:t>
            </w:r>
          </w:p>
        </w:tc>
        <w:tc>
          <w:tcPr>
            <w:tcW w:type="dxa" w:w="5160"/>
          </w:tcPr>
          <w:p>
            <w:pPr>
              <w:spacing w:before="0" w:after="0" w:line="240" w:lineRule="auto"/>
              <w:jc w:val="left"/>
            </w:pPr>
            <w:r/>
            <w:r>
              <w:rPr>
                <w:rFonts w:ascii="Calibri" w:hAnsi="Calibri"/>
                <w:b w:val="0"/>
                <w:color w:val="1A1A1A"/>
                <w:sz w:val="17"/>
              </w:rPr>
              <w:t>Excluded before geometry only under the separately approved archive-available profile.</w:t>
            </w:r>
          </w:p>
        </w:tc>
      </w:tr>
      <w:tr>
        <w:tc>
          <w:tcPr>
            <w:tcW w:type="dxa" w:w="2600"/>
          </w:tcPr>
          <w:p>
            <w:pPr>
              <w:spacing w:before="0" w:after="0" w:line="240" w:lineRule="auto"/>
              <w:jc w:val="left"/>
            </w:pPr>
            <w:r/>
            <w:r>
              <w:rPr>
                <w:rFonts w:ascii="Calibri" w:hAnsi="Calibri"/>
                <w:b w:val="0"/>
                <w:color w:val="1A1A1A"/>
                <w:sz w:val="17"/>
              </w:rPr>
              <w:t>Archive-available candidates</w:t>
            </w:r>
          </w:p>
        </w:tc>
        <w:tc>
          <w:tcPr>
            <w:tcW w:type="dxa" w:w="1600"/>
          </w:tcPr>
          <w:p>
            <w:pPr>
              <w:spacing w:before="0" w:after="0" w:line="240" w:lineRule="auto"/>
              <w:jc w:val="left"/>
            </w:pPr>
            <w:r/>
            <w:r>
              <w:rPr>
                <w:rFonts w:ascii="Calibri" w:hAnsi="Calibri"/>
                <w:b w:val="0"/>
                <w:color w:val="1A1A1A"/>
                <w:sz w:val="17"/>
              </w:rPr>
              <w:t>911</w:t>
            </w:r>
          </w:p>
        </w:tc>
        <w:tc>
          <w:tcPr>
            <w:tcW w:type="dxa" w:w="5160"/>
          </w:tcPr>
          <w:p>
            <w:pPr>
              <w:spacing w:before="0" w:after="0" w:line="240" w:lineRule="auto"/>
              <w:jc w:val="left"/>
            </w:pPr>
            <w:r/>
            <w:r>
              <w:rPr>
                <w:rFonts w:ascii="Calibri" w:hAnsi="Calibri"/>
                <w:b w:val="0"/>
                <w:color w:val="1A1A1A"/>
                <w:sz w:val="17"/>
              </w:rPr>
              <w:t>Revised estimand; missing scenes were not imputed or replaced.</w:t>
            </w:r>
          </w:p>
        </w:tc>
      </w:tr>
      <w:tr>
        <w:tc>
          <w:tcPr>
            <w:tcW w:type="dxa" w:w="2600"/>
          </w:tcPr>
          <w:p>
            <w:pPr>
              <w:spacing w:before="0" w:after="0" w:line="240" w:lineRule="auto"/>
              <w:jc w:val="left"/>
            </w:pPr>
            <w:r/>
            <w:r>
              <w:rPr>
                <w:rFonts w:ascii="Calibri" w:hAnsi="Calibri"/>
                <w:b w:val="0"/>
                <w:color w:val="1A1A1A"/>
                <w:sz w:val="17"/>
              </w:rPr>
              <w:t>Geometry evaluated</w:t>
            </w:r>
          </w:p>
        </w:tc>
        <w:tc>
          <w:tcPr>
            <w:tcW w:type="dxa" w:w="1600"/>
          </w:tcPr>
          <w:p>
            <w:pPr>
              <w:spacing w:before="0" w:after="0" w:line="240" w:lineRule="auto"/>
              <w:jc w:val="left"/>
            </w:pPr>
            <w:r/>
            <w:r>
              <w:rPr>
                <w:rFonts w:ascii="Calibri" w:hAnsi="Calibri"/>
                <w:b w:val="0"/>
                <w:color w:val="1A1A1A"/>
                <w:sz w:val="17"/>
              </w:rPr>
              <w:t>911 / 911</w:t>
            </w:r>
          </w:p>
        </w:tc>
        <w:tc>
          <w:tcPr>
            <w:tcW w:type="dxa" w:w="5160"/>
          </w:tcPr>
          <w:p>
            <w:pPr>
              <w:spacing w:before="0" w:after="0" w:line="240" w:lineRule="auto"/>
              <w:jc w:val="left"/>
            </w:pPr>
            <w:r/>
            <w:r>
              <w:rPr>
                <w:rFonts w:ascii="Calibri" w:hAnsi="Calibri"/>
                <w:b w:val="0"/>
                <w:color w:val="1A1A1A"/>
                <w:sz w:val="17"/>
              </w:rPr>
              <w:t>Completed with zero unresolved candidates; the earlier 710-candidate checkpoint was superseded.</w:t>
            </w:r>
          </w:p>
        </w:tc>
      </w:tr>
      <w:tr>
        <w:tc>
          <w:tcPr>
            <w:tcW w:type="dxa" w:w="2600"/>
          </w:tcPr>
          <w:p>
            <w:pPr>
              <w:spacing w:before="0" w:after="0" w:line="240" w:lineRule="auto"/>
              <w:jc w:val="left"/>
            </w:pPr>
            <w:r/>
            <w:r>
              <w:rPr>
                <w:rFonts w:ascii="Calibri" w:hAnsi="Calibri"/>
                <w:b w:val="0"/>
                <w:color w:val="1A1A1A"/>
                <w:sz w:val="17"/>
              </w:rPr>
              <w:t>Near-nadir passes retained</w:t>
            </w:r>
          </w:p>
        </w:tc>
        <w:tc>
          <w:tcPr>
            <w:tcW w:type="dxa" w:w="1600"/>
          </w:tcPr>
          <w:p>
            <w:pPr>
              <w:spacing w:before="0" w:after="0" w:line="240" w:lineRule="auto"/>
              <w:jc w:val="left"/>
            </w:pPr>
            <w:r/>
            <w:r>
              <w:rPr>
                <w:rFonts w:ascii="Calibri" w:hAnsi="Calibri"/>
                <w:b w:val="0"/>
                <w:color w:val="1A1A1A"/>
                <w:sz w:val="17"/>
              </w:rPr>
              <w:t>219</w:t>
            </w:r>
          </w:p>
        </w:tc>
        <w:tc>
          <w:tcPr>
            <w:tcW w:type="dxa" w:w="5160"/>
          </w:tcPr>
          <w:p>
            <w:pPr>
              <w:spacing w:before="0" w:after="0" w:line="240" w:lineRule="auto"/>
              <w:jc w:val="left"/>
            </w:pPr>
            <w:r/>
            <w:r>
              <w:rPr>
                <w:rFonts w:ascii="Calibri" w:hAnsi="Calibri"/>
                <w:b w:val="0"/>
                <w:color w:val="1A1A1A"/>
                <w:sz w:val="17"/>
              </w:rPr>
              <w:t>Passed the frozen 95% coverage and 20° p95 view-zenith rule on cloud-independent geometry.</w:t>
            </w:r>
          </w:p>
        </w:tc>
      </w:tr>
      <w:tr>
        <w:tc>
          <w:tcPr>
            <w:tcW w:type="dxa" w:w="2600"/>
          </w:tcPr>
          <w:p>
            <w:pPr>
              <w:spacing w:before="0" w:after="0" w:line="240" w:lineRule="auto"/>
              <w:jc w:val="left"/>
            </w:pPr>
            <w:r/>
            <w:r>
              <w:rPr>
                <w:rFonts w:ascii="Calibri" w:hAnsi="Calibri"/>
                <w:b w:val="0"/>
                <w:color w:val="1A1A1A"/>
                <w:sz w:val="17"/>
              </w:rPr>
              <w:t>Expected pass-equivalents</w:t>
            </w:r>
          </w:p>
        </w:tc>
        <w:tc>
          <w:tcPr>
            <w:tcW w:type="dxa" w:w="1600"/>
          </w:tcPr>
          <w:p>
            <w:pPr>
              <w:spacing w:before="0" w:after="0" w:line="240" w:lineRule="auto"/>
              <w:jc w:val="left"/>
            </w:pPr>
            <w:r/>
            <w:r>
              <w:rPr>
                <w:rFonts w:ascii="Calibri" w:hAnsi="Calibri"/>
                <w:b w:val="0"/>
                <w:color w:val="1A1A1A"/>
                <w:sz w:val="17"/>
              </w:rPr>
              <w:t>159.087</w:t>
            </w:r>
          </w:p>
        </w:tc>
        <w:tc>
          <w:tcPr>
            <w:tcW w:type="dxa" w:w="5160"/>
          </w:tcPr>
          <w:p>
            <w:pPr>
              <w:spacing w:before="0" w:after="0" w:line="240" w:lineRule="auto"/>
              <w:jc w:val="left"/>
            </w:pPr>
            <w:r/>
            <w:r>
              <w:rPr>
                <w:rFonts w:ascii="Calibri" w:hAnsi="Calibri"/>
                <w:b w:val="0"/>
                <w:color w:val="1A1A1A"/>
                <w:sz w:val="17"/>
              </w:rPr>
              <w:t>Exhaustive official cloud fractions, no extrapolation between cities, months, or years.</w:t>
            </w:r>
          </w:p>
        </w:tc>
      </w:tr>
      <w:tr>
        <w:tc>
          <w:tcPr>
            <w:tcW w:type="dxa" w:w="2600"/>
          </w:tcPr>
          <w:p>
            <w:pPr>
              <w:spacing w:before="0" w:after="0" w:line="240" w:lineRule="auto"/>
              <w:jc w:val="left"/>
            </w:pPr>
            <w:r/>
            <w:r>
              <w:rPr>
                <w:rFonts w:ascii="Calibri" w:hAnsi="Calibri"/>
                <w:b w:val="0"/>
                <w:color w:val="1A1A1A"/>
                <w:sz w:val="17"/>
              </w:rPr>
              <w:t>Exact-acquisition HRRR hours</w:t>
            </w:r>
          </w:p>
        </w:tc>
        <w:tc>
          <w:tcPr>
            <w:tcW w:type="dxa" w:w="1600"/>
          </w:tcPr>
          <w:p>
            <w:pPr>
              <w:spacing w:before="0" w:after="0" w:line="240" w:lineRule="auto"/>
              <w:jc w:val="left"/>
            </w:pPr>
            <w:r/>
            <w:r>
              <w:rPr>
                <w:rFonts w:ascii="Calibri" w:hAnsi="Calibri"/>
                <w:b w:val="0"/>
                <w:color w:val="1A1A1A"/>
                <w:sz w:val="17"/>
              </w:rPr>
              <w:t>413 / 413</w:t>
            </w:r>
          </w:p>
        </w:tc>
        <w:tc>
          <w:tcPr>
            <w:tcW w:type="dxa" w:w="5160"/>
          </w:tcPr>
          <w:p>
            <w:pPr>
              <w:spacing w:before="0" w:after="0" w:line="240" w:lineRule="auto"/>
              <w:jc w:val="left"/>
            </w:pPr>
            <w:r/>
            <w:r>
              <w:rPr>
                <w:rFonts w:ascii="Calibri" w:hAnsi="Calibri"/>
                <w:b w:val="0"/>
                <w:color w:val="1A1A1A"/>
                <w:sz w:val="17"/>
              </w:rPr>
              <w:t>Four 2018 surface objects absent from the NOAA archive were resolved from the same-cycle official pressure product.</w:t>
            </w:r>
          </w:p>
        </w:tc>
      </w:tr>
    </w:tbl>
    <w:p>
      <w:pPr>
        <w:spacing w:after="0"/>
      </w:pP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DECEC"/>
            <w:tcBorders>
              <w:top w:val="single" w:sz="12" w:color="A61B1B"/>
              <w:left w:val="single" w:sz="12" w:color="A61B1B"/>
              <w:bottom w:val="single" w:sz="12" w:color="A61B1B"/>
              <w:right w:val="single" w:sz="12" w:color="A61B1B"/>
            </w:tcBorders>
          </w:tcPr>
          <w:p>
            <w:pPr>
              <w:spacing w:after="60"/>
            </w:pPr>
            <w:r>
              <w:rPr>
                <w:rFonts w:ascii="Calibri" w:hAnsi="Calibri"/>
                <w:b/>
                <w:color w:val="A61B1B"/>
                <w:sz w:val="23"/>
              </w:rPr>
              <w:t>Active gate: STOP — definitive Step 2 count support</w:t>
            </w:r>
          </w:p>
          <w:p>
            <w:pPr>
              <w:spacing w:after="0" w:line="264" w:lineRule="auto"/>
            </w:pPr>
            <w:r>
              <w:rPr>
                <w:rFonts w:ascii="Calibri" w:hAnsi="Calibri"/>
                <w:color w:val="1A1A1A"/>
                <w:sz w:val="21"/>
              </w:rPr>
              <w:t>All six Step-2 implementation and data-integrity checks pass, and all 394 post-transition daytime passes carry official five-band metadata. The gate nevertheless fails on frozen count support: demand_low__antecedent_dry holds 0.553 expected pass-equivalents against the required minimum of 10, while demand_high__antecedent_wet holds 26.168. Without both off-diagonal corners the demand-by-dryness interaction cannot be separated from a demand main effect, so no definitive interaction, three-way, or transition-threshold model is permitted.</w:t>
            </w:r>
          </w:p>
        </w:tc>
      </w:tr>
    </w:tbl>
    <w:p>
      <w:pPr>
        <w:spacing w:after="0"/>
      </w:pPr>
    </w:p>
    <w:p>
      <w:pPr>
        <w:keepLines/>
        <w:spacing w:before="60" w:after="80"/>
        <w:jc w:val="center"/>
      </w:pPr>
      <w:r>
        <w:drawing>
          <wp:inline xmlns:a="http://schemas.openxmlformats.org/drawingml/2006/main" xmlns:pic="http://schemas.openxmlformats.org/drawingml/2006/picture">
            <wp:extent cx="5806440" cy="4682613"/>
            <wp:docPr id="5" name="Picture 5"/>
            <wp:cNvGraphicFramePr>
              <a:graphicFrameLocks noChangeAspect="1"/>
            </wp:cNvGraphicFramePr>
            <a:graphic>
              <a:graphicData uri="http://schemas.openxmlformats.org/drawingml/2006/picture">
                <pic:pic>
                  <pic:nvPicPr>
                    <pic:cNvPr id="0" name="F_PROF.1_demand_water_support_grid.png"/>
                    <pic:cNvPicPr/>
                  </pic:nvPicPr>
                  <pic:blipFill>
                    <a:blip r:embed="rId15"/>
                    <a:stretch>
                      <a:fillRect/>
                    </a:stretch>
                  </pic:blipFill>
                  <pic:spPr>
                    <a:xfrm>
                      <a:off x="0" y="0"/>
                      <a:ext cx="5806440" cy="4682613"/>
                    </a:xfrm>
                    <a:prstGeom prst="rect"/>
                  </pic:spPr>
                </pic:pic>
              </a:graphicData>
            </a:graphic>
          </wp:inline>
        </w:drawing>
      </w:r>
    </w:p>
    <w:p>
      <w:pPr>
        <w:keepLines/>
        <w:spacing w:before="0" w:after="80"/>
      </w:pPr>
      <w:r>
        <w:rPr>
          <w:rFonts w:ascii="Calibri" w:hAnsi="Calibri"/>
          <w:b/>
          <w:color w:val="1F4D78"/>
          <w:sz w:val="18"/>
        </w:rPr>
        <w:t xml:space="preserve">Figure 4b (condition support, review-specified axes). </w:t>
      </w:r>
      <w:r>
        <w:rPr>
          <w:rFonts w:ascii="Calibri" w:hAnsi="Calibri"/>
          <w:color w:val="1A1A1A"/>
          <w:sz w:val="18"/>
        </w:rPr>
        <w:t>The advisory review's demand-by-water grid, rebuilt on the definitive v2 sample. Shading is the number of usable satellite passes, not cooling — no cooling value exists. The corner where the review expected a cooling collapse (high demand, low water) is the best-sampled cell on the plane at 68 passes, but the two off-diagonal corners needed to attribute a collapse to water rather than demand hold 26.17 and 0.55 pass-equivalents against a minimum of 10.</w:t>
      </w:r>
    </w:p>
    <w:p>
      <w:pPr>
        <w:keepLines/>
        <w:spacing w:before="0" w:after="160"/>
      </w:pPr>
      <w:r>
        <w:rPr>
          <w:rFonts w:ascii="Calibri" w:hAnsi="Calibri"/>
          <w:i/>
          <w:color w:val="5B6573"/>
          <w:sz w:val="16"/>
        </w:rPr>
        <w:t>Evidence status: Canonical empirical Step-2 output; nonthermal. Source: figures/v2/prof_spec_support_grid/F_PROF.1_demand_water_support_grid.png</w:t>
      </w:r>
    </w:p>
    <w:p>
      <w:pPr>
        <w:pStyle w:val="Heading2"/>
        <w:keepNext/>
      </w:pPr>
      <w:r>
        <w:t>The 41 unavailable GEO objects</w:t>
      </w:r>
    </w:p>
    <w:p>
      <w:pPr>
        <w:keepLines w:val="0"/>
        <w:spacing w:after="120" w:line="264" w:lineRule="auto"/>
      </w:pPr>
      <w:r>
        <w:rPr>
          <w:rFonts w:ascii="Calibri" w:hAnsi="Calibri"/>
          <w:color w:val="1A1A1A"/>
          <w:sz w:val="22"/>
        </w:rPr>
        <w:t>The project repeatedly attempted exact CMR searches, canonical HDF5/DMR++/OPeNDAP endpoints, and authenticated eight-byte HDF5 signature reads. Known-good sibling controls succeeded before and after the batches, while all 41 targets returned HTTP 404. A renewed Earthdata token produced the same result, ruling out token expiry. The missing objects affect 31 candidates—24 in 2020 and 7 in 2024—and were never assigned zero coverage, imputed, or replaced with adjacent scenes. The append-only decision log records that an LP DAAC restoration/re-indexing request was sent with the exact evidence packet; no external delivery receipt is stored in the repository.</w:t>
      </w:r>
    </w:p>
    <w:tbl>
      <w:tblPr>
        <w:tblStyle w:val="TableGrid"/>
        <w:tblW w:type="dxa" w:w="9360"/>
        <w:jc w:val="center"/>
        <w:tblLayout w:type="fixed"/>
        <w:tblLook w:firstColumn="1" w:firstRow="1" w:lastColumn="0" w:lastRow="0" w:noHBand="0" w:noVBand="1" w:val="04A0"/>
        <w:tblInd w:w="120" w:type="dxa"/>
      </w:tblPr>
      <w:tblGrid>
        <w:gridCol w:w="6200"/>
        <w:gridCol w:w="3160"/>
      </w:tblGrid>
      <w:tr>
        <w:trPr>
          <w:tblHeader w:val="true"/>
        </w:trPr>
        <w:tc>
          <w:tcPr>
            <w:tcW w:type="dxa" w:w="620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8"/>
              </w:rPr>
              <w:t>City</w:t>
            </w:r>
          </w:p>
        </w:tc>
        <w:tc>
          <w:tcPr>
            <w:tcW w:type="dxa" w:w="316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8"/>
              </w:rPr>
              <w:t>Archive-unavailable candidate exclusions</w:t>
            </w:r>
          </w:p>
        </w:tc>
      </w:tr>
      <w:tr>
        <w:tc>
          <w:tcPr>
            <w:tcW w:type="dxa" w:w="6200"/>
          </w:tcPr>
          <w:p>
            <w:pPr>
              <w:spacing w:before="0" w:after="0" w:line="240" w:lineRule="auto"/>
              <w:jc w:val="left"/>
            </w:pPr>
            <w:r/>
            <w:r>
              <w:rPr>
                <w:rFonts w:ascii="Calibri" w:hAnsi="Calibri"/>
                <w:b w:val="0"/>
                <w:color w:val="1A1A1A"/>
                <w:sz w:val="18"/>
              </w:rPr>
              <w:t>Atlanta</w:t>
            </w:r>
          </w:p>
        </w:tc>
        <w:tc>
          <w:tcPr>
            <w:tcW w:type="dxa" w:w="3160"/>
          </w:tcPr>
          <w:p>
            <w:pPr>
              <w:spacing w:before="0" w:after="0" w:line="240" w:lineRule="auto"/>
              <w:jc w:val="left"/>
            </w:pPr>
            <w:r/>
            <w:r>
              <w:rPr>
                <w:rFonts w:ascii="Calibri" w:hAnsi="Calibri"/>
                <w:b w:val="0"/>
                <w:color w:val="1A1A1A"/>
                <w:sz w:val="18"/>
              </w:rPr>
              <w:t>8</w:t>
            </w:r>
          </w:p>
        </w:tc>
      </w:tr>
      <w:tr>
        <w:tc>
          <w:tcPr>
            <w:tcW w:type="dxa" w:w="6200"/>
          </w:tcPr>
          <w:p>
            <w:pPr>
              <w:spacing w:before="0" w:after="0" w:line="240" w:lineRule="auto"/>
              <w:jc w:val="left"/>
            </w:pPr>
            <w:r/>
            <w:r>
              <w:rPr>
                <w:rFonts w:ascii="Calibri" w:hAnsi="Calibri"/>
                <w:b w:val="0"/>
                <w:color w:val="1A1A1A"/>
                <w:sz w:val="18"/>
              </w:rPr>
              <w:t>Los Angeles</w:t>
            </w:r>
          </w:p>
        </w:tc>
        <w:tc>
          <w:tcPr>
            <w:tcW w:type="dxa" w:w="3160"/>
          </w:tcPr>
          <w:p>
            <w:pPr>
              <w:spacing w:before="0" w:after="0" w:line="240" w:lineRule="auto"/>
              <w:jc w:val="left"/>
            </w:pPr>
            <w:r/>
            <w:r>
              <w:rPr>
                <w:rFonts w:ascii="Calibri" w:hAnsi="Calibri"/>
                <w:b w:val="0"/>
                <w:color w:val="1A1A1A"/>
                <w:sz w:val="18"/>
              </w:rPr>
              <w:t>8</w:t>
            </w:r>
          </w:p>
        </w:tc>
      </w:tr>
      <w:tr>
        <w:tc>
          <w:tcPr>
            <w:tcW w:type="dxa" w:w="6200"/>
          </w:tcPr>
          <w:p>
            <w:pPr>
              <w:spacing w:before="0" w:after="0" w:line="240" w:lineRule="auto"/>
              <w:jc w:val="left"/>
            </w:pPr>
            <w:r/>
            <w:r>
              <w:rPr>
                <w:rFonts w:ascii="Calibri" w:hAnsi="Calibri"/>
                <w:b w:val="0"/>
                <w:color w:val="1A1A1A"/>
                <w:sz w:val="18"/>
              </w:rPr>
              <w:t>Miami</w:t>
            </w:r>
          </w:p>
        </w:tc>
        <w:tc>
          <w:tcPr>
            <w:tcW w:type="dxa" w:w="3160"/>
          </w:tcPr>
          <w:p>
            <w:pPr>
              <w:spacing w:before="0" w:after="0" w:line="240" w:lineRule="auto"/>
              <w:jc w:val="left"/>
            </w:pPr>
            <w:r/>
            <w:r>
              <w:rPr>
                <w:rFonts w:ascii="Calibri" w:hAnsi="Calibri"/>
                <w:b w:val="0"/>
                <w:color w:val="1A1A1A"/>
                <w:sz w:val="18"/>
              </w:rPr>
              <w:t>1</w:t>
            </w:r>
          </w:p>
        </w:tc>
      </w:tr>
      <w:tr>
        <w:tc>
          <w:tcPr>
            <w:tcW w:type="dxa" w:w="6200"/>
          </w:tcPr>
          <w:p>
            <w:pPr>
              <w:spacing w:before="0" w:after="0" w:line="240" w:lineRule="auto"/>
              <w:jc w:val="left"/>
            </w:pPr>
            <w:r/>
            <w:r>
              <w:rPr>
                <w:rFonts w:ascii="Calibri" w:hAnsi="Calibri"/>
                <w:b w:val="0"/>
                <w:color w:val="1A1A1A"/>
                <w:sz w:val="18"/>
              </w:rPr>
              <w:t>Minneapolis–St. Paul</w:t>
            </w:r>
          </w:p>
        </w:tc>
        <w:tc>
          <w:tcPr>
            <w:tcW w:type="dxa" w:w="3160"/>
          </w:tcPr>
          <w:p>
            <w:pPr>
              <w:spacing w:before="0" w:after="0" w:line="240" w:lineRule="auto"/>
              <w:jc w:val="left"/>
            </w:pPr>
            <w:r/>
            <w:r>
              <w:rPr>
                <w:rFonts w:ascii="Calibri" w:hAnsi="Calibri"/>
                <w:b w:val="0"/>
                <w:color w:val="1A1A1A"/>
                <w:sz w:val="18"/>
              </w:rPr>
              <w:t>8</w:t>
            </w:r>
          </w:p>
        </w:tc>
      </w:tr>
      <w:tr>
        <w:tc>
          <w:tcPr>
            <w:tcW w:type="dxa" w:w="6200"/>
          </w:tcPr>
          <w:p>
            <w:pPr>
              <w:spacing w:before="0" w:after="0" w:line="240" w:lineRule="auto"/>
              <w:jc w:val="left"/>
            </w:pPr>
            <w:r/>
            <w:r>
              <w:rPr>
                <w:rFonts w:ascii="Calibri" w:hAnsi="Calibri"/>
                <w:b w:val="0"/>
                <w:color w:val="1A1A1A"/>
                <w:sz w:val="18"/>
              </w:rPr>
              <w:t>Phoenix</w:t>
            </w:r>
          </w:p>
        </w:tc>
        <w:tc>
          <w:tcPr>
            <w:tcW w:type="dxa" w:w="3160"/>
          </w:tcPr>
          <w:p>
            <w:pPr>
              <w:spacing w:before="0" w:after="0" w:line="240" w:lineRule="auto"/>
              <w:jc w:val="left"/>
            </w:pPr>
            <w:r/>
            <w:r>
              <w:rPr>
                <w:rFonts w:ascii="Calibri" w:hAnsi="Calibri"/>
                <w:b w:val="0"/>
                <w:color w:val="1A1A1A"/>
                <w:sz w:val="18"/>
              </w:rPr>
              <w:t>6</w:t>
            </w:r>
          </w:p>
        </w:tc>
      </w:tr>
    </w:tbl>
    <w:p>
      <w:pPr>
        <w:spacing w:after="0"/>
      </w:pPr>
    </w:p>
    <w:p>
      <w:pPr>
        <w:pageBreakBefore/>
        <w:spacing w:before="0" w:after="0"/>
      </w:pPr>
    </w:p>
    <w:p>
      <w:pPr>
        <w:spacing w:before="0" w:after="100"/>
      </w:pPr>
      <w:r>
        <w:rPr>
          <w:rFonts w:ascii="Calibri" w:hAnsi="Calibri"/>
          <w:b/>
          <w:smallCaps/>
          <w:color w:val="2E74B5"/>
          <w:sz w:val="18"/>
        </w:rPr>
        <w:t>PLANNING AND CODE VALIDATION</w:t>
      </w:r>
    </w:p>
    <w:p>
      <w:pPr>
        <w:pStyle w:val="Heading1"/>
        <w:keepNext/>
      </w:pPr>
      <w:r>
        <w:t>5. Step 3 — definitive time-of-day simulation</w:t>
      </w:r>
    </w:p>
    <w:p>
      <w:pPr>
        <w:keepLines w:val="0"/>
        <w:spacing w:after="120" w:line="264" w:lineRule="auto"/>
      </w:pPr>
      <w:r>
        <w:rPr>
          <w:rFonts w:ascii="Calibri" w:hAnsi="Calibri"/>
          <w:color w:val="1A1A1A"/>
          <w:sz w:val="22"/>
        </w:rPr>
        <w:t>Because Step 2 removed the hydroclimatic interaction from the estimable set, the study retained the five-city panel and made time-of-day dependence the sole primary objective — the guide's own predeclared fallback and the endpoint it describes as most likely to succeed. A definitive pass-clustered simulation was then run against the real checksum-bound pass template before any thermal value was opened. It is a genuine gate, not a planning exercise.</w:t>
      </w:r>
    </w:p>
    <w:tbl>
      <w:tblPr>
        <w:tblStyle w:val="TableGrid"/>
        <w:tblW w:type="dxa" w:w="9360"/>
        <w:jc w:val="center"/>
        <w:tblLayout w:type="fixed"/>
        <w:tblLook w:firstColumn="1" w:firstRow="1" w:lastColumn="0" w:lastRow="0" w:noHBand="0" w:noVBand="1" w:val="04A0"/>
        <w:tblInd w:w="120" w:type="dxa"/>
      </w:tblPr>
      <w:tblGrid>
        <w:gridCol w:w="3100"/>
        <w:gridCol w:w="1700"/>
        <w:gridCol w:w="2700"/>
        <w:gridCol w:w="1860"/>
      </w:tblGrid>
      <w:tr>
        <w:trPr>
          <w:tblHeader w:val="true"/>
        </w:trPr>
        <w:tc>
          <w:tcPr>
            <w:tcW w:type="dxa" w:w="310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6"/>
              </w:rPr>
              <w:t>Required check</w:t>
            </w:r>
          </w:p>
        </w:tc>
        <w:tc>
          <w:tcPr>
            <w:tcW w:type="dxa" w:w="170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6"/>
              </w:rPr>
              <w:t>Result</w:t>
            </w:r>
          </w:p>
        </w:tc>
        <w:tc>
          <w:tcPr>
            <w:tcW w:type="dxa" w:w="270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6"/>
              </w:rPr>
              <w:t>Threshold</w:t>
            </w:r>
          </w:p>
        </w:tc>
        <w:tc>
          <w:tcPr>
            <w:tcW w:type="dxa" w:w="186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6"/>
              </w:rPr>
              <w:t>Verdict</w:t>
            </w:r>
          </w:p>
        </w:tc>
      </w:tr>
      <w:tr>
        <w:tc>
          <w:tcPr>
            <w:tcW w:type="dxa" w:w="3100"/>
          </w:tcPr>
          <w:p>
            <w:pPr>
              <w:spacing w:before="0" w:after="0" w:line="240" w:lineRule="auto"/>
              <w:jc w:val="left"/>
            </w:pPr>
            <w:r/>
            <w:r>
              <w:rPr>
                <w:rFonts w:ascii="Calibri" w:hAnsi="Calibri"/>
                <w:b w:val="0"/>
                <w:color w:val="1A1A1A"/>
                <w:sz w:val="16"/>
              </w:rPr>
              <w:t>Full-panel power, 1.50 K contrast</w:t>
            </w:r>
          </w:p>
        </w:tc>
        <w:tc>
          <w:tcPr>
            <w:tcW w:type="dxa" w:w="1700"/>
          </w:tcPr>
          <w:p>
            <w:pPr>
              <w:spacing w:before="0" w:after="0" w:line="240" w:lineRule="auto"/>
              <w:jc w:val="left"/>
            </w:pPr>
            <w:r/>
            <w:r>
              <w:rPr>
                <w:rFonts w:ascii="Calibri" w:hAnsi="Calibri"/>
                <w:b w:val="0"/>
                <w:color w:val="1A1A1A"/>
                <w:sz w:val="16"/>
              </w:rPr>
              <w:t>0.110</w:t>
            </w:r>
          </w:p>
        </w:tc>
        <w:tc>
          <w:tcPr>
            <w:tcW w:type="dxa" w:w="2700"/>
          </w:tcPr>
          <w:p>
            <w:pPr>
              <w:spacing w:before="0" w:after="0" w:line="240" w:lineRule="auto"/>
              <w:jc w:val="left"/>
            </w:pPr>
            <w:r/>
            <w:r>
              <w:rPr>
                <w:rFonts w:ascii="Calibri" w:hAnsi="Calibri"/>
                <w:b w:val="0"/>
                <w:color w:val="1A1A1A"/>
                <w:sz w:val="16"/>
              </w:rPr>
              <w:t>at least 0.800</w:t>
            </w:r>
          </w:p>
        </w:tc>
        <w:tc>
          <w:tcPr>
            <w:tcW w:type="dxa" w:w="1860"/>
          </w:tcPr>
          <w:p>
            <w:pPr>
              <w:spacing w:before="0" w:after="0" w:line="240" w:lineRule="auto"/>
              <w:jc w:val="left"/>
            </w:pPr>
            <w:r/>
            <w:r>
              <w:rPr>
                <w:rFonts w:ascii="Calibri" w:hAnsi="Calibri"/>
                <w:b w:val="0"/>
                <w:color w:val="1A1A1A"/>
                <w:sz w:val="16"/>
              </w:rPr>
              <w:t>Fail</w:t>
            </w:r>
          </w:p>
        </w:tc>
      </w:tr>
      <w:tr>
        <w:tc>
          <w:tcPr>
            <w:tcW w:type="dxa" w:w="3100"/>
          </w:tcPr>
          <w:p>
            <w:pPr>
              <w:spacing w:before="0" w:after="0" w:line="240" w:lineRule="auto"/>
              <w:jc w:val="left"/>
            </w:pPr>
            <w:r/>
            <w:r>
              <w:rPr>
                <w:rFonts w:ascii="Calibri" w:hAnsi="Calibri"/>
                <w:b w:val="0"/>
                <w:color w:val="1A1A1A"/>
                <w:sz w:val="16"/>
              </w:rPr>
              <w:t>Power excluding Atlanta</w:t>
            </w:r>
          </w:p>
        </w:tc>
        <w:tc>
          <w:tcPr>
            <w:tcW w:type="dxa" w:w="1700"/>
          </w:tcPr>
          <w:p>
            <w:pPr>
              <w:spacing w:before="0" w:after="0" w:line="240" w:lineRule="auto"/>
              <w:jc w:val="left"/>
            </w:pPr>
            <w:r/>
            <w:r>
              <w:rPr>
                <w:rFonts w:ascii="Calibri" w:hAnsi="Calibri"/>
                <w:b w:val="0"/>
                <w:color w:val="1A1A1A"/>
                <w:sz w:val="16"/>
              </w:rPr>
              <w:t>0.100</w:t>
            </w:r>
          </w:p>
        </w:tc>
        <w:tc>
          <w:tcPr>
            <w:tcW w:type="dxa" w:w="2700"/>
          </w:tcPr>
          <w:p>
            <w:pPr>
              <w:spacing w:before="0" w:after="0" w:line="240" w:lineRule="auto"/>
              <w:jc w:val="left"/>
            </w:pPr>
            <w:r/>
            <w:r>
              <w:rPr>
                <w:rFonts w:ascii="Calibri" w:hAnsi="Calibri"/>
                <w:b w:val="0"/>
                <w:color w:val="1A1A1A"/>
                <w:sz w:val="16"/>
              </w:rPr>
              <w:t>at least 0.800</w:t>
            </w:r>
          </w:p>
        </w:tc>
        <w:tc>
          <w:tcPr>
            <w:tcW w:type="dxa" w:w="1860"/>
          </w:tcPr>
          <w:p>
            <w:pPr>
              <w:spacing w:before="0" w:after="0" w:line="240" w:lineRule="auto"/>
              <w:jc w:val="left"/>
            </w:pPr>
            <w:r/>
            <w:r>
              <w:rPr>
                <w:rFonts w:ascii="Calibri" w:hAnsi="Calibri"/>
                <w:b w:val="0"/>
                <w:color w:val="1A1A1A"/>
                <w:sz w:val="16"/>
              </w:rPr>
              <w:t>Fail</w:t>
            </w:r>
          </w:p>
        </w:tc>
      </w:tr>
      <w:tr>
        <w:tc>
          <w:tcPr>
            <w:tcW w:type="dxa" w:w="3100"/>
          </w:tcPr>
          <w:p>
            <w:pPr>
              <w:spacing w:before="0" w:after="0" w:line="240" w:lineRule="auto"/>
              <w:jc w:val="left"/>
            </w:pPr>
            <w:r/>
            <w:r>
              <w:rPr>
                <w:rFonts w:ascii="Calibri" w:hAnsi="Calibri"/>
                <w:b w:val="0"/>
                <w:color w:val="1A1A1A"/>
                <w:sz w:val="16"/>
              </w:rPr>
              <w:t>Power excluding Los Angeles</w:t>
            </w:r>
          </w:p>
        </w:tc>
        <w:tc>
          <w:tcPr>
            <w:tcW w:type="dxa" w:w="1700"/>
          </w:tcPr>
          <w:p>
            <w:pPr>
              <w:spacing w:before="0" w:after="0" w:line="240" w:lineRule="auto"/>
              <w:jc w:val="left"/>
            </w:pPr>
            <w:r/>
            <w:r>
              <w:rPr>
                <w:rFonts w:ascii="Calibri" w:hAnsi="Calibri"/>
                <w:b w:val="0"/>
                <w:color w:val="1A1A1A"/>
                <w:sz w:val="16"/>
              </w:rPr>
              <w:t>0.145</w:t>
            </w:r>
          </w:p>
        </w:tc>
        <w:tc>
          <w:tcPr>
            <w:tcW w:type="dxa" w:w="2700"/>
          </w:tcPr>
          <w:p>
            <w:pPr>
              <w:spacing w:before="0" w:after="0" w:line="240" w:lineRule="auto"/>
              <w:jc w:val="left"/>
            </w:pPr>
            <w:r/>
            <w:r>
              <w:rPr>
                <w:rFonts w:ascii="Calibri" w:hAnsi="Calibri"/>
                <w:b w:val="0"/>
                <w:color w:val="1A1A1A"/>
                <w:sz w:val="16"/>
              </w:rPr>
              <w:t>at least 0.800</w:t>
            </w:r>
          </w:p>
        </w:tc>
        <w:tc>
          <w:tcPr>
            <w:tcW w:type="dxa" w:w="1860"/>
          </w:tcPr>
          <w:p>
            <w:pPr>
              <w:spacing w:before="0" w:after="0" w:line="240" w:lineRule="auto"/>
              <w:jc w:val="left"/>
            </w:pPr>
            <w:r/>
            <w:r>
              <w:rPr>
                <w:rFonts w:ascii="Calibri" w:hAnsi="Calibri"/>
                <w:b w:val="0"/>
                <w:color w:val="1A1A1A"/>
                <w:sz w:val="16"/>
              </w:rPr>
              <w:t>Fail</w:t>
            </w:r>
          </w:p>
        </w:tc>
      </w:tr>
      <w:tr>
        <w:tc>
          <w:tcPr>
            <w:tcW w:type="dxa" w:w="3100"/>
          </w:tcPr>
          <w:p>
            <w:pPr>
              <w:spacing w:before="0" w:after="0" w:line="240" w:lineRule="auto"/>
              <w:jc w:val="left"/>
            </w:pPr>
            <w:r/>
            <w:r>
              <w:rPr>
                <w:rFonts w:ascii="Calibri" w:hAnsi="Calibri"/>
                <w:b w:val="0"/>
                <w:color w:val="1A1A1A"/>
                <w:sz w:val="16"/>
              </w:rPr>
              <w:t>Power excluding Miami</w:t>
            </w:r>
          </w:p>
        </w:tc>
        <w:tc>
          <w:tcPr>
            <w:tcW w:type="dxa" w:w="1700"/>
          </w:tcPr>
          <w:p>
            <w:pPr>
              <w:spacing w:before="0" w:after="0" w:line="240" w:lineRule="auto"/>
              <w:jc w:val="left"/>
            </w:pPr>
            <w:r/>
            <w:r>
              <w:rPr>
                <w:rFonts w:ascii="Calibri" w:hAnsi="Calibri"/>
                <w:b w:val="0"/>
                <w:color w:val="1A1A1A"/>
                <w:sz w:val="16"/>
              </w:rPr>
              <w:t>0.140</w:t>
            </w:r>
          </w:p>
        </w:tc>
        <w:tc>
          <w:tcPr>
            <w:tcW w:type="dxa" w:w="2700"/>
          </w:tcPr>
          <w:p>
            <w:pPr>
              <w:spacing w:before="0" w:after="0" w:line="240" w:lineRule="auto"/>
              <w:jc w:val="left"/>
            </w:pPr>
            <w:r/>
            <w:r>
              <w:rPr>
                <w:rFonts w:ascii="Calibri" w:hAnsi="Calibri"/>
                <w:b w:val="0"/>
                <w:color w:val="1A1A1A"/>
                <w:sz w:val="16"/>
              </w:rPr>
              <w:t>at least 0.800</w:t>
            </w:r>
          </w:p>
        </w:tc>
        <w:tc>
          <w:tcPr>
            <w:tcW w:type="dxa" w:w="1860"/>
          </w:tcPr>
          <w:p>
            <w:pPr>
              <w:spacing w:before="0" w:after="0" w:line="240" w:lineRule="auto"/>
              <w:jc w:val="left"/>
            </w:pPr>
            <w:r/>
            <w:r>
              <w:rPr>
                <w:rFonts w:ascii="Calibri" w:hAnsi="Calibri"/>
                <w:b w:val="0"/>
                <w:color w:val="1A1A1A"/>
                <w:sz w:val="16"/>
              </w:rPr>
              <w:t>Fail</w:t>
            </w:r>
          </w:p>
        </w:tc>
      </w:tr>
      <w:tr>
        <w:tc>
          <w:tcPr>
            <w:tcW w:type="dxa" w:w="3100"/>
          </w:tcPr>
          <w:p>
            <w:pPr>
              <w:spacing w:before="0" w:after="0" w:line="240" w:lineRule="auto"/>
              <w:jc w:val="left"/>
            </w:pPr>
            <w:r/>
            <w:r>
              <w:rPr>
                <w:rFonts w:ascii="Calibri" w:hAnsi="Calibri"/>
                <w:b w:val="0"/>
                <w:color w:val="1A1A1A"/>
                <w:sz w:val="16"/>
              </w:rPr>
              <w:t>Power excluding Minneapolis–St. Paul</w:t>
            </w:r>
          </w:p>
        </w:tc>
        <w:tc>
          <w:tcPr>
            <w:tcW w:type="dxa" w:w="1700"/>
          </w:tcPr>
          <w:p>
            <w:pPr>
              <w:spacing w:before="0" w:after="0" w:line="240" w:lineRule="auto"/>
              <w:jc w:val="left"/>
            </w:pPr>
            <w:r/>
            <w:r>
              <w:rPr>
                <w:rFonts w:ascii="Calibri" w:hAnsi="Calibri"/>
                <w:b w:val="0"/>
                <w:color w:val="1A1A1A"/>
                <w:sz w:val="16"/>
              </w:rPr>
              <w:t>0.100</w:t>
            </w:r>
          </w:p>
        </w:tc>
        <w:tc>
          <w:tcPr>
            <w:tcW w:type="dxa" w:w="2700"/>
          </w:tcPr>
          <w:p>
            <w:pPr>
              <w:spacing w:before="0" w:after="0" w:line="240" w:lineRule="auto"/>
              <w:jc w:val="left"/>
            </w:pPr>
            <w:r/>
            <w:r>
              <w:rPr>
                <w:rFonts w:ascii="Calibri" w:hAnsi="Calibri"/>
                <w:b w:val="0"/>
                <w:color w:val="1A1A1A"/>
                <w:sz w:val="16"/>
              </w:rPr>
              <w:t>at least 0.800</w:t>
            </w:r>
          </w:p>
        </w:tc>
        <w:tc>
          <w:tcPr>
            <w:tcW w:type="dxa" w:w="1860"/>
          </w:tcPr>
          <w:p>
            <w:pPr>
              <w:spacing w:before="0" w:after="0" w:line="240" w:lineRule="auto"/>
              <w:jc w:val="left"/>
            </w:pPr>
            <w:r/>
            <w:r>
              <w:rPr>
                <w:rFonts w:ascii="Calibri" w:hAnsi="Calibri"/>
                <w:b w:val="0"/>
                <w:color w:val="1A1A1A"/>
                <w:sz w:val="16"/>
              </w:rPr>
              <w:t>Fail</w:t>
            </w:r>
          </w:p>
        </w:tc>
      </w:tr>
      <w:tr>
        <w:tc>
          <w:tcPr>
            <w:tcW w:type="dxa" w:w="3100"/>
          </w:tcPr>
          <w:p>
            <w:pPr>
              <w:spacing w:before="0" w:after="0" w:line="240" w:lineRule="auto"/>
              <w:jc w:val="left"/>
            </w:pPr>
            <w:r/>
            <w:r>
              <w:rPr>
                <w:rFonts w:ascii="Calibri" w:hAnsi="Calibri"/>
                <w:b w:val="0"/>
                <w:color w:val="1A1A1A"/>
                <w:sz w:val="16"/>
              </w:rPr>
              <w:t>Pooled zero-effect rejection rate</w:t>
            </w:r>
          </w:p>
        </w:tc>
        <w:tc>
          <w:tcPr>
            <w:tcW w:type="dxa" w:w="1700"/>
          </w:tcPr>
          <w:p>
            <w:pPr>
              <w:spacing w:before="0" w:after="0" w:line="240" w:lineRule="auto"/>
              <w:jc w:val="left"/>
            </w:pPr>
            <w:r/>
            <w:r>
              <w:rPr>
                <w:rFonts w:ascii="Calibri" w:hAnsi="Calibri"/>
                <w:b w:val="0"/>
                <w:color w:val="1A1A1A"/>
                <w:sz w:val="16"/>
              </w:rPr>
              <w:t>0.090</w:t>
            </w:r>
          </w:p>
        </w:tc>
        <w:tc>
          <w:tcPr>
            <w:tcW w:type="dxa" w:w="2700"/>
          </w:tcPr>
          <w:p>
            <w:pPr>
              <w:spacing w:before="0" w:after="0" w:line="240" w:lineRule="auto"/>
              <w:jc w:val="left"/>
            </w:pPr>
            <w:r/>
            <w:r>
              <w:rPr>
                <w:rFonts w:ascii="Calibri" w:hAnsi="Calibri"/>
                <w:b w:val="0"/>
                <w:color w:val="1A1A1A"/>
                <w:sz w:val="16"/>
              </w:rPr>
              <w:t>at most 0.100; interval must contain 0.050</w:t>
            </w:r>
          </w:p>
        </w:tc>
        <w:tc>
          <w:tcPr>
            <w:tcW w:type="dxa" w:w="1860"/>
          </w:tcPr>
          <w:p>
            <w:pPr>
              <w:spacing w:before="0" w:after="0" w:line="240" w:lineRule="auto"/>
              <w:jc w:val="left"/>
            </w:pPr>
            <w:r/>
            <w:r>
              <w:rPr>
                <w:rFonts w:ascii="Calibri" w:hAnsi="Calibri"/>
                <w:b w:val="0"/>
                <w:color w:val="1A1A1A"/>
                <w:sz w:val="16"/>
              </w:rPr>
              <w:t>Fail</w:t>
            </w:r>
          </w:p>
        </w:tc>
      </w:tr>
      <w:tr>
        <w:tc>
          <w:tcPr>
            <w:tcW w:type="dxa" w:w="3100"/>
          </w:tcPr>
          <w:p>
            <w:pPr>
              <w:spacing w:before="0" w:after="0" w:line="240" w:lineRule="auto"/>
              <w:jc w:val="left"/>
            </w:pPr>
            <w:r/>
            <w:r>
              <w:rPr>
                <w:rFonts w:ascii="Calibri" w:hAnsi="Calibri"/>
                <w:b w:val="0"/>
                <w:color w:val="1A1A1A"/>
                <w:sz w:val="16"/>
              </w:rPr>
              <w:t>Pass-block interval coverage</w:t>
            </w:r>
          </w:p>
        </w:tc>
        <w:tc>
          <w:tcPr>
            <w:tcW w:type="dxa" w:w="1700"/>
          </w:tcPr>
          <w:p>
            <w:pPr>
              <w:spacing w:before="0" w:after="0" w:line="240" w:lineRule="auto"/>
              <w:jc w:val="left"/>
            </w:pPr>
            <w:r/>
            <w:r>
              <w:rPr>
                <w:rFonts w:ascii="Calibri" w:hAnsi="Calibri"/>
                <w:b w:val="0"/>
                <w:color w:val="1A1A1A"/>
                <w:sz w:val="16"/>
              </w:rPr>
              <w:t>0.983</w:t>
            </w:r>
          </w:p>
        </w:tc>
        <w:tc>
          <w:tcPr>
            <w:tcW w:type="dxa" w:w="2700"/>
          </w:tcPr>
          <w:p>
            <w:pPr>
              <w:spacing w:before="0" w:after="0" w:line="240" w:lineRule="auto"/>
              <w:jc w:val="left"/>
            </w:pPr>
            <w:r/>
            <w:r>
              <w:rPr>
                <w:rFonts w:ascii="Calibri" w:hAnsi="Calibri"/>
                <w:b w:val="0"/>
                <w:color w:val="1A1A1A"/>
                <w:sz w:val="16"/>
              </w:rPr>
              <w:t>at least 0.900</w:t>
            </w:r>
          </w:p>
        </w:tc>
        <w:tc>
          <w:tcPr>
            <w:tcW w:type="dxa" w:w="1860"/>
          </w:tcPr>
          <w:p>
            <w:pPr>
              <w:spacing w:before="0" w:after="0" w:line="240" w:lineRule="auto"/>
              <w:jc w:val="left"/>
            </w:pPr>
            <w:r/>
            <w:r>
              <w:rPr>
                <w:rFonts w:ascii="Calibri" w:hAnsi="Calibri"/>
                <w:b w:val="0"/>
                <w:color w:val="1A1A1A"/>
                <w:sz w:val="16"/>
              </w:rPr>
              <w:t>Pass</w:t>
            </w:r>
          </w:p>
        </w:tc>
      </w:tr>
      <w:tr>
        <w:tc>
          <w:tcPr>
            <w:tcW w:type="dxa" w:w="3100"/>
          </w:tcPr>
          <w:p>
            <w:pPr>
              <w:spacing w:before="0" w:after="0" w:line="240" w:lineRule="auto"/>
              <w:jc w:val="left"/>
            </w:pPr>
            <w:r/>
            <w:r>
              <w:rPr>
                <w:rFonts w:ascii="Calibri" w:hAnsi="Calibri"/>
                <w:b w:val="0"/>
                <w:color w:val="1A1A1A"/>
                <w:sz w:val="16"/>
              </w:rPr>
              <w:t>Pass-block minus naive-row coverage</w:t>
            </w:r>
          </w:p>
        </w:tc>
        <w:tc>
          <w:tcPr>
            <w:tcW w:type="dxa" w:w="1700"/>
          </w:tcPr>
          <w:p>
            <w:pPr>
              <w:spacing w:before="0" w:after="0" w:line="240" w:lineRule="auto"/>
              <w:jc w:val="left"/>
            </w:pPr>
            <w:r/>
            <w:r>
              <w:rPr>
                <w:rFonts w:ascii="Calibri" w:hAnsi="Calibri"/>
                <w:b w:val="0"/>
                <w:color w:val="1A1A1A"/>
                <w:sz w:val="16"/>
              </w:rPr>
              <w:t>0.467</w:t>
            </w:r>
          </w:p>
        </w:tc>
        <w:tc>
          <w:tcPr>
            <w:tcW w:type="dxa" w:w="2700"/>
          </w:tcPr>
          <w:p>
            <w:pPr>
              <w:spacing w:before="0" w:after="0" w:line="240" w:lineRule="auto"/>
              <w:jc w:val="left"/>
            </w:pPr>
            <w:r/>
            <w:r>
              <w:rPr>
                <w:rFonts w:ascii="Calibri" w:hAnsi="Calibri"/>
                <w:b w:val="0"/>
                <w:color w:val="1A1A1A"/>
                <w:sz w:val="16"/>
              </w:rPr>
              <w:t>at least 0.100</w:t>
            </w:r>
          </w:p>
        </w:tc>
        <w:tc>
          <w:tcPr>
            <w:tcW w:type="dxa" w:w="1860"/>
          </w:tcPr>
          <w:p>
            <w:pPr>
              <w:spacing w:before="0" w:after="0" w:line="240" w:lineRule="auto"/>
              <w:jc w:val="left"/>
            </w:pPr>
            <w:r/>
            <w:r>
              <w:rPr>
                <w:rFonts w:ascii="Calibri" w:hAnsi="Calibri"/>
                <w:b w:val="0"/>
                <w:color w:val="1A1A1A"/>
                <w:sz w:val="16"/>
              </w:rPr>
              <w:t>Pass</w:t>
            </w:r>
          </w:p>
        </w:tc>
      </w:tr>
      <w:tr>
        <w:tc>
          <w:tcPr>
            <w:tcW w:type="dxa" w:w="3100"/>
          </w:tcPr>
          <w:p>
            <w:pPr>
              <w:spacing w:before="0" w:after="0" w:line="240" w:lineRule="auto"/>
              <w:jc w:val="left"/>
            </w:pPr>
            <w:r/>
            <w:r>
              <w:rPr>
                <w:rFonts w:ascii="Calibri" w:hAnsi="Calibri"/>
                <w:b w:val="0"/>
                <w:color w:val="1A1A1A"/>
                <w:sz w:val="16"/>
              </w:rPr>
              <w:t>Large-sample coefficient bias</w:t>
            </w:r>
          </w:p>
        </w:tc>
        <w:tc>
          <w:tcPr>
            <w:tcW w:type="dxa" w:w="1700"/>
          </w:tcPr>
          <w:p>
            <w:pPr>
              <w:spacing w:before="0" w:after="0" w:line="240" w:lineRule="auto"/>
              <w:jc w:val="left"/>
            </w:pPr>
            <w:r/>
            <w:r>
              <w:rPr>
                <w:rFonts w:ascii="Calibri" w:hAnsi="Calibri"/>
                <w:b w:val="0"/>
                <w:color w:val="1A1A1A"/>
                <w:sz w:val="16"/>
              </w:rPr>
              <w:t>0.024–0.087 K</w:t>
            </w:r>
          </w:p>
        </w:tc>
        <w:tc>
          <w:tcPr>
            <w:tcW w:type="dxa" w:w="2700"/>
          </w:tcPr>
          <w:p>
            <w:pPr>
              <w:spacing w:before="0" w:after="0" w:line="240" w:lineRule="auto"/>
              <w:jc w:val="left"/>
            </w:pPr>
            <w:r/>
            <w:r>
              <w:rPr>
                <w:rFonts w:ascii="Calibri" w:hAnsi="Calibri"/>
                <w:b w:val="0"/>
                <w:color w:val="1A1A1A"/>
                <w:sz w:val="16"/>
              </w:rPr>
              <w:t>at most 0.200 K</w:t>
            </w:r>
          </w:p>
        </w:tc>
        <w:tc>
          <w:tcPr>
            <w:tcW w:type="dxa" w:w="1860"/>
          </w:tcPr>
          <w:p>
            <w:pPr>
              <w:spacing w:before="0" w:after="0" w:line="240" w:lineRule="auto"/>
              <w:jc w:val="left"/>
            </w:pPr>
            <w:r/>
            <w:r>
              <w:rPr>
                <w:rFonts w:ascii="Calibri" w:hAnsi="Calibri"/>
                <w:b w:val="0"/>
                <w:color w:val="1A1A1A"/>
                <w:sz w:val="16"/>
              </w:rPr>
              <w:t>Pass</w:t>
            </w:r>
          </w:p>
        </w:tc>
      </w:tr>
    </w:tbl>
    <w:p>
      <w:pPr>
        <w:spacing w:after="0"/>
      </w:pPr>
    </w:p>
    <w:p>
      <w:pPr>
        <w:keepLines/>
        <w:spacing w:before="60" w:after="80"/>
        <w:jc w:val="center"/>
      </w:pPr>
      <w:r>
        <w:drawing>
          <wp:inline xmlns:a="http://schemas.openxmlformats.org/drawingml/2006/main" xmlns:pic="http://schemas.openxmlformats.org/drawingml/2006/picture">
            <wp:extent cx="4983480" cy="3153212"/>
            <wp:docPr id="6" name="Picture 6"/>
            <wp:cNvGraphicFramePr>
              <a:graphicFrameLocks noChangeAspect="1"/>
            </wp:cNvGraphicFramePr>
            <a:graphic>
              <a:graphicData uri="http://schemas.openxmlformats.org/drawingml/2006/picture">
                <pic:pic>
                  <pic:nvPicPr>
                    <pic:cNvPr id="0" name="F3T.1_time_of_day_power.png"/>
                    <pic:cNvPicPr/>
                  </pic:nvPicPr>
                  <pic:blipFill>
                    <a:blip r:embed="rId16"/>
                    <a:stretch>
                      <a:fillRect/>
                    </a:stretch>
                  </pic:blipFill>
                  <pic:spPr>
                    <a:xfrm>
                      <a:off x="0" y="0"/>
                      <a:ext cx="4983480" cy="3153212"/>
                    </a:xfrm>
                    <a:prstGeom prst="rect"/>
                  </pic:spPr>
                </pic:pic>
              </a:graphicData>
            </a:graphic>
          </wp:inline>
        </w:drawing>
      </w:r>
    </w:p>
    <w:p>
      <w:pPr>
        <w:keepLines/>
        <w:spacing w:before="0" w:after="80"/>
      </w:pPr>
      <w:r>
        <w:rPr>
          <w:rFonts w:ascii="Calibri" w:hAnsi="Calibri"/>
          <w:b/>
          <w:color w:val="1F4D78"/>
          <w:sz w:val="18"/>
        </w:rPr>
        <w:t xml:space="preserve">Figure 5 (definitive F3T.1). </w:t>
      </w:r>
      <w:r>
        <w:rPr>
          <w:rFonts w:ascii="Calibri" w:hAnsi="Calibri"/>
          <w:color w:val="1A1A1A"/>
          <w:sz w:val="18"/>
        </w:rPr>
        <w:t>Detection probability for the late-afternoon minus late-morning cooling contrast against simulated pass counts. The observed floor of 72 pass-equivalents sits far below the count any effect size would require, and the curves flatten well short of 0.80.</w:t>
      </w:r>
    </w:p>
    <w:p>
      <w:pPr>
        <w:keepLines/>
        <w:spacing w:before="0" w:after="160"/>
      </w:pPr>
      <w:r>
        <w:rPr>
          <w:rFonts w:ascii="Calibri" w:hAnsi="Calibri"/>
          <w:i/>
          <w:color w:val="5B6573"/>
          <w:sz w:val="16"/>
        </w:rPr>
        <w:t>Evidence status: Canonical empirical simulation on the real pass template; no thermal value opened. Source: data/processed/v2/task1/step3_time_of_day_only_D0056/figures/F3T.1_time_of_day_power.png</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Borders>
              <w:top w:val="single" w:sz="12" w:color="B26A00"/>
              <w:left w:val="single" w:sz="12" w:color="B26A00"/>
              <w:bottom w:val="single" w:sz="12" w:color="B26A00"/>
              <w:right w:val="single" w:sz="12" w:color="B26A00"/>
            </w:tcBorders>
          </w:tcPr>
          <w:p>
            <w:pPr>
              <w:spacing w:after="60"/>
            </w:pPr>
            <w:r>
              <w:rPr>
                <w:rFonts w:ascii="Calibri" w:hAnsi="Calibri"/>
                <w:b/>
                <w:color w:val="B26A00"/>
                <w:sz w:val="23"/>
              </w:rPr>
              <w:t>Why more data does not fix this</w:t>
            </w:r>
          </w:p>
          <w:p>
            <w:pPr>
              <w:spacing w:after="0" w:line="264" w:lineRule="auto"/>
            </w:pPr>
            <w:r>
              <w:rPr>
                <w:rFonts w:ascii="Calibri" w:hAnsi="Calibri"/>
                <w:color w:val="1A1A1A"/>
                <w:sz w:val="21"/>
              </w:rPr>
              <w:t>The failure is identification, not sample size. Regressing the late-afternoon indicator on city, demand, antecedent dryness, solar zenith, solar-azimuth sine and cosine, and day of year gives R² = 0.9942, a variance-inflation factor of 173.4; the indicator correlates 0.937 with solar zenith and −0.968 with solar-azimuth sine. Because ECOSTRESS observes different local times on different dates, additional rows inside the same passes add no independent time-or-geometry support. Even the 800-pass simulation scenario reaches only 0.395 power at 1.50 K and 0.730 at 2.25 K.</w:t>
            </w:r>
          </w:p>
        </w:tc>
      </w:tr>
    </w:tbl>
    <w:p>
      <w:pPr>
        <w:spacing w:after="0"/>
      </w:pPr>
    </w:p>
    <w:p>
      <w:pPr>
        <w:pStyle w:val="ListBullet"/>
        <w:spacing w:after="160" w:line="280" w:lineRule="auto"/>
        <w:ind w:left="720" w:hanging="360"/>
      </w:pPr>
      <w:r>
        <w:rPr>
          <w:rFonts w:ascii="Calibri" w:hAnsi="Calibri"/>
          <w:color w:val="1A1A1A"/>
          <w:sz w:val="22"/>
        </w:rPr>
        <w:t>Eight of eleven required checks pass; the inference machinery itself is validated — pass-block intervals are correctly conservative relative to naive row-level intervals, and coefficient recovery is unbiased at large counts.</w:t>
      </w:r>
    </w:p>
    <w:p>
      <w:pPr>
        <w:pStyle w:val="ListBullet"/>
        <w:spacing w:after="160" w:line="280" w:lineRule="auto"/>
        <w:ind w:left="720" w:hanging="360"/>
      </w:pPr>
      <w:r>
        <w:rPr>
          <w:rFonts w:ascii="Calibri" w:hAnsi="Calibri"/>
          <w:color w:val="1A1A1A"/>
          <w:sz w:val="22"/>
        </w:rPr>
        <w:t>All four permitted leave-one-city-out branches fail power, so the result is not an artifact of the planned holdout choice.</w:t>
      </w:r>
    </w:p>
    <w:p>
      <w:pPr>
        <w:pStyle w:val="ListBullet"/>
        <w:spacing w:after="160" w:line="280" w:lineRule="auto"/>
        <w:ind w:left="720" w:hanging="360"/>
      </w:pPr>
      <w:r>
        <w:rPr>
          <w:rFonts w:ascii="Calibri" w:hAnsi="Calibri"/>
          <w:color w:val="1A1A1A"/>
          <w:sz w:val="22"/>
        </w:rPr>
        <w:t>Recovering this endpoint would require a redesign with independent time-of-day and solar-geometry support, or an additional observation source. Dropping the solar-geometry controls or relaxing the thresholds after seeing this result is barred by decision D0058.</w:t>
      </w:r>
    </w:p>
    <w:p>
      <w:pPr>
        <w:pageBreakBefore/>
        <w:spacing w:before="0" w:after="0"/>
      </w:pPr>
    </w:p>
    <w:p>
      <w:pPr>
        <w:spacing w:before="0" w:after="100"/>
      </w:pPr>
      <w:r>
        <w:rPr>
          <w:rFonts w:ascii="Calibri" w:hAnsi="Calibri"/>
          <w:b/>
          <w:smallCaps/>
          <w:color w:val="2E74B5"/>
          <w:sz w:val="18"/>
        </w:rPr>
        <w:t>QUARANTINED WORKFLOW DEMONSTRATION</w:t>
      </w:r>
    </w:p>
    <w:p>
      <w:pPr>
        <w:pStyle w:val="Heading1"/>
        <w:keepNext/>
      </w:pPr>
      <w:r>
        <w:t>6. Steps 4–14 — what the illustrative package accomplishes</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DECEC"/>
            <w:tcBorders>
              <w:top w:val="single" w:sz="12" w:color="A61B1B"/>
              <w:left w:val="single" w:sz="12" w:color="A61B1B"/>
              <w:bottom w:val="single" w:sz="12" w:color="A61B1B"/>
              <w:right w:val="single" w:sz="12" w:color="A61B1B"/>
            </w:tcBorders>
          </w:tcPr>
          <w:p>
            <w:pPr>
              <w:spacing w:after="60"/>
            </w:pPr>
            <w:r>
              <w:rPr>
                <w:rFonts w:ascii="Calibri" w:hAnsi="Calibri"/>
                <w:b/>
                <w:color w:val="A61B1B"/>
                <w:sz w:val="23"/>
              </w:rPr>
              <w:t>Synthetic content is not a study result</w:t>
            </w:r>
          </w:p>
          <w:p>
            <w:pPr>
              <w:spacing w:after="0" w:line="264" w:lineRule="auto"/>
            </w:pPr>
            <w:r>
              <w:rPr>
                <w:rFonts w:ascii="Calibri" w:hAnsi="Calibri"/>
                <w:color w:val="1A1A1A"/>
                <w:sz w:val="21"/>
              </w:rPr>
              <w:t>While the geometry run was still incomplete, the remaining guide was completed as a deterministic, offline demonstration under illustrative_only/steps02_14. The package shows expected schemas, figures, model outputs, checks, and reporting structure without opening LST/thermal data, selecting a holdout, opening 2026, or activating Task 2. Geometry has since finished, but that does not upgrade any of this content: it remains synthetic and gate-ineligible.</w:t>
            </w:r>
          </w:p>
        </w:tc>
      </w:tr>
    </w:tbl>
    <w:p>
      <w:pPr>
        <w:spacing w:after="0"/>
      </w:pPr>
    </w:p>
    <w:tbl>
      <w:tblPr>
        <w:tblStyle w:val="TableGrid"/>
        <w:tblW w:type="dxa" w:w="9360"/>
        <w:jc w:val="center"/>
        <w:tblLayout w:type="fixed"/>
        <w:tblLook w:firstColumn="1" w:firstRow="1" w:lastColumn="0" w:lastRow="0" w:noHBand="0" w:noVBand="1" w:val="04A0"/>
        <w:tblInd w:w="120" w:type="dxa"/>
      </w:tblPr>
      <w:tblGrid>
        <w:gridCol w:w="1900"/>
        <w:gridCol w:w="3900"/>
        <w:gridCol w:w="3560"/>
      </w:tblGrid>
      <w:tr>
        <w:trPr>
          <w:tblHeader w:val="true"/>
        </w:trPr>
        <w:tc>
          <w:tcPr>
            <w:tcW w:type="dxa" w:w="190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7"/>
              </w:rPr>
              <w:t>Workflow block</w:t>
            </w:r>
          </w:p>
        </w:tc>
        <w:tc>
          <w:tcPr>
            <w:tcW w:type="dxa" w:w="390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7"/>
              </w:rPr>
              <w:t>What was demonstrated</w:t>
            </w:r>
          </w:p>
        </w:tc>
        <w:tc>
          <w:tcPr>
            <w:tcW w:type="dxa" w:w="356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7"/>
              </w:rPr>
              <w:t>Review value</w:t>
            </w:r>
          </w:p>
        </w:tc>
      </w:tr>
      <w:tr>
        <w:tc>
          <w:tcPr>
            <w:tcW w:type="dxa" w:w="1900"/>
          </w:tcPr>
          <w:p>
            <w:pPr>
              <w:spacing w:before="0" w:after="0" w:line="240" w:lineRule="auto"/>
              <w:jc w:val="left"/>
            </w:pPr>
            <w:r/>
            <w:r>
              <w:rPr>
                <w:rFonts w:ascii="Calibri" w:hAnsi="Calibri"/>
                <w:b w:val="0"/>
                <w:color w:val="1A1A1A"/>
                <w:sz w:val="17"/>
              </w:rPr>
              <w:t>Steps 4–6: data products and weather</w:t>
            </w:r>
          </w:p>
        </w:tc>
        <w:tc>
          <w:tcPr>
            <w:tcW w:type="dxa" w:w="3900"/>
          </w:tcPr>
          <w:p>
            <w:pPr>
              <w:spacing w:before="0" w:after="0" w:line="240" w:lineRule="auto"/>
              <w:jc w:val="left"/>
            </w:pPr>
            <w:r/>
            <w:r>
              <w:rPr>
                <w:rFonts w:ascii="Calibri" w:hAnsi="Calibri"/>
                <w:b w:val="0"/>
                <w:color w:val="1A1A1A"/>
                <w:sz w:val="17"/>
              </w:rPr>
              <w:t>Native-grid archive structure; masking and QA; albedo/ET/radiation; exact-time meteorology and station comparisons.</w:t>
            </w:r>
          </w:p>
        </w:tc>
        <w:tc>
          <w:tcPr>
            <w:tcW w:type="dxa" w:w="3560"/>
          </w:tcPr>
          <w:p>
            <w:pPr>
              <w:spacing w:before="0" w:after="0" w:line="240" w:lineRule="auto"/>
              <w:jc w:val="left"/>
            </w:pPr>
            <w:r/>
            <w:r>
              <w:rPr>
                <w:rFonts w:ascii="Calibri" w:hAnsi="Calibri"/>
                <w:b w:val="0"/>
                <w:color w:val="1A1A1A"/>
                <w:sz w:val="17"/>
              </w:rPr>
              <w:t>Lets a reviewer inspect variable definitions, expected checks, and failure handling before expensive downloads.</w:t>
            </w:r>
          </w:p>
        </w:tc>
      </w:tr>
      <w:tr>
        <w:tc>
          <w:tcPr>
            <w:tcW w:type="dxa" w:w="1900"/>
          </w:tcPr>
          <w:p>
            <w:pPr>
              <w:spacing w:before="0" w:after="0" w:line="240" w:lineRule="auto"/>
              <w:jc w:val="left"/>
            </w:pPr>
            <w:r/>
            <w:r>
              <w:rPr>
                <w:rFonts w:ascii="Calibri" w:hAnsi="Calibri"/>
                <w:b w:val="0"/>
                <w:color w:val="1A1A1A"/>
                <w:sz w:val="17"/>
              </w:rPr>
              <w:t>Steps 7–9: land cover and analysis table</w:t>
            </w:r>
          </w:p>
        </w:tc>
        <w:tc>
          <w:tcPr>
            <w:tcW w:type="dxa" w:w="3900"/>
          </w:tcPr>
          <w:p>
            <w:pPr>
              <w:spacing w:before="0" w:after="0" w:line="240" w:lineRule="auto"/>
              <w:jc w:val="left"/>
            </w:pPr>
            <w:r/>
            <w:r>
              <w:rPr>
                <w:rFonts w:ascii="Calibri" w:hAnsi="Calibri"/>
                <w:b w:val="0"/>
                <w:color w:val="1A1A1A"/>
                <w:sz w:val="17"/>
              </w:rPr>
              <w:t>Optical timing; canopy change; thresholding and classification; matching balance; registration sensitivity; analysis-table schema.</w:t>
            </w:r>
          </w:p>
        </w:tc>
        <w:tc>
          <w:tcPr>
            <w:tcW w:type="dxa" w:w="3560"/>
          </w:tcPr>
          <w:p>
            <w:pPr>
              <w:spacing w:before="0" w:after="0" w:line="240" w:lineRule="auto"/>
              <w:jc w:val="left"/>
            </w:pPr>
            <w:r/>
            <w:r>
              <w:rPr>
                <w:rFonts w:ascii="Calibri" w:hAnsi="Calibri"/>
                <w:b w:val="0"/>
                <w:color w:val="1A1A1A"/>
                <w:sz w:val="17"/>
              </w:rPr>
              <w:t>Shows how leakage, classification error, covariate imbalance, and missingness would be audited.</w:t>
            </w:r>
          </w:p>
        </w:tc>
      </w:tr>
      <w:tr>
        <w:tc>
          <w:tcPr>
            <w:tcW w:type="dxa" w:w="1900"/>
          </w:tcPr>
          <w:p>
            <w:pPr>
              <w:spacing w:before="0" w:after="0" w:line="240" w:lineRule="auto"/>
              <w:jc w:val="left"/>
            </w:pPr>
            <w:r/>
            <w:r>
              <w:rPr>
                <w:rFonts w:ascii="Calibri" w:hAnsi="Calibri"/>
                <w:b w:val="0"/>
                <w:color w:val="1A1A1A"/>
                <w:sz w:val="17"/>
              </w:rPr>
              <w:t>Steps 10–12: primary and interaction models</w:t>
            </w:r>
          </w:p>
        </w:tc>
        <w:tc>
          <w:tcPr>
            <w:tcW w:type="dxa" w:w="3900"/>
          </w:tcPr>
          <w:p>
            <w:pPr>
              <w:spacing w:before="0" w:after="0" w:line="240" w:lineRule="auto"/>
              <w:jc w:val="left"/>
            </w:pPr>
            <w:r/>
            <w:r>
              <w:rPr>
                <w:rFonts w:ascii="Calibri" w:hAnsi="Calibri"/>
                <w:b w:val="0"/>
                <w:color w:val="1A1A1A"/>
                <w:sz w:val="17"/>
              </w:rPr>
              <w:t>Time-of-day estimates; common support; city pooling; leave-one-city-out; demand × dryness surfaces; transition-model criteria.</w:t>
            </w:r>
          </w:p>
        </w:tc>
        <w:tc>
          <w:tcPr>
            <w:tcW w:type="dxa" w:w="3560"/>
          </w:tcPr>
          <w:p>
            <w:pPr>
              <w:spacing w:before="0" w:after="0" w:line="240" w:lineRule="auto"/>
              <w:jc w:val="left"/>
            </w:pPr>
            <w:r/>
            <w:r>
              <w:rPr>
                <w:rFonts w:ascii="Calibri" w:hAnsi="Calibri"/>
                <w:b w:val="0"/>
                <w:color w:val="1A1A1A"/>
                <w:sz w:val="17"/>
              </w:rPr>
              <w:t>Demonstrates the planned inferential presentation and masks unsupported regions.</w:t>
            </w:r>
          </w:p>
        </w:tc>
      </w:tr>
      <w:tr>
        <w:tc>
          <w:tcPr>
            <w:tcW w:type="dxa" w:w="1900"/>
          </w:tcPr>
          <w:p>
            <w:pPr>
              <w:spacing w:before="0" w:after="0" w:line="240" w:lineRule="auto"/>
              <w:jc w:val="left"/>
            </w:pPr>
            <w:r/>
            <w:r>
              <w:rPr>
                <w:rFonts w:ascii="Calibri" w:hAnsi="Calibri"/>
                <w:b w:val="0"/>
                <w:color w:val="1A1A1A"/>
                <w:sz w:val="17"/>
              </w:rPr>
              <w:t>Steps 13–14: robustness and reporting</w:t>
            </w:r>
          </w:p>
        </w:tc>
        <w:tc>
          <w:tcPr>
            <w:tcW w:type="dxa" w:w="3900"/>
          </w:tcPr>
          <w:p>
            <w:pPr>
              <w:spacing w:before="0" w:after="0" w:line="240" w:lineRule="auto"/>
              <w:jc w:val="left"/>
            </w:pPr>
            <w:r/>
            <w:r>
              <w:rPr>
                <w:rFonts w:ascii="Calibri" w:hAnsi="Calibri"/>
                <w:b w:val="0"/>
                <w:color w:val="1A1A1A"/>
                <w:sz w:val="17"/>
              </w:rPr>
              <w:t>Placebo/night tests; sensitivity tornado; uncertainty budget; six paper layouts; STOP memo; confirmatory NOT RUN protocol; package inventory.</w:t>
            </w:r>
          </w:p>
        </w:tc>
        <w:tc>
          <w:tcPr>
            <w:tcW w:type="dxa" w:w="3560"/>
          </w:tcPr>
          <w:p>
            <w:pPr>
              <w:spacing w:before="0" w:after="0" w:line="240" w:lineRule="auto"/>
              <w:jc w:val="left"/>
            </w:pPr>
            <w:r/>
            <w:r>
              <w:rPr>
                <w:rFonts w:ascii="Calibri" w:hAnsi="Calibri"/>
                <w:b w:val="0"/>
                <w:color w:val="1A1A1A"/>
                <w:sz w:val="17"/>
              </w:rPr>
              <w:t>Makes the final decision logic and reporting discipline reviewable before empirical outcome access.</w:t>
            </w:r>
          </w:p>
        </w:tc>
      </w:tr>
    </w:tbl>
    <w:p>
      <w:pPr>
        <w:spacing w:after="0"/>
      </w:pPr>
    </w:p>
    <w:p>
      <w:pPr>
        <w:pStyle w:val="Heading2"/>
        <w:keepNext/>
      </w:pPr>
      <w:r>
        <w:t>Package completeness and reproducibility</w:t>
      </w:r>
    </w:p>
    <w:p>
      <w:pPr>
        <w:pStyle w:val="ListBullet"/>
        <w:spacing w:after="160" w:line="280" w:lineRule="auto"/>
        <w:ind w:left="720" w:hanging="360"/>
      </w:pPr>
      <w:r>
        <w:rPr>
          <w:rFonts w:ascii="Calibri" w:hAnsi="Calibri"/>
          <w:color w:val="1A1A1A"/>
          <w:sz w:val="22"/>
        </w:rPr>
        <w:t>102/102 unique Step 2–14 guide IDs present.</w:t>
      </w:r>
    </w:p>
    <w:p>
      <w:pPr>
        <w:pStyle w:val="ListBullet"/>
        <w:spacing w:after="160" w:line="280" w:lineRule="auto"/>
        <w:ind w:left="720" w:hanging="360"/>
      </w:pPr>
      <w:r>
        <w:rPr>
          <w:rFonts w:ascii="Calibri" w:hAnsi="Calibri"/>
          <w:color w:val="1A1A1A"/>
          <w:sz w:val="22"/>
        </w:rPr>
        <w:t>120 non-manifest artifacts: 72 visibly labelled figures and 40 origin-labelled CSV tables, plus memos and package records.</w:t>
      </w:r>
    </w:p>
    <w:p>
      <w:pPr>
        <w:pStyle w:val="ListBullet"/>
        <w:spacing w:after="160" w:line="280" w:lineRule="auto"/>
        <w:ind w:left="720" w:hanging="360"/>
      </w:pPr>
      <w:r>
        <w:rPr>
          <w:rFonts w:ascii="Calibri" w:hAnsi="Calibri"/>
          <w:color w:val="1A1A1A"/>
          <w:sz w:val="22"/>
        </w:rPr>
        <w:t>All synthetic outputs use seed 20260805 and are package-indexed as gate-ineligible; tables are origin-labelled and marked canonical_eligible=false.</w:t>
      </w:r>
    </w:p>
    <w:p>
      <w:pPr>
        <w:pStyle w:val="ListBullet"/>
        <w:spacing w:after="160" w:line="280" w:lineRule="auto"/>
        <w:ind w:left="720" w:hanging="360"/>
      </w:pPr>
      <w:r>
        <w:rPr>
          <w:rFonts w:ascii="Calibri" w:hAnsi="Calibri"/>
          <w:color w:val="1A1A1A"/>
          <w:sz w:val="22"/>
        </w:rPr>
        <w:t>The authoritative manifest records SHA-256 hashes for every non-manifest artifact; source inventory contains 20 hashed code/governance entries.</w:t>
      </w:r>
    </w:p>
    <w:p>
      <w:pPr>
        <w:pStyle w:val="ListBullet"/>
        <w:spacing w:after="160" w:line="280" w:lineRule="auto"/>
        <w:ind w:left="720" w:hanging="360"/>
      </w:pPr>
      <w:r>
        <w:rPr>
          <w:rFonts w:ascii="Calibri" w:hAnsi="Calibri"/>
          <w:color w:val="1A1A1A"/>
          <w:sz w:val="22"/>
        </w:rPr>
        <w:t>Manifest SHA-256: 9027f655a9a611c2ee8c6e6e2c17f1a0c5078b670141e9d941496c44c50d7642.</w:t>
      </w:r>
    </w:p>
    <w:p>
      <w:pPr>
        <w:pStyle w:val="ListBullet"/>
        <w:spacing w:after="160" w:line="280" w:lineRule="auto"/>
        <w:ind w:left="720" w:hanging="360"/>
      </w:pPr>
      <w:r>
        <w:rPr>
          <w:rFonts w:ascii="Calibri" w:hAnsi="Calibri"/>
          <w:color w:val="1A1A1A"/>
          <w:sz w:val="22"/>
        </w:rPr>
        <w:t>Release archive SHA-256: e457fca0bd26af69115dead7730105ae0fabca518a1c9b7a2d4fa803775a64f2.</w:t>
      </w:r>
    </w:p>
    <w:p>
      <w:pPr>
        <w:pStyle w:val="Heading2"/>
        <w:keepNext/>
      </w:pPr>
      <w:r>
        <w:t>Illustrative numbers that must not be cited as findings</w:t>
      </w:r>
    </w:p>
    <w:p>
      <w:pPr>
        <w:keepLines w:val="0"/>
        <w:spacing w:after="120" w:line="264" w:lineRule="auto"/>
      </w:pPr>
      <w:r>
        <w:rPr>
          <w:rFonts w:ascii="Calibri" w:hAnsi="Calibri"/>
          <w:color w:val="1A1A1A"/>
          <w:sz w:val="22"/>
        </w:rPr>
        <w:t>For example, the synthetic endpoint table contains a fabricated equal-city late-minus-morning contrast of 0.7355 K (synthetic interval 0.6280–0.8430 K), and the synthetic robustness workflow contains a 0.057 K pavement placebo and −0.715 K night contrast. These values prove only that reporting and sensitivity code paths work. They are not estimates for Phoenix or any other real city.</w:t>
      </w:r>
    </w:p>
    <w:p>
      <w:pPr>
        <w:pageBreakBefore/>
        <w:spacing w:before="0" w:after="0"/>
      </w:pPr>
    </w:p>
    <w:p>
      <w:pPr>
        <w:spacing w:before="0" w:after="100"/>
      </w:pPr>
      <w:r>
        <w:rPr>
          <w:rFonts w:ascii="Calibri" w:hAnsi="Calibri"/>
          <w:b/>
          <w:smallCaps/>
          <w:color w:val="2E74B5"/>
          <w:sz w:val="18"/>
        </w:rPr>
        <w:t>ILLUSTRATIVE OUTPUT EXAMPLES</w:t>
      </w:r>
    </w:p>
    <w:p>
      <w:pPr>
        <w:pStyle w:val="Heading1"/>
        <w:keepNext/>
      </w:pPr>
      <w:r>
        <w:t>Planned study design and primary-result format</w:t>
      </w:r>
    </w:p>
    <w:p>
      <w:pPr>
        <w:keepLines/>
        <w:spacing w:before="60" w:after="80"/>
        <w:jc w:val="center"/>
      </w:pPr>
      <w:r>
        <w:drawing>
          <wp:inline xmlns:a="http://schemas.openxmlformats.org/drawingml/2006/main" xmlns:pic="http://schemas.openxmlformats.org/drawingml/2006/picture">
            <wp:extent cx="5806440" cy="2351625"/>
            <wp:docPr id="7" name="Picture 7"/>
            <wp:cNvGraphicFramePr>
              <a:graphicFrameLocks noChangeAspect="1"/>
            </wp:cNvGraphicFramePr>
            <a:graphic>
              <a:graphicData uri="http://schemas.openxmlformats.org/drawingml/2006/picture">
                <pic:pic>
                  <pic:nvPicPr>
                    <pic:cNvPr id="0" name="ILLUSTRATIVE_F14.1_PAPER_FIGURE_1_study_design.png"/>
                    <pic:cNvPicPr/>
                  </pic:nvPicPr>
                  <pic:blipFill>
                    <a:blip r:embed="rId17"/>
                    <a:stretch>
                      <a:fillRect/>
                    </a:stretch>
                  </pic:blipFill>
                  <pic:spPr>
                    <a:xfrm>
                      <a:off x="0" y="0"/>
                      <a:ext cx="5806440" cy="2351625"/>
                    </a:xfrm>
                    <a:prstGeom prst="rect"/>
                  </pic:spPr>
                </pic:pic>
              </a:graphicData>
            </a:graphic>
          </wp:inline>
        </w:drawing>
      </w:r>
    </w:p>
    <w:p>
      <w:pPr>
        <w:keepLines/>
        <w:spacing w:before="0" w:after="80"/>
      </w:pPr>
      <w:r>
        <w:rPr>
          <w:rFonts w:ascii="Calibri" w:hAnsi="Calibri"/>
          <w:b/>
          <w:color w:val="1F4D78"/>
          <w:sz w:val="18"/>
        </w:rPr>
        <w:t xml:space="preserve">Figure 6 (illustrative F14.1). </w:t>
      </w:r>
      <w:r>
        <w:rPr>
          <w:rFonts w:ascii="Calibri" w:hAnsi="Calibri"/>
          <w:color w:val="1A1A1A"/>
          <w:sz w:val="18"/>
        </w:rPr>
        <w:t>Synthetic roadmap of the intended multi-city matched comparison: generic domains, separation of tree and reference canopy fractions, and nominal local-time coverage.</w:t>
      </w:r>
    </w:p>
    <w:p>
      <w:pPr>
        <w:keepLines/>
        <w:spacing w:before="0" w:after="160"/>
      </w:pPr>
      <w:r>
        <w:rPr>
          <w:rFonts w:ascii="Calibri" w:hAnsi="Calibri"/>
          <w:i/>
          <w:color w:val="5B6573"/>
          <w:sz w:val="16"/>
        </w:rPr>
        <w:t>Evidence status: Fully synthetic conceptual illustration; no empirical evidentiary value. Source: figures/v2/illustrative_only/steps02_14/ILLUSTRATIVE_F14.1_PAPER_FIGURE_1_study_design.png</w:t>
      </w:r>
    </w:p>
    <w:p>
      <w:pPr>
        <w:keepLines/>
        <w:spacing w:before="60" w:after="80"/>
        <w:jc w:val="center"/>
      </w:pPr>
      <w:r>
        <w:drawing>
          <wp:inline xmlns:a="http://schemas.openxmlformats.org/drawingml/2006/main" xmlns:pic="http://schemas.openxmlformats.org/drawingml/2006/picture">
            <wp:extent cx="5806440" cy="2675915"/>
            <wp:docPr id="8" name="Picture 8"/>
            <wp:cNvGraphicFramePr>
              <a:graphicFrameLocks noChangeAspect="1"/>
            </wp:cNvGraphicFramePr>
            <a:graphic>
              <a:graphicData uri="http://schemas.openxmlformats.org/drawingml/2006/picture">
                <pic:pic>
                  <pic:nvPicPr>
                    <pic:cNvPr id="0" name="ILLUSTRATIVE_F14.2_PAPER_FIGURE_2_primary_result.png"/>
                    <pic:cNvPicPr/>
                  </pic:nvPicPr>
                  <pic:blipFill>
                    <a:blip r:embed="rId18"/>
                    <a:stretch>
                      <a:fillRect/>
                    </a:stretch>
                  </pic:blipFill>
                  <pic:spPr>
                    <a:xfrm>
                      <a:off x="0" y="0"/>
                      <a:ext cx="5806440" cy="2675915"/>
                    </a:xfrm>
                    <a:prstGeom prst="rect"/>
                  </pic:spPr>
                </pic:pic>
              </a:graphicData>
            </a:graphic>
          </wp:inline>
        </w:drawing>
      </w:r>
    </w:p>
    <w:p>
      <w:pPr>
        <w:keepLines/>
        <w:spacing w:before="0" w:after="80"/>
      </w:pPr>
      <w:r>
        <w:rPr>
          <w:rFonts w:ascii="Calibri" w:hAnsi="Calibri"/>
          <w:b/>
          <w:color w:val="1F4D78"/>
          <w:sz w:val="18"/>
        </w:rPr>
        <w:t xml:space="preserve">Figure 7 (illustrative F14.2). </w:t>
      </w:r>
      <w:r>
        <w:rPr>
          <w:rFonts w:ascii="Calibri" w:hAnsi="Calibri"/>
          <w:color w:val="1A1A1A"/>
          <w:sz w:val="18"/>
        </w:rPr>
        <w:t>Synthetic format for city-specific and pooled cooling contrasts across local-solar-time strata. The apparent later-day increase and every uncertainty interval are fabricated.</w:t>
      </w:r>
    </w:p>
    <w:p>
      <w:pPr>
        <w:keepLines/>
        <w:spacing w:before="0" w:after="160"/>
      </w:pPr>
      <w:r>
        <w:rPr>
          <w:rFonts w:ascii="Calibri" w:hAnsi="Calibri"/>
          <w:i/>
          <w:color w:val="5B6573"/>
          <w:sz w:val="16"/>
        </w:rPr>
        <w:t>Evidence status: Fully synthetic primary-result mock-up; no thermal data opened. Source: figures/v2/illustrative_only/steps02_14/ILLUSTRATIVE_F14.2_PAPER_FIGURE_2_primary_result.png</w:t>
      </w:r>
    </w:p>
    <w:p>
      <w:pPr>
        <w:pageBreakBefore/>
        <w:spacing w:before="0" w:after="0"/>
      </w:pPr>
    </w:p>
    <w:p>
      <w:pPr>
        <w:spacing w:before="0" w:after="100"/>
      </w:pPr>
      <w:r>
        <w:rPr>
          <w:rFonts w:ascii="Calibri" w:hAnsi="Calibri"/>
          <w:b/>
          <w:smallCaps/>
          <w:color w:val="2E74B5"/>
          <w:sz w:val="18"/>
        </w:rPr>
        <w:t>ILLUSTRATIVE OUTPUT EXAMPLES</w:t>
      </w:r>
    </w:p>
    <w:p>
      <w:pPr>
        <w:pStyle w:val="Heading1"/>
        <w:keepNext/>
      </w:pPr>
      <w:r>
        <w:t>Planned interaction and support display</w:t>
      </w:r>
    </w:p>
    <w:p>
      <w:pPr>
        <w:keepLines/>
        <w:spacing w:before="60" w:after="80"/>
        <w:jc w:val="center"/>
      </w:pPr>
      <w:r>
        <w:drawing>
          <wp:inline xmlns:a="http://schemas.openxmlformats.org/drawingml/2006/main" xmlns:pic="http://schemas.openxmlformats.org/drawingml/2006/picture">
            <wp:extent cx="4983480" cy="3916771"/>
            <wp:docPr id="9" name="Picture 9"/>
            <wp:cNvGraphicFramePr>
              <a:graphicFrameLocks noChangeAspect="1"/>
            </wp:cNvGraphicFramePr>
            <a:graphic>
              <a:graphicData uri="http://schemas.openxmlformats.org/drawingml/2006/picture">
                <pic:pic>
                  <pic:nvPicPr>
                    <pic:cNvPr id="0" name="ILLUSTRATIVE_F14.3_PAPER_FIGURE_3_hydroclimatic_surface.png"/>
                    <pic:cNvPicPr/>
                  </pic:nvPicPr>
                  <pic:blipFill>
                    <a:blip r:embed="rId19"/>
                    <a:stretch>
                      <a:fillRect/>
                    </a:stretch>
                  </pic:blipFill>
                  <pic:spPr>
                    <a:xfrm>
                      <a:off x="0" y="0"/>
                      <a:ext cx="4983480" cy="3916771"/>
                    </a:xfrm>
                    <a:prstGeom prst="rect"/>
                  </pic:spPr>
                </pic:pic>
              </a:graphicData>
            </a:graphic>
          </wp:inline>
        </w:drawing>
      </w:r>
    </w:p>
    <w:p>
      <w:pPr>
        <w:keepLines/>
        <w:spacing w:before="0" w:after="80"/>
      </w:pPr>
      <w:r>
        <w:rPr>
          <w:rFonts w:ascii="Calibri" w:hAnsi="Calibri"/>
          <w:b/>
          <w:color w:val="1F4D78"/>
          <w:sz w:val="18"/>
        </w:rPr>
        <w:t xml:space="preserve">Figure 8 (illustrative F14.3). </w:t>
      </w:r>
      <w:r>
        <w:rPr>
          <w:rFonts w:ascii="Calibri" w:hAnsi="Calibri"/>
          <w:color w:val="1A1A1A"/>
          <w:sz w:val="18"/>
        </w:rPr>
        <w:t>Synthetic crown-area-by-moisture-deficit response surfaces for four local-time strata. Grey cells demonstrate the rule that unsupported regions must be masked rather than interpreted.</w:t>
      </w:r>
    </w:p>
    <w:p>
      <w:pPr>
        <w:keepLines/>
        <w:spacing w:before="0" w:after="160"/>
      </w:pPr>
      <w:r>
        <w:rPr>
          <w:rFonts w:ascii="Calibri" w:hAnsi="Calibri"/>
          <w:i/>
          <w:color w:val="5B6573"/>
          <w:sz w:val="16"/>
        </w:rPr>
        <w:t>Evidence status: Fully synthetic interaction-surface mock-up. Source: figures/v2/illustrative_only/steps02_14/ILLUSTRATIVE_F14.3_PAPER_FIGURE_3_hydroclimatic_surface.png</w:t>
      </w:r>
    </w:p>
    <w:p>
      <w:pPr>
        <w:keepLines w:val="0"/>
        <w:spacing w:after="120" w:line="264" w:lineRule="auto"/>
      </w:pPr>
      <w:r>
        <w:rPr>
          <w:rFonts w:ascii="Calibri" w:hAnsi="Calibri"/>
          <w:color w:val="1A1A1A"/>
          <w:sz w:val="22"/>
        </w:rPr>
        <w:t>This display is useful because it shows the intended guardrail, not because of its colors: every real surface cell would require adequate independent-pass support before it could contribute to a threshold or interaction claim.</w:t>
      </w:r>
    </w:p>
    <w:p>
      <w:pPr>
        <w:pageBreakBefore/>
        <w:spacing w:before="0" w:after="0"/>
      </w:pPr>
    </w:p>
    <w:p>
      <w:pPr>
        <w:spacing w:before="0" w:after="100"/>
      </w:pPr>
      <w:r>
        <w:rPr>
          <w:rFonts w:ascii="Calibri" w:hAnsi="Calibri"/>
          <w:b/>
          <w:smallCaps/>
          <w:color w:val="2E74B5"/>
          <w:sz w:val="18"/>
        </w:rPr>
        <w:t>ILLUSTRATIVE OUTPUT EXAMPLES</w:t>
      </w:r>
    </w:p>
    <w:p>
      <w:pPr>
        <w:pStyle w:val="Heading1"/>
        <w:keepNext/>
      </w:pPr>
      <w:r>
        <w:t>Planned robustness dashboard</w:t>
      </w:r>
    </w:p>
    <w:p>
      <w:pPr>
        <w:keepLines/>
        <w:spacing w:before="60" w:after="80"/>
        <w:jc w:val="center"/>
      </w:pPr>
      <w:r>
        <w:drawing>
          <wp:inline xmlns:a="http://schemas.openxmlformats.org/drawingml/2006/main" xmlns:pic="http://schemas.openxmlformats.org/drawingml/2006/picture">
            <wp:extent cx="4983480" cy="3630471"/>
            <wp:docPr id="10" name="Picture 10"/>
            <wp:cNvGraphicFramePr>
              <a:graphicFrameLocks noChangeAspect="1"/>
            </wp:cNvGraphicFramePr>
            <a:graphic>
              <a:graphicData uri="http://schemas.openxmlformats.org/drawingml/2006/picture">
                <pic:pic>
                  <pic:nvPicPr>
                    <pic:cNvPr id="0" name="ILLUSTRATIVE_F14.6_PAPER_FIGURE_6_robustness.png"/>
                    <pic:cNvPicPr/>
                  </pic:nvPicPr>
                  <pic:blipFill>
                    <a:blip r:embed="rId20"/>
                    <a:stretch>
                      <a:fillRect/>
                    </a:stretch>
                  </pic:blipFill>
                  <pic:spPr>
                    <a:xfrm>
                      <a:off x="0" y="0"/>
                      <a:ext cx="4983480" cy="3630471"/>
                    </a:xfrm>
                    <a:prstGeom prst="rect"/>
                  </pic:spPr>
                </pic:pic>
              </a:graphicData>
            </a:graphic>
          </wp:inline>
        </w:drawing>
      </w:r>
    </w:p>
    <w:p>
      <w:pPr>
        <w:keepLines/>
        <w:spacing w:before="0" w:after="80"/>
      </w:pPr>
      <w:r>
        <w:rPr>
          <w:rFonts w:ascii="Calibri" w:hAnsi="Calibri"/>
          <w:b/>
          <w:color w:val="1F4D78"/>
          <w:sz w:val="18"/>
        </w:rPr>
        <w:t xml:space="preserve">Figure 9 (illustrative F14.6). </w:t>
      </w:r>
      <w:r>
        <w:rPr>
          <w:rFonts w:ascii="Calibri" w:hAnsi="Calibri"/>
          <w:color w:val="1A1A1A"/>
          <w:sz w:val="18"/>
        </w:rPr>
        <w:t>Synthetic robustness dashboard covering a placebo, day/night comparison, leave-one-city-out stability, and an uncertainty budget. Every point, interval, and contribution is fabricated.</w:t>
      </w:r>
    </w:p>
    <w:p>
      <w:pPr>
        <w:keepLines/>
        <w:spacing w:before="0" w:after="160"/>
      </w:pPr>
      <w:r>
        <w:rPr>
          <w:rFonts w:ascii="Calibri" w:hAnsi="Calibri"/>
          <w:i/>
          <w:color w:val="5B6573"/>
          <w:sz w:val="16"/>
        </w:rPr>
        <w:t>Evidence status: Fully synthetic robustness-summary mock-up. Source: figures/v2/illustrative_only/steps02_14/ILLUSTRATIVE_F14.6_PAPER_FIGURE_6_robustness.png</w:t>
      </w:r>
    </w:p>
    <w:p>
      <w:pPr>
        <w:keepLines w:val="0"/>
        <w:spacing w:after="120" w:line="264" w:lineRule="auto"/>
      </w:pPr>
      <w:r>
        <w:rPr>
          <w:rFonts w:ascii="Calibri" w:hAnsi="Calibri"/>
          <w:color w:val="1A1A1A"/>
          <w:sz w:val="22"/>
        </w:rPr>
        <w:t>The final empirical study would need all four classes of evidence to behave coherently: a near-zero placebo, an interpretable day/night pattern, city-robust estimates, and an effect that is honestly compared with the combined detection limit.</w:t>
      </w:r>
    </w:p>
    <w:p>
      <w:pPr>
        <w:pageBreakBefore/>
        <w:spacing w:before="0" w:after="0"/>
      </w:pPr>
    </w:p>
    <w:p>
      <w:pPr>
        <w:spacing w:before="0" w:after="100"/>
      </w:pPr>
      <w:r>
        <w:rPr>
          <w:rFonts w:ascii="Calibri" w:hAnsi="Calibri"/>
          <w:b/>
          <w:smallCaps/>
          <w:color w:val="2E74B5"/>
          <w:sz w:val="18"/>
        </w:rPr>
        <w:t>AUDITABILITY</w:t>
      </w:r>
    </w:p>
    <w:p>
      <w:pPr>
        <w:pStyle w:val="Heading1"/>
        <w:keepNext/>
      </w:pPr>
      <w:r>
        <w:t>7. Quality assurance and reproducibility record</w:t>
      </w:r>
    </w:p>
    <w:tbl>
      <w:tblPr>
        <w:tblStyle w:val="TableGrid"/>
        <w:tblW w:type="dxa" w:w="9360"/>
        <w:jc w:val="center"/>
        <w:tblLayout w:type="fixed"/>
        <w:tblLook w:firstColumn="1" w:firstRow="1" w:lastColumn="0" w:lastRow="0" w:noHBand="0" w:noVBand="1" w:val="04A0"/>
        <w:tblInd w:w="120" w:type="dxa"/>
      </w:tblPr>
      <w:tblGrid>
        <w:gridCol w:w="2400"/>
        <w:gridCol w:w="6960"/>
      </w:tblGrid>
      <w:tr>
        <w:trPr>
          <w:tblHeader w:val="true"/>
        </w:trPr>
        <w:tc>
          <w:tcPr>
            <w:tcW w:type="dxa" w:w="240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7"/>
              </w:rPr>
              <w:t>Area</w:t>
            </w:r>
          </w:p>
        </w:tc>
        <w:tc>
          <w:tcPr>
            <w:tcW w:type="dxa" w:w="696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7"/>
              </w:rPr>
              <w:t>Completed evidence</w:t>
            </w:r>
          </w:p>
        </w:tc>
      </w:tr>
      <w:tr>
        <w:tc>
          <w:tcPr>
            <w:tcW w:type="dxa" w:w="2400"/>
          </w:tcPr>
          <w:p>
            <w:pPr>
              <w:spacing w:before="0" w:after="0" w:line="240" w:lineRule="auto"/>
              <w:jc w:val="left"/>
            </w:pPr>
            <w:r/>
            <w:r>
              <w:rPr>
                <w:rFonts w:ascii="Calibri" w:hAnsi="Calibri"/>
                <w:b w:val="0"/>
                <w:color w:val="1A1A1A"/>
                <w:sz w:val="17"/>
              </w:rPr>
              <w:t>Requirements control</w:t>
            </w:r>
          </w:p>
        </w:tc>
        <w:tc>
          <w:tcPr>
            <w:tcW w:type="dxa" w:w="6960"/>
          </w:tcPr>
          <w:p>
            <w:pPr>
              <w:spacing w:before="0" w:after="0" w:line="240" w:lineRule="auto"/>
              <w:jc w:val="left"/>
            </w:pPr>
            <w:r/>
            <w:r>
              <w:rPr>
                <w:rFonts w:ascii="Calibri" w:hAnsi="Calibri"/>
                <w:b w:val="0"/>
                <w:color w:val="1A1A1A"/>
                <w:sz w:val="17"/>
              </w:rPr>
              <w:t>One normalized registry; scientific cautions retained; gates and open decisions explicit.</w:t>
            </w:r>
          </w:p>
        </w:tc>
      </w:tr>
      <w:tr>
        <w:tc>
          <w:tcPr>
            <w:tcW w:type="dxa" w:w="2400"/>
          </w:tcPr>
          <w:p>
            <w:pPr>
              <w:spacing w:before="0" w:after="0" w:line="240" w:lineRule="auto"/>
              <w:jc w:val="left"/>
            </w:pPr>
            <w:r/>
            <w:r>
              <w:rPr>
                <w:rFonts w:ascii="Calibri" w:hAnsi="Calibri"/>
                <w:b w:val="0"/>
                <w:color w:val="1A1A1A"/>
                <w:sz w:val="17"/>
              </w:rPr>
              <w:t>Decision provenance</w:t>
            </w:r>
          </w:p>
        </w:tc>
        <w:tc>
          <w:tcPr>
            <w:tcW w:type="dxa" w:w="6960"/>
          </w:tcPr>
          <w:p>
            <w:pPr>
              <w:spacing w:before="0" w:after="0" w:line="240" w:lineRule="auto"/>
              <w:jc w:val="left"/>
            </w:pPr>
            <w:r/>
            <w:r>
              <w:rPr>
                <w:rFonts w:ascii="Calibri" w:hAnsi="Calibri"/>
                <w:b w:val="0"/>
                <w:color w:val="1A1A1A"/>
                <w:sz w:val="17"/>
              </w:rPr>
              <w:t>Append-only decisions D0001–D0052 and runs R0001–R0013; superseded evidence retained rather than overwritten.</w:t>
            </w:r>
          </w:p>
        </w:tc>
      </w:tr>
      <w:tr>
        <w:tc>
          <w:tcPr>
            <w:tcW w:type="dxa" w:w="2400"/>
          </w:tcPr>
          <w:p>
            <w:pPr>
              <w:spacing w:before="0" w:after="0" w:line="240" w:lineRule="auto"/>
              <w:jc w:val="left"/>
            </w:pPr>
            <w:r/>
            <w:r>
              <w:rPr>
                <w:rFonts w:ascii="Calibri" w:hAnsi="Calibri"/>
                <w:b w:val="0"/>
                <w:color w:val="1A1A1A"/>
                <w:sz w:val="17"/>
              </w:rPr>
              <w:t>Domain provenance</w:t>
            </w:r>
          </w:p>
        </w:tc>
        <w:tc>
          <w:tcPr>
            <w:tcW w:type="dxa" w:w="6960"/>
          </w:tcPr>
          <w:p>
            <w:pPr>
              <w:spacing w:before="0" w:after="0" w:line="240" w:lineRule="auto"/>
              <w:jc w:val="left"/>
            </w:pPr>
            <w:r/>
            <w:r>
              <w:rPr>
                <w:rFonts w:ascii="Calibri" w:hAnsi="Calibri"/>
                <w:b w:val="0"/>
                <w:color w:val="1A1A1A"/>
                <w:sz w:val="17"/>
              </w:rPr>
              <w:t>Official Census Urban Area identifiers, geometry hashes, repaired analysis hashes, areas and tile intersections recorded.</w:t>
            </w:r>
          </w:p>
        </w:tc>
      </w:tr>
      <w:tr>
        <w:tc>
          <w:tcPr>
            <w:tcW w:type="dxa" w:w="2400"/>
          </w:tcPr>
          <w:p>
            <w:pPr>
              <w:spacing w:before="0" w:after="0" w:line="240" w:lineRule="auto"/>
              <w:jc w:val="left"/>
            </w:pPr>
            <w:r/>
            <w:r>
              <w:rPr>
                <w:rFonts w:ascii="Calibri" w:hAnsi="Calibri"/>
                <w:b w:val="0"/>
                <w:color w:val="1A1A1A"/>
                <w:sz w:val="17"/>
              </w:rPr>
              <w:t>Step 1 inference</w:t>
            </w:r>
          </w:p>
        </w:tc>
        <w:tc>
          <w:tcPr>
            <w:tcW w:type="dxa" w:w="6960"/>
          </w:tcPr>
          <w:p>
            <w:pPr>
              <w:spacing w:before="0" w:after="0" w:line="240" w:lineRule="auto"/>
              <w:jc w:val="left"/>
            </w:pPr>
            <w:r/>
            <w:r>
              <w:rPr>
                <w:rFonts w:ascii="Calibri" w:hAnsi="Calibri"/>
                <w:b w:val="0"/>
                <w:color w:val="1A1A1A"/>
                <w:sz w:val="17"/>
              </w:rPr>
              <w:t>Whole-summer bootstrap and permutation units; exact cell identities; unit and percentile checks; window sensitivity; figure review.</w:t>
            </w:r>
          </w:p>
        </w:tc>
      </w:tr>
      <w:tr>
        <w:tc>
          <w:tcPr>
            <w:tcW w:type="dxa" w:w="2400"/>
          </w:tcPr>
          <w:p>
            <w:pPr>
              <w:spacing w:before="0" w:after="0" w:line="240" w:lineRule="auto"/>
              <w:jc w:val="left"/>
            </w:pPr>
            <w:r/>
            <w:r>
              <w:rPr>
                <w:rFonts w:ascii="Calibri" w:hAnsi="Calibri"/>
                <w:b w:val="0"/>
                <w:color w:val="1A1A1A"/>
                <w:sz w:val="17"/>
              </w:rPr>
              <w:t>Satellite provenance</w:t>
            </w:r>
          </w:p>
        </w:tc>
        <w:tc>
          <w:tcPr>
            <w:tcW w:type="dxa" w:w="6960"/>
          </w:tcPr>
          <w:p>
            <w:pPr>
              <w:spacing w:before="0" w:after="0" w:line="240" w:lineRule="auto"/>
              <w:jc w:val="left"/>
            </w:pPr>
            <w:r/>
            <w:r>
              <w:rPr>
                <w:rFonts w:ascii="Calibri" w:hAnsi="Calibri"/>
                <w:b w:val="0"/>
                <w:color w:val="1A1A1A"/>
                <w:sz w:val="17"/>
              </w:rPr>
              <w:t>Exact scene identities, official endpoints, byte-range controls, checksums and durable checkpoints recorded without exposing credentials.</w:t>
            </w:r>
          </w:p>
        </w:tc>
      </w:tr>
      <w:tr>
        <w:tc>
          <w:tcPr>
            <w:tcW w:type="dxa" w:w="2400"/>
          </w:tcPr>
          <w:p>
            <w:pPr>
              <w:spacing w:before="0" w:after="0" w:line="240" w:lineRule="auto"/>
              <w:jc w:val="left"/>
            </w:pPr>
            <w:r/>
            <w:r>
              <w:rPr>
                <w:rFonts w:ascii="Calibri" w:hAnsi="Calibri"/>
                <w:b w:val="0"/>
                <w:color w:val="1A1A1A"/>
                <w:sz w:val="17"/>
              </w:rPr>
              <w:t>Failure discipline</w:t>
            </w:r>
          </w:p>
        </w:tc>
        <w:tc>
          <w:tcPr>
            <w:tcW w:type="dxa" w:w="6960"/>
          </w:tcPr>
          <w:p>
            <w:pPr>
              <w:spacing w:before="0" w:after="0" w:line="240" w:lineRule="auto"/>
              <w:jc w:val="left"/>
            </w:pPr>
            <w:r/>
            <w:r>
              <w:rPr>
                <w:rFonts w:ascii="Calibri" w:hAnsi="Calibri"/>
                <w:b w:val="0"/>
                <w:color w:val="1A1A1A"/>
                <w:sz w:val="17"/>
              </w:rPr>
              <w:t>Missing scenes failed closed; no imputation or adjacent-scene substitution; invalid cloud-conditioned geometry count was rejected.</w:t>
            </w:r>
          </w:p>
        </w:tc>
      </w:tr>
      <w:tr>
        <w:tc>
          <w:tcPr>
            <w:tcW w:type="dxa" w:w="2400"/>
          </w:tcPr>
          <w:p>
            <w:pPr>
              <w:spacing w:before="0" w:after="0" w:line="240" w:lineRule="auto"/>
              <w:jc w:val="left"/>
            </w:pPr>
            <w:r/>
            <w:r>
              <w:rPr>
                <w:rFonts w:ascii="Calibri" w:hAnsi="Calibri"/>
                <w:b w:val="0"/>
                <w:color w:val="1A1A1A"/>
                <w:sz w:val="17"/>
              </w:rPr>
              <w:t>Automated verification</w:t>
            </w:r>
          </w:p>
        </w:tc>
        <w:tc>
          <w:tcPr>
            <w:tcW w:type="dxa" w:w="6960"/>
          </w:tcPr>
          <w:p>
            <w:pPr>
              <w:spacing w:before="0" w:after="0" w:line="240" w:lineRule="auto"/>
              <w:jc w:val="left"/>
            </w:pPr>
            <w:r/>
            <w:r>
              <w:rPr>
                <w:rFonts w:ascii="Calibri" w:hAnsi="Calibri"/>
                <w:b w:val="0"/>
                <w:color w:val="1A1A1A"/>
                <w:sz w:val="17"/>
              </w:rPr>
              <w:t>R0013 passed 139/139 v2 tests and all 17 isolated legacy test programs.</w:t>
            </w:r>
          </w:p>
        </w:tc>
      </w:tr>
      <w:tr>
        <w:tc>
          <w:tcPr>
            <w:tcW w:type="dxa" w:w="2400"/>
          </w:tcPr>
          <w:p>
            <w:pPr>
              <w:spacing w:before="0" w:after="0" w:line="240" w:lineRule="auto"/>
              <w:jc w:val="left"/>
            </w:pPr>
            <w:r/>
            <w:r>
              <w:rPr>
                <w:rFonts w:ascii="Calibri" w:hAnsi="Calibri"/>
                <w:b w:val="0"/>
                <w:color w:val="1A1A1A"/>
                <w:sz w:val="17"/>
              </w:rPr>
              <w:t>Packaging</w:t>
            </w:r>
          </w:p>
        </w:tc>
        <w:tc>
          <w:tcPr>
            <w:tcW w:type="dxa" w:w="6960"/>
          </w:tcPr>
          <w:p>
            <w:pPr>
              <w:spacing w:before="0" w:after="0" w:line="240" w:lineRule="auto"/>
              <w:jc w:val="left"/>
            </w:pPr>
            <w:r/>
            <w:r>
              <w:rPr>
                <w:rFonts w:ascii="Calibri" w:hAnsi="Calibri"/>
                <w:b w:val="0"/>
                <w:color w:val="1A1A1A"/>
                <w:sz w:val="17"/>
              </w:rPr>
              <w:t>All illustrative artifacts hashed; 20-entry source inventory and rebuild instructions included.</w:t>
            </w:r>
          </w:p>
        </w:tc>
      </w:tr>
    </w:tbl>
    <w:p>
      <w:pPr>
        <w:spacing w:after="0"/>
      </w:pP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Borders>
              <w:top w:val="single" w:sz="12" w:color="B26A00"/>
              <w:left w:val="single" w:sz="12" w:color="B26A00"/>
              <w:bottom w:val="single" w:sz="12" w:color="B26A00"/>
              <w:right w:val="single" w:sz="12" w:color="B26A00"/>
            </w:tcBorders>
          </w:tcPr>
          <w:p>
            <w:pPr>
              <w:spacing w:after="60"/>
            </w:pPr>
            <w:r>
              <w:rPr>
                <w:rFonts w:ascii="Calibri" w:hAnsi="Calibri"/>
                <w:b/>
                <w:color w:val="B26A00"/>
                <w:sz w:val="23"/>
              </w:rPr>
              <w:t>What the testing record does—and does not—prove</w:t>
            </w:r>
          </w:p>
          <w:p>
            <w:pPr>
              <w:spacing w:after="0" w:line="264" w:lineRule="auto"/>
            </w:pPr>
            <w:r>
              <w:rPr>
                <w:rFonts w:ascii="Calibri" w:hAnsi="Calibri"/>
                <w:color w:val="1A1A1A"/>
                <w:sz w:val="21"/>
              </w:rPr>
              <w:t>The tests provide strong evidence that the implemented schemas, gates, deterministic calculations, and package bookkeeping behave as intended. They cannot substitute for the missing geometry/cloud census, empirical thermal data, real holdout selection, or 2026 confirmation.</w:t>
            </w:r>
          </w:p>
        </w:tc>
      </w:tr>
    </w:tbl>
    <w:p>
      <w:pPr>
        <w:spacing w:after="0"/>
      </w:pPr>
    </w:p>
    <w:p>
      <w:pPr>
        <w:pStyle w:val="Heading2"/>
        <w:keepNext/>
      </w:pPr>
      <w:r>
        <w:t>No-result safeguards preserved</w:t>
      </w:r>
    </w:p>
    <w:p>
      <w:pPr>
        <w:pStyle w:val="ListBullet"/>
        <w:spacing w:after="160" w:line="280" w:lineRule="auto"/>
        <w:ind w:left="720" w:hanging="360"/>
      </w:pPr>
      <w:r>
        <w:rPr>
          <w:rFonts w:ascii="Calibri" w:hAnsi="Calibri"/>
          <w:color w:val="1A1A1A"/>
          <w:sz w:val="22"/>
        </w:rPr>
        <w:t>No ECOSTRESS LST or thermal value was opened in Task 1 or the illustrative continuation.</w:t>
      </w:r>
    </w:p>
    <w:p>
      <w:pPr>
        <w:pStyle w:val="ListBullet"/>
        <w:spacing w:after="160" w:line="280" w:lineRule="auto"/>
        <w:ind w:left="720" w:hanging="360"/>
      </w:pPr>
      <w:r>
        <w:rPr>
          <w:rFonts w:ascii="Calibri" w:hAnsi="Calibri"/>
          <w:color w:val="1A1A1A"/>
          <w:sz w:val="22"/>
        </w:rPr>
        <w:t>The held-out city remains UNSELECTED; synthetic sim_city labels do not select a real city.</w:t>
      </w:r>
    </w:p>
    <w:p>
      <w:pPr>
        <w:pStyle w:val="ListBullet"/>
        <w:spacing w:after="160" w:line="280" w:lineRule="auto"/>
        <w:ind w:left="720" w:hanging="360"/>
      </w:pPr>
      <w:r>
        <w:rPr>
          <w:rFonts w:ascii="Calibri" w:hAnsi="Calibri"/>
          <w:color w:val="1A1A1A"/>
          <w:sz w:val="22"/>
        </w:rPr>
        <w:t>The full 2026 record remains unopened.</w:t>
      </w:r>
    </w:p>
    <w:p>
      <w:pPr>
        <w:pStyle w:val="ListBullet"/>
        <w:spacing w:after="160" w:line="280" w:lineRule="auto"/>
        <w:ind w:left="720" w:hanging="360"/>
      </w:pPr>
      <w:r>
        <w:rPr>
          <w:rFonts w:ascii="Calibri" w:hAnsi="Calibri"/>
          <w:color w:val="1A1A1A"/>
          <w:sz w:val="22"/>
        </w:rPr>
        <w:t>Task 2 remains inactive and the confirmatory report is explicitly NOT RUN.</w:t>
      </w:r>
    </w:p>
    <w:p>
      <w:pPr>
        <w:pStyle w:val="ListBullet"/>
        <w:spacing w:after="160" w:line="280" w:lineRule="auto"/>
        <w:ind w:left="720" w:hanging="360"/>
      </w:pPr>
      <w:r>
        <w:rPr>
          <w:rFonts w:ascii="Calibri" w:hAnsi="Calibri"/>
          <w:color w:val="1A1A1A"/>
          <w:sz w:val="22"/>
        </w:rPr>
        <w:t>No synthetic value is eligible for manuscript, causal, policy, or confirmatory interpretation.</w:t>
      </w:r>
    </w:p>
    <w:p>
      <w:pPr>
        <w:pageBreakBefore/>
        <w:spacing w:before="0" w:after="0"/>
      </w:pPr>
    </w:p>
    <w:p>
      <w:pPr>
        <w:spacing w:before="0" w:after="100"/>
      </w:pPr>
      <w:r>
        <w:rPr>
          <w:rFonts w:ascii="Calibri" w:hAnsi="Calibri"/>
          <w:b/>
          <w:smallCaps/>
          <w:color w:val="2E74B5"/>
          <w:sz w:val="18"/>
        </w:rPr>
        <w:t>SCIENTIFIC LIMITS</w:t>
      </w:r>
    </w:p>
    <w:p>
      <w:pPr>
        <w:pStyle w:val="Heading1"/>
        <w:keepNext/>
      </w:pPr>
      <w:r>
        <w:t>8. What can and cannot be concluded now</w:t>
      </w:r>
    </w:p>
    <w:tbl>
      <w:tblPr>
        <w:tblStyle w:val="TableGrid"/>
        <w:tblW w:type="dxa" w:w="9360"/>
        <w:jc w:val="center"/>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7"/>
              </w:rPr>
              <w:t>Supported conclusion</w:t>
            </w:r>
          </w:p>
        </w:tc>
        <w:tc>
          <w:tcPr>
            <w:tcW w:type="dxa" w:w="468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7"/>
              </w:rPr>
              <w:t>Unsupported conclusion</w:t>
            </w:r>
          </w:p>
        </w:tc>
      </w:tr>
      <w:tr>
        <w:tc>
          <w:tcPr>
            <w:tcW w:type="dxa" w:w="4680"/>
          </w:tcPr>
          <w:p>
            <w:pPr>
              <w:spacing w:before="0" w:after="0" w:line="240" w:lineRule="auto"/>
              <w:jc w:val="left"/>
            </w:pPr>
            <w:r/>
            <w:r>
              <w:rPr>
                <w:rFonts w:ascii="Calibri" w:hAnsi="Calibri"/>
                <w:b w:val="0"/>
                <w:color w:val="1A1A1A"/>
                <w:sz w:val="17"/>
              </w:rPr>
              <w:t>The five-city weather screen has uneven and often thin clear-sky off-diagonal support.</w:t>
            </w:r>
          </w:p>
        </w:tc>
        <w:tc>
          <w:tcPr>
            <w:tcW w:type="dxa" w:w="4680"/>
          </w:tcPr>
          <w:p>
            <w:pPr>
              <w:spacing w:before="0" w:after="0" w:line="240" w:lineRule="auto"/>
              <w:jc w:val="left"/>
            </w:pPr>
            <w:r/>
            <w:r>
              <w:rPr>
                <w:rFonts w:ascii="Calibri" w:hAnsi="Calibri"/>
                <w:b w:val="0"/>
                <w:color w:val="1A1A1A"/>
                <w:sz w:val="17"/>
              </w:rPr>
              <w:t>Trees have a measured cooling effect of any magnitude in the v2 study.</w:t>
            </w:r>
          </w:p>
        </w:tc>
      </w:tr>
      <w:tr>
        <w:tc>
          <w:tcPr>
            <w:tcW w:type="dxa" w:w="4680"/>
          </w:tcPr>
          <w:p>
            <w:pPr>
              <w:spacing w:before="0" w:after="0" w:line="240" w:lineRule="auto"/>
              <w:jc w:val="left"/>
            </w:pPr>
            <w:r/>
            <w:r>
              <w:rPr>
                <w:rFonts w:ascii="Calibri" w:hAnsi="Calibri"/>
                <w:b w:val="0"/>
                <w:color w:val="1A1A1A"/>
                <w:sz w:val="17"/>
              </w:rPr>
              <w:t>Only two cities pass the predeclared within-city weather-support screen.</w:t>
            </w:r>
          </w:p>
        </w:tc>
        <w:tc>
          <w:tcPr>
            <w:tcW w:type="dxa" w:w="4680"/>
          </w:tcPr>
          <w:p>
            <w:pPr>
              <w:spacing w:before="0" w:after="0" w:line="240" w:lineRule="auto"/>
              <w:jc w:val="left"/>
            </w:pPr>
            <w:r/>
            <w:r>
              <w:rPr>
                <w:rFonts w:ascii="Calibri" w:hAnsi="Calibri"/>
                <w:b w:val="0"/>
                <w:color w:val="1A1A1A"/>
                <w:sz w:val="17"/>
              </w:rPr>
              <w:t>Cooling increases later in the day; the plotted later-day increase is synthetic.</w:t>
            </w:r>
          </w:p>
        </w:tc>
      </w:tr>
      <w:tr>
        <w:tc>
          <w:tcPr>
            <w:tcW w:type="dxa" w:w="4680"/>
          </w:tcPr>
          <w:p>
            <w:pPr>
              <w:spacing w:before="0" w:after="0" w:line="240" w:lineRule="auto"/>
              <w:jc w:val="left"/>
            </w:pPr>
            <w:r/>
            <w:r>
              <w:rPr>
                <w:rFonts w:ascii="Calibri" w:hAnsi="Calibri"/>
                <w:b w:val="0"/>
                <w:color w:val="1A1A1A"/>
                <w:sz w:val="17"/>
              </w:rPr>
              <w:t>The catalogue supplies broad nominal time coverage, but usable-pass totals remain unknown.</w:t>
            </w:r>
          </w:p>
        </w:tc>
        <w:tc>
          <w:tcPr>
            <w:tcW w:type="dxa" w:w="4680"/>
          </w:tcPr>
          <w:p>
            <w:pPr>
              <w:spacing w:before="0" w:after="0" w:line="240" w:lineRule="auto"/>
              <w:jc w:val="left"/>
            </w:pPr>
            <w:r/>
            <w:r>
              <w:rPr>
                <w:rFonts w:ascii="Calibri" w:hAnsi="Calibri"/>
                <w:b w:val="0"/>
                <w:color w:val="1A1A1A"/>
                <w:sz w:val="17"/>
              </w:rPr>
              <w:t>The 1,055-pass catalogue ceiling is the effective empirical sample size.</w:t>
            </w:r>
          </w:p>
        </w:tc>
      </w:tr>
      <w:tr>
        <w:tc>
          <w:tcPr>
            <w:tcW w:type="dxa" w:w="4680"/>
          </w:tcPr>
          <w:p>
            <w:pPr>
              <w:spacing w:before="0" w:after="0" w:line="240" w:lineRule="auto"/>
              <w:jc w:val="left"/>
            </w:pPr>
            <w:r/>
            <w:r>
              <w:rPr>
                <w:rFonts w:ascii="Calibri" w:hAnsi="Calibri"/>
                <w:b w:val="0"/>
                <w:color w:val="1A1A1A"/>
                <w:sz w:val="17"/>
              </w:rPr>
              <w:t>The tiled view-angle screen was cloud-conditioned and correctly rejected.</w:t>
            </w:r>
          </w:p>
        </w:tc>
        <w:tc>
          <w:tcPr>
            <w:tcW w:type="dxa" w:w="4680"/>
          </w:tcPr>
          <w:p>
            <w:pPr>
              <w:spacing w:before="0" w:after="0" w:line="240" w:lineRule="auto"/>
              <w:jc w:val="left"/>
            </w:pPr>
            <w:r/>
            <w:r>
              <w:rPr>
                <w:rFonts w:ascii="Calibri" w:hAnsi="Calibri"/>
                <w:b w:val="0"/>
                <w:color w:val="1A1A1A"/>
                <w:sz w:val="17"/>
              </w:rPr>
              <w:t>The provisional 106-pass floor is a valid or conservative usable-pass count.</w:t>
            </w:r>
          </w:p>
        </w:tc>
      </w:tr>
      <w:tr>
        <w:tc>
          <w:tcPr>
            <w:tcW w:type="dxa" w:w="4680"/>
          </w:tcPr>
          <w:p>
            <w:pPr>
              <w:spacing w:before="0" w:after="0" w:line="240" w:lineRule="auto"/>
              <w:jc w:val="left"/>
            </w:pPr>
            <w:r/>
            <w:r>
              <w:rPr>
                <w:rFonts w:ascii="Calibri" w:hAnsi="Calibri"/>
                <w:b w:val="0"/>
                <w:color w:val="1A1A1A"/>
                <w:sz w:val="17"/>
              </w:rPr>
              <w:t>Exact GEO archive gaps are real at the tested endpoints and not caused by token expiry.</w:t>
            </w:r>
          </w:p>
        </w:tc>
        <w:tc>
          <w:tcPr>
            <w:tcW w:type="dxa" w:w="4680"/>
          </w:tcPr>
          <w:p>
            <w:pPr>
              <w:spacing w:before="0" w:after="0" w:line="240" w:lineRule="auto"/>
              <w:jc w:val="left"/>
            </w:pPr>
            <w:r/>
            <w:r>
              <w:rPr>
                <w:rFonts w:ascii="Calibri" w:hAnsi="Calibri"/>
                <w:b w:val="0"/>
                <w:color w:val="1A1A1A"/>
                <w:sz w:val="17"/>
              </w:rPr>
              <w:t>The 41 objects never existed or will never be restored.</w:t>
            </w:r>
          </w:p>
        </w:tc>
      </w:tr>
      <w:tr>
        <w:tc>
          <w:tcPr>
            <w:tcW w:type="dxa" w:w="4680"/>
          </w:tcPr>
          <w:p>
            <w:pPr>
              <w:spacing w:before="0" w:after="0" w:line="240" w:lineRule="auto"/>
              <w:jc w:val="left"/>
            </w:pPr>
            <w:r/>
            <w:r>
              <w:rPr>
                <w:rFonts w:ascii="Calibri" w:hAnsi="Calibri"/>
                <w:b w:val="0"/>
                <w:color w:val="1A1A1A"/>
                <w:sz w:val="17"/>
              </w:rPr>
              <w:t>The downstream package demonstrates a coherent analysis and reporting workflow.</w:t>
            </w:r>
          </w:p>
        </w:tc>
        <w:tc>
          <w:tcPr>
            <w:tcW w:type="dxa" w:w="4680"/>
          </w:tcPr>
          <w:p>
            <w:pPr>
              <w:spacing w:before="0" w:after="0" w:line="240" w:lineRule="auto"/>
              <w:jc w:val="left"/>
            </w:pPr>
            <w:r/>
            <w:r>
              <w:rPr>
                <w:rFonts w:ascii="Calibri" w:hAnsi="Calibri"/>
                <w:b w:val="0"/>
                <w:color w:val="1A1A1A"/>
                <w:sz w:val="17"/>
              </w:rPr>
              <w:t>Placebo, night, interaction, radiative, sensitivity or holdout checks passed empirically.</w:t>
            </w:r>
          </w:p>
        </w:tc>
      </w:tr>
    </w:tbl>
    <w:p>
      <w:pPr>
        <w:spacing w:after="0"/>
      </w:pP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2F8"/>
            <w:tcBorders>
              <w:top w:val="single" w:sz="12" w:color="2E74B5"/>
              <w:left w:val="single" w:sz="12" w:color="2E74B5"/>
              <w:bottom w:val="single" w:sz="12" w:color="2E74B5"/>
              <w:right w:val="single" w:sz="12" w:color="2E74B5"/>
            </w:tcBorders>
          </w:tcPr>
          <w:p>
            <w:pPr>
              <w:spacing w:after="60"/>
            </w:pPr>
            <w:r>
              <w:rPr>
                <w:rFonts w:ascii="Calibri" w:hAnsi="Calibri"/>
                <w:b/>
                <w:color w:val="1F4D78"/>
                <w:sz w:val="23"/>
              </w:rPr>
              <w:t>Current scientific recommendation</w:t>
            </w:r>
          </w:p>
          <w:p>
            <w:pPr>
              <w:spacing w:after="0" w:line="264" w:lineRule="auto"/>
            </w:pPr>
            <w:r>
              <w:rPr>
                <w:rFonts w:ascii="Calibri" w:hAnsi="Calibri"/>
                <w:color w:val="1A1A1A"/>
                <w:sz w:val="21"/>
              </w:rPr>
              <w:t>The feasibility chain is finished and both frozen gates returned STOP, so the decision now belongs to the supervisor rather than to further computation. Three defensible options exist: write up the sampling-and-identifiability result as the contribution; redesign for an endpoint that clear-sky ECOSTRESS can actually identify; or authorise a strictly descriptive thermal look, recorded in advance, accepting that it ends the blind-method claim. Continuing the original design unchanged is not among them.</w:t>
            </w:r>
          </w:p>
        </w:tc>
      </w:tr>
    </w:tbl>
    <w:p>
      <w:pPr>
        <w:spacing w:after="0"/>
      </w:pPr>
    </w:p>
    <w:p>
      <w:pPr>
        <w:pageBreakBefore/>
        <w:spacing w:before="0" w:after="0"/>
      </w:pPr>
    </w:p>
    <w:p>
      <w:pPr>
        <w:spacing w:before="0" w:after="100"/>
      </w:pPr>
      <w:r>
        <w:rPr>
          <w:rFonts w:ascii="Calibri" w:hAnsi="Calibri"/>
          <w:b/>
          <w:smallCaps/>
          <w:color w:val="2E74B5"/>
          <w:sz w:val="18"/>
        </w:rPr>
        <w:t>PATH TO A CANONICAL RESULT</w:t>
      </w:r>
    </w:p>
    <w:p>
      <w:pPr>
        <w:pStyle w:val="Heading1"/>
        <w:keepNext/>
      </w:pPr>
      <w:r>
        <w:t>9. Required next work</w:t>
      </w:r>
    </w:p>
    <w:p>
      <w:pPr>
        <w:keepLines w:val="0"/>
        <w:spacing w:after="120" w:line="264" w:lineRule="auto"/>
      </w:pPr>
      <w:r>
        <w:rPr>
          <w:rFonts w:ascii="Calibri" w:hAnsi="Calibri"/>
          <w:color w:val="1A1A1A"/>
          <w:sz w:val="22"/>
        </w:rPr>
        <w:t>Every computational item from the previous version of this report is now complete: geometry finished 911/911, cloud screening covered all 219 near-nadir passes, exact-acquisition HRRR completed 413/413 hours, and both definitive gates were issued. The remaining work is a supervisory decision, not further processing.</w:t>
      </w:r>
    </w:p>
    <w:p>
      <w:pPr>
        <w:numPr>
          <w:ilvl w:val="0"/>
          <w:numId w:val="11"/>
        </w:numPr>
        <w:spacing w:after="160" w:line="280" w:lineRule="auto"/>
        <w:ind w:left="720" w:hanging="360"/>
      </w:pPr>
      <w:r>
        <w:rPr>
          <w:rFonts w:ascii="Calibri" w:hAnsi="Calibri"/>
          <w:color w:val="1A1A1A"/>
          <w:sz w:val="22"/>
        </w:rPr>
        <w:t>Decide the study's direction. The feasibility chain cannot be advanced by more computation under the present design, so the next move is a scientific choice about scope and endpoint.</w:t>
      </w:r>
    </w:p>
    <w:p>
      <w:pPr>
        <w:numPr>
          <w:ilvl w:val="0"/>
          <w:numId w:val="11"/>
        </w:numPr>
        <w:spacing w:after="160" w:line="280" w:lineRule="auto"/>
        <w:ind w:left="720" w:hanging="360"/>
      </w:pPr>
      <w:r>
        <w:rPr>
          <w:rFonts w:ascii="Calibri" w:hAnsi="Calibri"/>
          <w:color w:val="1A1A1A"/>
          <w:sz w:val="22"/>
        </w:rPr>
        <w:t>If writing up the feasibility result: draft the sampling-and-identifiability paper around F1.2/F1.3, the condition-support grid, and the Step-3 power and concurvity diagnostics. This requires no further data access.</w:t>
      </w:r>
    </w:p>
    <w:p>
      <w:pPr>
        <w:numPr>
          <w:ilvl w:val="0"/>
          <w:numId w:val="11"/>
        </w:numPr>
        <w:spacing w:after="160" w:line="280" w:lineRule="auto"/>
        <w:ind w:left="720" w:hanging="360"/>
      </w:pPr>
      <w:r>
        <w:rPr>
          <w:rFonts w:ascii="Calibri" w:hAnsi="Calibri"/>
          <w:color w:val="1A1A1A"/>
          <w:sz w:val="22"/>
        </w:rPr>
        <w:t>If redesigning: identify an endpoint whose contrast is not collinear with solar geometry, or an observation source that breaks the time-of-day/zenith confound. Record the new design before any thermal value is opened.</w:t>
      </w:r>
    </w:p>
    <w:p>
      <w:pPr>
        <w:numPr>
          <w:ilvl w:val="0"/>
          <w:numId w:val="11"/>
        </w:numPr>
        <w:spacing w:after="160" w:line="280" w:lineRule="auto"/>
        <w:ind w:left="720" w:hanging="360"/>
      </w:pPr>
      <w:r>
        <w:rPr>
          <w:rFonts w:ascii="Calibri" w:hAnsi="Calibri"/>
          <w:color w:val="1A1A1A"/>
          <w:sz w:val="22"/>
        </w:rPr>
        <w:t>If a descriptive thermal look is wanted: freeze a pre-outcome decision stating that it is descriptive only and not a confirmatory result, then open LST for the 219 retained passes. This permanently ends the blind-method claim, including for the held-out city.</w:t>
      </w:r>
    </w:p>
    <w:p>
      <w:pPr>
        <w:numPr>
          <w:ilvl w:val="0"/>
          <w:numId w:val="11"/>
        </w:numPr>
        <w:spacing w:after="160" w:line="280" w:lineRule="auto"/>
        <w:ind w:left="720" w:hanging="360"/>
      </w:pPr>
      <w:r>
        <w:rPr>
          <w:rFonts w:ascii="Calibri" w:hAnsi="Calibri"/>
          <w:color w:val="1A1A1A"/>
          <w:sz w:val="22"/>
        </w:rPr>
        <w:t>Keep the holdout unselected and 2026 sealed until whichever path is chosen has an approved, written design.</w:t>
      </w:r>
    </w:p>
    <w:p>
      <w:pPr>
        <w:numPr>
          <w:ilvl w:val="0"/>
          <w:numId w:val="11"/>
        </w:numPr>
        <w:spacing w:after="160" w:line="280" w:lineRule="auto"/>
        <w:ind w:left="720" w:hanging="360"/>
      </w:pPr>
      <w:r>
        <w:rPr>
          <w:rFonts w:ascii="Calibri" w:hAnsi="Calibri"/>
          <w:color w:val="1A1A1A"/>
          <w:sz w:val="22"/>
        </w:rPr>
        <w:t>If LP DAAC restores the 41 objects, rerun the original 942-candidate exhaustive census as a separately versioned sensitivity analysis.</w:t>
      </w:r>
    </w:p>
    <w:p>
      <w:pPr>
        <w:pStyle w:val="Heading2"/>
        <w:keepNext/>
      </w:pPr>
      <w:r>
        <w:t>What each path costs and yields</w:t>
      </w:r>
    </w:p>
    <w:tbl>
      <w:tblPr>
        <w:tblStyle w:val="TableGrid"/>
        <w:tblW w:type="dxa" w:w="9360"/>
        <w:jc w:val="center"/>
        <w:tblLayout w:type="fixed"/>
        <w:tblLook w:firstColumn="1" w:firstRow="1" w:lastColumn="0" w:lastRow="0" w:noHBand="0" w:noVBand="1" w:val="04A0"/>
        <w:tblInd w:w="120" w:type="dxa"/>
      </w:tblPr>
      <w:tblGrid>
        <w:gridCol w:w="1700"/>
        <w:gridCol w:w="2900"/>
        <w:gridCol w:w="4760"/>
      </w:tblGrid>
      <w:tr>
        <w:trPr>
          <w:tblHeader w:val="true"/>
        </w:trPr>
        <w:tc>
          <w:tcPr>
            <w:tcW w:type="dxa" w:w="170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7"/>
              </w:rPr>
              <w:t>Path</w:t>
            </w:r>
          </w:p>
        </w:tc>
        <w:tc>
          <w:tcPr>
            <w:tcW w:type="dxa" w:w="290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7"/>
              </w:rPr>
              <w:t>Cost</w:t>
            </w:r>
          </w:p>
        </w:tc>
        <w:tc>
          <w:tcPr>
            <w:tcW w:type="dxa" w:w="476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7"/>
              </w:rPr>
              <w:t>What it yields</w:t>
            </w:r>
          </w:p>
        </w:tc>
      </w:tr>
      <w:tr>
        <w:tc>
          <w:tcPr>
            <w:tcW w:type="dxa" w:w="1700"/>
          </w:tcPr>
          <w:p>
            <w:pPr>
              <w:spacing w:before="0" w:after="0" w:line="240" w:lineRule="auto"/>
              <w:jc w:val="left"/>
            </w:pPr>
            <w:r/>
            <w:r>
              <w:rPr>
                <w:rFonts w:ascii="Calibri" w:hAnsi="Calibri"/>
                <w:b w:val="0"/>
                <w:color w:val="1A1A1A"/>
                <w:sz w:val="17"/>
              </w:rPr>
              <w:t>Write up feasibility</w:t>
            </w:r>
          </w:p>
        </w:tc>
        <w:tc>
          <w:tcPr>
            <w:tcW w:type="dxa" w:w="2900"/>
          </w:tcPr>
          <w:p>
            <w:pPr>
              <w:spacing w:before="0" w:after="0" w:line="240" w:lineRule="auto"/>
              <w:jc w:val="left"/>
            </w:pPr>
            <w:r/>
            <w:r>
              <w:rPr>
                <w:rFonts w:ascii="Calibri" w:hAnsi="Calibri"/>
                <w:b w:val="0"/>
                <w:color w:val="1A1A1A"/>
                <w:sz w:val="17"/>
              </w:rPr>
              <w:t>No new data; writing time only.</w:t>
            </w:r>
          </w:p>
        </w:tc>
        <w:tc>
          <w:tcPr>
            <w:tcW w:type="dxa" w:w="4760"/>
          </w:tcPr>
          <w:p>
            <w:pPr>
              <w:spacing w:before="0" w:after="0" w:line="240" w:lineRule="auto"/>
              <w:jc w:val="left"/>
            </w:pPr>
            <w:r/>
            <w:r>
              <w:rPr>
                <w:rFonts w:ascii="Calibri" w:hAnsi="Calibri"/>
                <w:b w:val="0"/>
                <w:color w:val="1A1A1A"/>
                <w:sz w:val="17"/>
              </w:rPr>
              <w:t>A defensible methods contribution: quantified clear-sky sampling bias and a solar-geometry identifiability limit for ECOSTRESS time-of-day studies.</w:t>
            </w:r>
          </w:p>
        </w:tc>
      </w:tr>
      <w:tr>
        <w:tc>
          <w:tcPr>
            <w:tcW w:type="dxa" w:w="1700"/>
          </w:tcPr>
          <w:p>
            <w:pPr>
              <w:spacing w:before="0" w:after="0" w:line="240" w:lineRule="auto"/>
              <w:jc w:val="left"/>
            </w:pPr>
            <w:r/>
            <w:r>
              <w:rPr>
                <w:rFonts w:ascii="Calibri" w:hAnsi="Calibri"/>
                <w:b w:val="0"/>
                <w:color w:val="1A1A1A"/>
                <w:sz w:val="17"/>
              </w:rPr>
              <w:t>Redesign the endpoint</w:t>
            </w:r>
          </w:p>
        </w:tc>
        <w:tc>
          <w:tcPr>
            <w:tcW w:type="dxa" w:w="2900"/>
          </w:tcPr>
          <w:p>
            <w:pPr>
              <w:spacing w:before="0" w:after="0" w:line="240" w:lineRule="auto"/>
              <w:jc w:val="left"/>
            </w:pPr>
            <w:r/>
            <w:r>
              <w:rPr>
                <w:rFonts w:ascii="Calibri" w:hAnsi="Calibri"/>
                <w:b w:val="0"/>
                <w:color w:val="1A1A1A"/>
                <w:sz w:val="17"/>
              </w:rPr>
              <w:t>New design work and a further feasibility pass.</w:t>
            </w:r>
          </w:p>
        </w:tc>
        <w:tc>
          <w:tcPr>
            <w:tcW w:type="dxa" w:w="4760"/>
          </w:tcPr>
          <w:p>
            <w:pPr>
              <w:spacing w:before="0" w:after="0" w:line="240" w:lineRule="auto"/>
              <w:jc w:val="left"/>
            </w:pPr>
            <w:r/>
            <w:r>
              <w:rPr>
                <w:rFonts w:ascii="Calibri" w:hAnsi="Calibri"/>
                <w:b w:val="0"/>
                <w:color w:val="1A1A1A"/>
                <w:sz w:val="17"/>
              </w:rPr>
              <w:t>A route back to a cooling estimate, if an identifiable contrast exists.</w:t>
            </w:r>
          </w:p>
        </w:tc>
      </w:tr>
      <w:tr>
        <w:tc>
          <w:tcPr>
            <w:tcW w:type="dxa" w:w="1700"/>
          </w:tcPr>
          <w:p>
            <w:pPr>
              <w:spacing w:before="0" w:after="0" w:line="240" w:lineRule="auto"/>
              <w:jc w:val="left"/>
            </w:pPr>
            <w:r/>
            <w:r>
              <w:rPr>
                <w:rFonts w:ascii="Calibri" w:hAnsi="Calibri"/>
                <w:b w:val="0"/>
                <w:color w:val="1A1A1A"/>
                <w:sz w:val="17"/>
              </w:rPr>
              <w:t>Descriptive thermal look</w:t>
            </w:r>
          </w:p>
        </w:tc>
        <w:tc>
          <w:tcPr>
            <w:tcW w:type="dxa" w:w="2900"/>
          </w:tcPr>
          <w:p>
            <w:pPr>
              <w:spacing w:before="0" w:after="0" w:line="240" w:lineRule="auto"/>
              <w:jc w:val="left"/>
            </w:pPr>
            <w:r/>
            <w:r>
              <w:rPr>
                <w:rFonts w:ascii="Calibri" w:hAnsi="Calibri"/>
                <w:b w:val="0"/>
                <w:color w:val="1A1A1A"/>
                <w:sz w:val="17"/>
              </w:rPr>
              <w:t>Ends blind-method status permanently.</w:t>
            </w:r>
          </w:p>
        </w:tc>
        <w:tc>
          <w:tcPr>
            <w:tcW w:type="dxa" w:w="4760"/>
          </w:tcPr>
          <w:p>
            <w:pPr>
              <w:spacing w:before="0" w:after="0" w:line="240" w:lineRule="auto"/>
              <w:jc w:val="left"/>
            </w:pPr>
            <w:r/>
            <w:r>
              <w:rPr>
                <w:rFonts w:ascii="Calibri" w:hAnsi="Calibri"/>
                <w:b w:val="0"/>
                <w:color w:val="1A1A1A"/>
                <w:sz w:val="17"/>
              </w:rPr>
              <w:t>Exploratory figures only; no confirmatory claim, and the holdout can no longer serve as one.</w:t>
            </w:r>
          </w:p>
        </w:tc>
      </w:tr>
      <w:tr>
        <w:tc>
          <w:tcPr>
            <w:tcW w:type="dxa" w:w="1700"/>
          </w:tcPr>
          <w:p>
            <w:pPr>
              <w:spacing w:before="0" w:after="0" w:line="240" w:lineRule="auto"/>
              <w:jc w:val="left"/>
            </w:pPr>
            <w:r/>
            <w:r>
              <w:rPr>
                <w:rFonts w:ascii="Calibri" w:hAnsi="Calibri"/>
                <w:b w:val="0"/>
                <w:color w:val="1A1A1A"/>
                <w:sz w:val="17"/>
              </w:rPr>
              <w:t>Continue unchanged</w:t>
            </w:r>
          </w:p>
        </w:tc>
        <w:tc>
          <w:tcPr>
            <w:tcW w:type="dxa" w:w="2900"/>
          </w:tcPr>
          <w:p>
            <w:pPr>
              <w:spacing w:before="0" w:after="0" w:line="240" w:lineRule="auto"/>
              <w:jc w:val="left"/>
            </w:pPr>
            <w:r/>
            <w:r>
              <w:rPr>
                <w:rFonts w:ascii="Calibri" w:hAnsi="Calibri"/>
                <w:b w:val="0"/>
                <w:color w:val="1A1A1A"/>
                <w:sz w:val="17"/>
              </w:rPr>
              <w:t>Not available.</w:t>
            </w:r>
          </w:p>
        </w:tc>
        <w:tc>
          <w:tcPr>
            <w:tcW w:type="dxa" w:w="4760"/>
          </w:tcPr>
          <w:p>
            <w:pPr>
              <w:spacing w:before="0" w:after="0" w:line="240" w:lineRule="auto"/>
              <w:jc w:val="left"/>
            </w:pPr>
            <w:r/>
            <w:r>
              <w:rPr>
                <w:rFonts w:ascii="Calibri" w:hAnsi="Calibri"/>
                <w:b w:val="0"/>
                <w:color w:val="1A1A1A"/>
                <w:sz w:val="17"/>
              </w:rPr>
              <w:t>Barred by D0058; would produce estimates that cannot survive review.</w:t>
            </w:r>
          </w:p>
        </w:tc>
      </w:tr>
    </w:tbl>
    <w:p>
      <w:pPr>
        <w:spacing w:after="0"/>
      </w:pPr>
    </w:p>
    <w:p>
      <w:pPr>
        <w:pageBreakBefore/>
        <w:spacing w:before="0" w:after="0"/>
      </w:pPr>
    </w:p>
    <w:p>
      <w:pPr>
        <w:spacing w:before="0" w:after="100"/>
      </w:pPr>
      <w:r>
        <w:rPr>
          <w:rFonts w:ascii="Calibri" w:hAnsi="Calibri"/>
          <w:b/>
          <w:smallCaps/>
          <w:color w:val="2E74B5"/>
          <w:sz w:val="18"/>
        </w:rPr>
        <w:t>PROFESSOR REVIEW INDEX</w:t>
      </w:r>
    </w:p>
    <w:p>
      <w:pPr>
        <w:pStyle w:val="Heading1"/>
        <w:keepNext/>
      </w:pPr>
      <w:r>
        <w:t>10. Most important files and deliverables</w:t>
      </w:r>
    </w:p>
    <w:p>
      <w:pPr>
        <w:keepLines w:val="0"/>
        <w:spacing w:after="120" w:line="264" w:lineRule="auto"/>
      </w:pPr>
      <w:r>
        <w:rPr>
          <w:rFonts w:ascii="Calibri" w:hAnsi="Calibri"/>
          <w:color w:val="1A1A1A"/>
          <w:sz w:val="22"/>
        </w:rPr>
        <w:t>The following files are the smallest review set that reconstructs the current scientific state. Paths are relative to the project root unless shown otherwise.</w:t>
      </w:r>
    </w:p>
    <w:tbl>
      <w:tblPr>
        <w:tblStyle w:val="TableGrid"/>
        <w:tblW w:type="dxa" w:w="9360"/>
        <w:jc w:val="center"/>
        <w:tblLayout w:type="fixed"/>
        <w:tblLook w:firstColumn="1" w:firstRow="1" w:lastColumn="0" w:lastRow="0" w:noHBand="0" w:noVBand="1" w:val="04A0"/>
        <w:tblInd w:w="120" w:type="dxa"/>
      </w:tblPr>
      <w:tblGrid>
        <w:gridCol w:w="2800"/>
        <w:gridCol w:w="6560"/>
      </w:tblGrid>
      <w:tr>
        <w:trPr>
          <w:tblHeader w:val="true"/>
        </w:trPr>
        <w:tc>
          <w:tcPr>
            <w:tcW w:type="dxa" w:w="280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6"/>
              </w:rPr>
              <w:t>Review purpose</w:t>
            </w:r>
          </w:p>
        </w:tc>
        <w:tc>
          <w:tcPr>
            <w:tcW w:type="dxa" w:w="656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6"/>
              </w:rPr>
              <w:t>Primary file</w:t>
            </w:r>
          </w:p>
        </w:tc>
      </w:tr>
      <w:tr>
        <w:tc>
          <w:tcPr>
            <w:tcW w:type="dxa" w:w="2800"/>
          </w:tcPr>
          <w:p>
            <w:pPr>
              <w:spacing w:before="0" w:after="0" w:line="240" w:lineRule="auto"/>
              <w:jc w:val="left"/>
            </w:pPr>
            <w:r/>
            <w:r>
              <w:rPr>
                <w:rFonts w:ascii="Calibri" w:hAnsi="Calibri"/>
                <w:b w:val="0"/>
                <w:color w:val="1A1A1A"/>
                <w:sz w:val="16"/>
              </w:rPr>
              <w:t>Controlling scientific requirements</w:t>
            </w:r>
          </w:p>
        </w:tc>
        <w:tc>
          <w:tcPr>
            <w:tcW w:type="dxa" w:w="6560"/>
          </w:tcPr>
          <w:p>
            <w:pPr>
              <w:spacing w:before="0" w:after="0" w:line="240" w:lineRule="auto"/>
              <w:jc w:val="left"/>
            </w:pPr>
            <w:r/>
            <w:r>
              <w:rPr>
                <w:rFonts w:ascii="Calibri" w:hAnsi="Calibri"/>
                <w:b w:val="0"/>
                <w:color w:val="1A1A1A"/>
                <w:sz w:val="16"/>
              </w:rPr>
              <w:t>docs/v2/REQUIREMENTS.md</w:t>
            </w:r>
          </w:p>
        </w:tc>
      </w:tr>
      <w:tr>
        <w:tc>
          <w:tcPr>
            <w:tcW w:type="dxa" w:w="2800"/>
          </w:tcPr>
          <w:p>
            <w:pPr>
              <w:spacing w:before="0" w:after="0" w:line="240" w:lineRule="auto"/>
              <w:jc w:val="left"/>
            </w:pPr>
            <w:r/>
            <w:r>
              <w:rPr>
                <w:rFonts w:ascii="Calibri" w:hAnsi="Calibri"/>
                <w:b w:val="0"/>
                <w:color w:val="1A1A1A"/>
                <w:sz w:val="16"/>
              </w:rPr>
              <w:t>Complete decision and run history</w:t>
            </w:r>
          </w:p>
        </w:tc>
        <w:tc>
          <w:tcPr>
            <w:tcW w:type="dxa" w:w="6560"/>
          </w:tcPr>
          <w:p>
            <w:pPr>
              <w:spacing w:before="0" w:after="0" w:line="240" w:lineRule="auto"/>
              <w:jc w:val="left"/>
            </w:pPr>
            <w:r/>
            <w:r>
              <w:rPr>
                <w:rFonts w:ascii="Calibri" w:hAnsi="Calibri"/>
                <w:b w:val="0"/>
                <w:color w:val="1A1A1A"/>
                <w:sz w:val="16"/>
              </w:rPr>
              <w:t>docs/v2/DECISION_LOG.md</w:t>
            </w:r>
          </w:p>
        </w:tc>
      </w:tr>
      <w:tr>
        <w:tc>
          <w:tcPr>
            <w:tcW w:type="dxa" w:w="2800"/>
          </w:tcPr>
          <w:p>
            <w:pPr>
              <w:spacing w:before="0" w:after="0" w:line="240" w:lineRule="auto"/>
              <w:jc w:val="left"/>
            </w:pPr>
            <w:r/>
            <w:r>
              <w:rPr>
                <w:rFonts w:ascii="Calibri" w:hAnsi="Calibri"/>
                <w:b w:val="0"/>
                <w:color w:val="1A1A1A"/>
                <w:sz w:val="16"/>
              </w:rPr>
              <w:t>Current canonical gate</w:t>
            </w:r>
          </w:p>
        </w:tc>
        <w:tc>
          <w:tcPr>
            <w:tcW w:type="dxa" w:w="6560"/>
          </w:tcPr>
          <w:p>
            <w:pPr>
              <w:spacing w:before="0" w:after="0" w:line="240" w:lineRule="auto"/>
              <w:jc w:val="left"/>
            </w:pPr>
            <w:r/>
            <w:r>
              <w:rPr>
                <w:rFonts w:ascii="Calibri" w:hAnsi="Calibri"/>
                <w:b w:val="0"/>
                <w:color w:val="1A1A1A"/>
                <w:sz w:val="16"/>
              </w:rPr>
              <w:t>data/processed/v2/task1/TASK1_GATE.md</w:t>
            </w:r>
          </w:p>
        </w:tc>
      </w:tr>
      <w:tr>
        <w:tc>
          <w:tcPr>
            <w:tcW w:type="dxa" w:w="2800"/>
          </w:tcPr>
          <w:p>
            <w:pPr>
              <w:spacing w:before="0" w:after="0" w:line="240" w:lineRule="auto"/>
              <w:jc w:val="left"/>
            </w:pPr>
            <w:r/>
            <w:r>
              <w:rPr>
                <w:rFonts w:ascii="Calibri" w:hAnsi="Calibri"/>
                <w:b w:val="0"/>
                <w:color w:val="1A1A1A"/>
                <w:sz w:val="16"/>
              </w:rPr>
              <w:t>Step 1 recommendation</w:t>
            </w:r>
          </w:p>
        </w:tc>
        <w:tc>
          <w:tcPr>
            <w:tcW w:type="dxa" w:w="6560"/>
          </w:tcPr>
          <w:p>
            <w:pPr>
              <w:spacing w:before="0" w:after="0" w:line="240" w:lineRule="auto"/>
              <w:jc w:val="left"/>
            </w:pPr>
            <w:r/>
            <w:r>
              <w:rPr>
                <w:rFonts w:ascii="Calibri" w:hAnsi="Calibri"/>
                <w:b w:val="0"/>
                <w:color w:val="1A1A1A"/>
                <w:sz w:val="16"/>
              </w:rPr>
              <w:t>data/processed/v2/task1/step1/memos/M1.1_feasibility_gate.md</w:t>
            </w:r>
          </w:p>
        </w:tc>
      </w:tr>
      <w:tr>
        <w:tc>
          <w:tcPr>
            <w:tcW w:type="dxa" w:w="2800"/>
          </w:tcPr>
          <w:p>
            <w:pPr>
              <w:spacing w:before="0" w:after="0" w:line="240" w:lineRule="auto"/>
              <w:jc w:val="left"/>
            </w:pPr>
            <w:r/>
            <w:r>
              <w:rPr>
                <w:rFonts w:ascii="Calibri" w:hAnsi="Calibri"/>
                <w:b w:val="0"/>
                <w:color w:val="1A1A1A"/>
                <w:sz w:val="16"/>
              </w:rPr>
              <w:t>Step 1 city/cell statistics</w:t>
            </w:r>
          </w:p>
        </w:tc>
        <w:tc>
          <w:tcPr>
            <w:tcW w:type="dxa" w:w="6560"/>
          </w:tcPr>
          <w:p>
            <w:pPr>
              <w:spacing w:before="0" w:after="0" w:line="240" w:lineRule="auto"/>
              <w:jc w:val="left"/>
            </w:pPr>
            <w:r/>
            <w:r>
              <w:rPr>
                <w:rFonts w:ascii="Calibri" w:hAnsi="Calibri"/>
                <w:b w:val="0"/>
                <w:color w:val="1A1A1A"/>
                <w:sz w:val="16"/>
              </w:rPr>
              <w:t>data/processed/v2/task1/step1/tables/T1.1_city_cell_counts.csv</w:t>
            </w:r>
          </w:p>
        </w:tc>
      </w:tr>
      <w:tr>
        <w:tc>
          <w:tcPr>
            <w:tcW w:type="dxa" w:w="2800"/>
          </w:tcPr>
          <w:p>
            <w:pPr>
              <w:spacing w:before="0" w:after="0" w:line="240" w:lineRule="auto"/>
              <w:jc w:val="left"/>
            </w:pPr>
            <w:r/>
            <w:r>
              <w:rPr>
                <w:rFonts w:ascii="Calibri" w:hAnsi="Calibri"/>
                <w:b w:val="0"/>
                <w:color w:val="1A1A1A"/>
                <w:sz w:val="16"/>
              </w:rPr>
              <w:t>Step 1 domain record</w:t>
            </w:r>
          </w:p>
        </w:tc>
        <w:tc>
          <w:tcPr>
            <w:tcW w:type="dxa" w:w="6560"/>
          </w:tcPr>
          <w:p>
            <w:pPr>
              <w:spacing w:before="0" w:after="0" w:line="240" w:lineRule="auto"/>
              <w:jc w:val="left"/>
            </w:pPr>
            <w:r/>
            <w:r>
              <w:rPr>
                <w:rFonts w:ascii="Calibri" w:hAnsi="Calibri"/>
                <w:b w:val="0"/>
                <w:color w:val="1A1A1A"/>
                <w:sz w:val="16"/>
              </w:rPr>
              <w:t>data/processed/v2/task1/step1/tables/T1.2_city_domains.csv</w:t>
            </w:r>
          </w:p>
        </w:tc>
      </w:tr>
      <w:tr>
        <w:tc>
          <w:tcPr>
            <w:tcW w:type="dxa" w:w="2800"/>
          </w:tcPr>
          <w:p>
            <w:pPr>
              <w:spacing w:before="0" w:after="0" w:line="240" w:lineRule="auto"/>
              <w:jc w:val="left"/>
            </w:pPr>
            <w:r/>
            <w:r>
              <w:rPr>
                <w:rFonts w:ascii="Calibri" w:hAnsi="Calibri"/>
                <w:b w:val="0"/>
                <w:color w:val="1A1A1A"/>
                <w:sz w:val="16"/>
              </w:rPr>
              <w:t>Step 2 catalogue counts</w:t>
            </w:r>
          </w:p>
        </w:tc>
        <w:tc>
          <w:tcPr>
            <w:tcW w:type="dxa" w:w="6560"/>
          </w:tcPr>
          <w:p>
            <w:pPr>
              <w:spacing w:before="0" w:after="0" w:line="240" w:lineRule="auto"/>
              <w:jc w:val="left"/>
            </w:pPr>
            <w:r/>
            <w:r>
              <w:rPr>
                <w:rFonts w:ascii="Calibri" w:hAnsi="Calibri"/>
                <w:b w:val="0"/>
                <w:color w:val="1A1A1A"/>
                <w:sz w:val="16"/>
              </w:rPr>
              <w:t>data/processed/v2/task1/step2_catalogue_audit/tables/T2.1_daytime_catalogue_ceiling_counts.csv</w:t>
            </w:r>
          </w:p>
        </w:tc>
      </w:tr>
      <w:tr>
        <w:tc>
          <w:tcPr>
            <w:tcW w:type="dxa" w:w="2800"/>
          </w:tcPr>
          <w:p>
            <w:pPr>
              <w:spacing w:before="0" w:after="0" w:line="240" w:lineRule="auto"/>
              <w:jc w:val="left"/>
            </w:pPr>
            <w:r/>
            <w:r>
              <w:rPr>
                <w:rFonts w:ascii="Calibri" w:hAnsi="Calibri"/>
                <w:b w:val="0"/>
                <w:color w:val="1A1A1A"/>
                <w:sz w:val="16"/>
              </w:rPr>
              <w:t>Definitive Step 2 gate and checks</w:t>
            </w:r>
          </w:p>
        </w:tc>
        <w:tc>
          <w:tcPr>
            <w:tcW w:type="dxa" w:w="6560"/>
          </w:tcPr>
          <w:p>
            <w:pPr>
              <w:spacing w:before="0" w:after="0" w:line="240" w:lineRule="auto"/>
              <w:jc w:val="left"/>
            </w:pPr>
            <w:r/>
            <w:r>
              <w:rPr>
                <w:rFonts w:ascii="Calibri" w:hAnsi="Calibri"/>
                <w:b w:val="0"/>
                <w:color w:val="1A1A1A"/>
                <w:sz w:val="16"/>
              </w:rPr>
              <w:t>data/processed/v2/task1/step2_definitive_l1b_geo_D0047_archive_available/step2_gate_record.json</w:t>
            </w:r>
          </w:p>
        </w:tc>
      </w:tr>
      <w:tr>
        <w:tc>
          <w:tcPr>
            <w:tcW w:type="dxa" w:w="2800"/>
          </w:tcPr>
          <w:p>
            <w:pPr>
              <w:spacing w:before="0" w:after="0" w:line="240" w:lineRule="auto"/>
              <w:jc w:val="left"/>
            </w:pPr>
            <w:r/>
            <w:r>
              <w:rPr>
                <w:rFonts w:ascii="Calibri" w:hAnsi="Calibri"/>
                <w:b w:val="0"/>
                <w:color w:val="1A1A1A"/>
                <w:sz w:val="16"/>
              </w:rPr>
              <w:t>Definitive Step 2 feasibility memo</w:t>
            </w:r>
          </w:p>
        </w:tc>
        <w:tc>
          <w:tcPr>
            <w:tcW w:type="dxa" w:w="6560"/>
          </w:tcPr>
          <w:p>
            <w:pPr>
              <w:spacing w:before="0" w:after="0" w:line="240" w:lineRule="auto"/>
              <w:jc w:val="left"/>
            </w:pPr>
            <w:r/>
            <w:r>
              <w:rPr>
                <w:rFonts w:ascii="Calibri" w:hAnsi="Calibri"/>
                <w:b w:val="0"/>
                <w:color w:val="1A1A1A"/>
                <w:sz w:val="16"/>
              </w:rPr>
              <w:t>data/processed/v2/task1/step2_definitive_l1b_geo_D0047_archive_available/step2_definitive_feasibility.md</w:t>
            </w:r>
          </w:p>
        </w:tc>
      </w:tr>
      <w:tr>
        <w:tc>
          <w:tcPr>
            <w:tcW w:type="dxa" w:w="2800"/>
          </w:tcPr>
          <w:p>
            <w:pPr>
              <w:spacing w:before="0" w:after="0" w:line="240" w:lineRule="auto"/>
              <w:jc w:val="left"/>
            </w:pPr>
            <w:r/>
            <w:r>
              <w:rPr>
                <w:rFonts w:ascii="Calibri" w:hAnsi="Calibri"/>
                <w:b w:val="0"/>
                <w:color w:val="1A1A1A"/>
                <w:sz w:val="16"/>
              </w:rPr>
              <w:t>Definitive Step 3 gate</w:t>
            </w:r>
          </w:p>
        </w:tc>
        <w:tc>
          <w:tcPr>
            <w:tcW w:type="dxa" w:w="6560"/>
          </w:tcPr>
          <w:p>
            <w:pPr>
              <w:spacing w:before="0" w:after="0" w:line="240" w:lineRule="auto"/>
              <w:jc w:val="left"/>
            </w:pPr>
            <w:r/>
            <w:r>
              <w:rPr>
                <w:rFonts w:ascii="Calibri" w:hAnsi="Calibri"/>
                <w:b w:val="0"/>
                <w:color w:val="1A1A1A"/>
                <w:sz w:val="16"/>
              </w:rPr>
              <w:t>data/processed/v2/task1/step3_time_of_day_only_D0056/step3_time_of_day_gate.json</w:t>
            </w:r>
          </w:p>
        </w:tc>
      </w:tr>
      <w:tr>
        <w:tc>
          <w:tcPr>
            <w:tcW w:type="dxa" w:w="2800"/>
          </w:tcPr>
          <w:p>
            <w:pPr>
              <w:spacing w:before="0" w:after="0" w:line="240" w:lineRule="auto"/>
              <w:jc w:val="left"/>
            </w:pPr>
            <w:r/>
            <w:r>
              <w:rPr>
                <w:rFonts w:ascii="Calibri" w:hAnsi="Calibri"/>
                <w:b w:val="0"/>
                <w:color w:val="1A1A1A"/>
                <w:sz w:val="16"/>
              </w:rPr>
              <w:t>Step 3 stop report</w:t>
            </w:r>
          </w:p>
        </w:tc>
        <w:tc>
          <w:tcPr>
            <w:tcW w:type="dxa" w:w="6560"/>
          </w:tcPr>
          <w:p>
            <w:pPr>
              <w:spacing w:before="0" w:after="0" w:line="240" w:lineRule="auto"/>
              <w:jc w:val="left"/>
            </w:pPr>
            <w:r/>
            <w:r>
              <w:rPr>
                <w:rFonts w:ascii="Calibri" w:hAnsi="Calibri"/>
                <w:b w:val="0"/>
                <w:color w:val="1A1A1A"/>
                <w:sz w:val="16"/>
              </w:rPr>
              <w:t>docs/v2/D0058_TIME_OF_DAY_STEP3_STOP.md</w:t>
            </w:r>
          </w:p>
        </w:tc>
      </w:tr>
      <w:tr>
        <w:tc>
          <w:tcPr>
            <w:tcW w:type="dxa" w:w="2800"/>
          </w:tcPr>
          <w:p>
            <w:pPr>
              <w:spacing w:before="0" w:after="0" w:line="240" w:lineRule="auto"/>
              <w:jc w:val="left"/>
            </w:pPr>
            <w:r/>
            <w:r>
              <w:rPr>
                <w:rFonts w:ascii="Calibri" w:hAnsi="Calibri"/>
                <w:b w:val="0"/>
                <w:color w:val="1A1A1A"/>
                <w:sz w:val="16"/>
              </w:rPr>
              <w:t>Illustrative-package explanation</w:t>
            </w:r>
          </w:p>
        </w:tc>
        <w:tc>
          <w:tcPr>
            <w:tcW w:type="dxa" w:w="6560"/>
          </w:tcPr>
          <w:p>
            <w:pPr>
              <w:spacing w:before="0" w:after="0" w:line="240" w:lineRule="auto"/>
              <w:jc w:val="left"/>
            </w:pPr>
            <w:r/>
            <w:r>
              <w:rPr>
                <w:rFonts w:ascii="Calibri" w:hAnsi="Calibri"/>
                <w:b w:val="0"/>
                <w:color w:val="1A1A1A"/>
                <w:sz w:val="16"/>
              </w:rPr>
              <w:t>data/processed/v2/illustrative_only/steps02_14/README.md</w:t>
            </w:r>
          </w:p>
        </w:tc>
      </w:tr>
      <w:tr>
        <w:tc>
          <w:tcPr>
            <w:tcW w:type="dxa" w:w="2800"/>
          </w:tcPr>
          <w:p>
            <w:pPr>
              <w:spacing w:before="0" w:after="0" w:line="240" w:lineRule="auto"/>
              <w:jc w:val="left"/>
            </w:pPr>
            <w:r/>
            <w:r>
              <w:rPr>
                <w:rFonts w:ascii="Calibri" w:hAnsi="Calibri"/>
                <w:b w:val="0"/>
                <w:color w:val="1A1A1A"/>
                <w:sz w:val="16"/>
              </w:rPr>
              <w:t>Authoritative artifact manifest</w:t>
            </w:r>
          </w:p>
        </w:tc>
        <w:tc>
          <w:tcPr>
            <w:tcW w:type="dxa" w:w="6560"/>
          </w:tcPr>
          <w:p>
            <w:pPr>
              <w:spacing w:before="0" w:after="0" w:line="240" w:lineRule="auto"/>
              <w:jc w:val="left"/>
            </w:pPr>
            <w:r/>
            <w:r>
              <w:rPr>
                <w:rFonts w:ascii="Calibri" w:hAnsi="Calibri"/>
                <w:b w:val="0"/>
                <w:color w:val="1A1A1A"/>
                <w:sz w:val="16"/>
              </w:rPr>
              <w:t>data/processed/v2/illustrative_only/steps02_14/run_manifest.json</w:t>
            </w:r>
          </w:p>
        </w:tc>
      </w:tr>
      <w:tr>
        <w:tc>
          <w:tcPr>
            <w:tcW w:type="dxa" w:w="2800"/>
          </w:tcPr>
          <w:p>
            <w:pPr>
              <w:spacing w:before="0" w:after="0" w:line="240" w:lineRule="auto"/>
              <w:jc w:val="left"/>
            </w:pPr>
            <w:r/>
            <w:r>
              <w:rPr>
                <w:rFonts w:ascii="Calibri" w:hAnsi="Calibri"/>
                <w:b w:val="0"/>
                <w:color w:val="1A1A1A"/>
                <w:sz w:val="16"/>
              </w:rPr>
              <w:t>Step 14 scientific STOP memo</w:t>
            </w:r>
          </w:p>
        </w:tc>
        <w:tc>
          <w:tcPr>
            <w:tcW w:type="dxa" w:w="6560"/>
          </w:tcPr>
          <w:p>
            <w:pPr>
              <w:spacing w:before="0" w:after="0" w:line="240" w:lineRule="auto"/>
              <w:jc w:val="left"/>
            </w:pPr>
            <w:r/>
            <w:r>
              <w:rPr>
                <w:rFonts w:ascii="Calibri" w:hAnsi="Calibri"/>
                <w:b w:val="0"/>
                <w:color w:val="1A1A1A"/>
                <w:sz w:val="16"/>
              </w:rPr>
              <w:t>data/processed/v2/illustrative_only/steps02_14/ILLUSTRATIVE_M14.1_go_adjust_stop_memo.md</w:t>
            </w:r>
          </w:p>
        </w:tc>
      </w:tr>
      <w:tr>
        <w:tc>
          <w:tcPr>
            <w:tcW w:type="dxa" w:w="2800"/>
          </w:tcPr>
          <w:p>
            <w:pPr>
              <w:spacing w:before="0" w:after="0" w:line="240" w:lineRule="auto"/>
              <w:jc w:val="left"/>
            </w:pPr>
            <w:r/>
            <w:r>
              <w:rPr>
                <w:rFonts w:ascii="Calibri" w:hAnsi="Calibri"/>
                <w:b w:val="0"/>
                <w:color w:val="1A1A1A"/>
                <w:sz w:val="16"/>
              </w:rPr>
              <w:t>Confirmatory status</w:t>
            </w:r>
          </w:p>
        </w:tc>
        <w:tc>
          <w:tcPr>
            <w:tcW w:type="dxa" w:w="6560"/>
          </w:tcPr>
          <w:p>
            <w:pPr>
              <w:spacing w:before="0" w:after="0" w:line="240" w:lineRule="auto"/>
              <w:jc w:val="left"/>
            </w:pPr>
            <w:r/>
            <w:r>
              <w:rPr>
                <w:rFonts w:ascii="Calibri" w:hAnsi="Calibri"/>
                <w:b w:val="0"/>
                <w:color w:val="1A1A1A"/>
                <w:sz w:val="16"/>
              </w:rPr>
              <w:t>data/processed/v2/illustrative_only/steps02_14/ILLUSTRATIVE_M14.2_confirmatory_report_NOT_RUN.md</w:t>
            </w:r>
          </w:p>
        </w:tc>
      </w:tr>
    </w:tbl>
    <w:p>
      <w:pPr>
        <w:spacing w:after="0"/>
      </w:pPr>
    </w:p>
    <w:p>
      <w:pPr>
        <w:pStyle w:val="Heading2"/>
        <w:keepNext/>
      </w:pPr>
      <w:r>
        <w:t>Delivered packages</w:t>
      </w:r>
    </w:p>
    <w:p>
      <w:pPr>
        <w:keepLines w:val="0"/>
        <w:spacing w:after="120" w:line="264" w:lineRule="auto"/>
      </w:pPr>
      <w:r>
        <w:rPr>
          <w:rFonts w:ascii="Calibri" w:hAnsi="Calibri"/>
          <w:color w:val="1A1A1A"/>
          <w:sz w:val="22"/>
        </w:rPr>
        <w:t>Local release archive: deliverables/illustrative_steps02_14_D0052_2026-08-06.zip</w:t>
      </w:r>
    </w:p>
    <w:p>
      <w:pPr>
        <w:spacing w:after="120"/>
      </w:pPr>
      <w:r>
        <w:rPr>
          <w:rFonts w:ascii="Calibri" w:hAnsi="Calibri"/>
          <w:b/>
          <w:color w:val="1A1A1A"/>
          <w:sz w:val="21"/>
        </w:rPr>
        <w:t xml:space="preserve">Google Drive package folder: </w:t>
      </w:r>
      <w:hyperlink r:id="rId21">
        <w:r>
          <w:rPr>
            <w:color w:val="2E74B5"/>
            <w:u w:val="single"/>
          </w:rPr>
          <w:t>Open the Steps 2–14 package</w:t>
        </w:r>
      </w:hyperlink>
    </w:p>
    <w:p>
      <w:pPr>
        <w:pStyle w:val="Heading2"/>
        <w:keepNext/>
      </w:pPr>
      <w:r>
        <w:t>Step 1 deliverable set</w:t>
      </w:r>
    </w:p>
    <w:tbl>
      <w:tblPr>
        <w:tblStyle w:val="TableGrid"/>
        <w:tblW w:type="dxa" w:w="9360"/>
        <w:jc w:val="center"/>
        <w:tblLayout w:type="fixed"/>
        <w:tblLook w:firstColumn="1" w:firstRow="1" w:lastColumn="0" w:lastRow="0" w:noHBand="0" w:noVBand="1" w:val="04A0"/>
        <w:tblInd w:w="120" w:type="dxa"/>
      </w:tblPr>
      <w:tblGrid>
        <w:gridCol w:w="900"/>
        <w:gridCol w:w="5500"/>
        <w:gridCol w:w="2960"/>
      </w:tblGrid>
      <w:tr>
        <w:trPr>
          <w:tblHeader w:val="true"/>
        </w:trPr>
        <w:tc>
          <w:tcPr>
            <w:tcW w:type="dxa" w:w="90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7"/>
              </w:rPr>
              <w:t>ID</w:t>
            </w:r>
          </w:p>
        </w:tc>
        <w:tc>
          <w:tcPr>
            <w:tcW w:type="dxa" w:w="550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7"/>
              </w:rPr>
              <w:t>File</w:t>
            </w:r>
          </w:p>
        </w:tc>
        <w:tc>
          <w:tcPr>
            <w:tcW w:type="dxa" w:w="296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7"/>
              </w:rPr>
              <w:t>Status</w:t>
            </w:r>
          </w:p>
        </w:tc>
      </w:tr>
      <w:tr>
        <w:tc>
          <w:tcPr>
            <w:tcW w:type="dxa" w:w="900"/>
          </w:tcPr>
          <w:p>
            <w:pPr>
              <w:spacing w:before="0" w:after="0" w:line="240" w:lineRule="auto"/>
              <w:jc w:val="left"/>
            </w:pPr>
            <w:r/>
            <w:r>
              <w:rPr>
                <w:rFonts w:ascii="Calibri" w:hAnsi="Calibri"/>
                <w:b w:val="0"/>
                <w:color w:val="1A1A1A"/>
                <w:sz w:val="17"/>
              </w:rPr>
              <w:t>F1.1</w:t>
            </w:r>
          </w:p>
        </w:tc>
        <w:tc>
          <w:tcPr>
            <w:tcW w:type="dxa" w:w="5500"/>
          </w:tcPr>
          <w:p>
            <w:pPr>
              <w:spacing w:before="0" w:after="0" w:line="240" w:lineRule="auto"/>
              <w:jc w:val="left"/>
            </w:pPr>
            <w:r/>
            <w:r>
              <w:rPr>
                <w:rFonts w:ascii="Calibri" w:hAnsi="Calibri"/>
                <w:b w:val="0"/>
                <w:color w:val="1A1A1A"/>
                <w:sz w:val="17"/>
              </w:rPr>
              <w:t>step1/figures/F1.1_joint_30d.png</w:t>
            </w:r>
          </w:p>
        </w:tc>
        <w:tc>
          <w:tcPr>
            <w:tcW w:type="dxa" w:w="2960"/>
            <w:shd w:fill="E9F5EE"/>
          </w:tcPr>
          <w:p>
            <w:pPr>
              <w:spacing w:before="0" w:after="0" w:line="240" w:lineRule="auto"/>
              <w:jc w:val="left"/>
            </w:pPr>
            <w:r/>
            <w:r>
              <w:rPr>
                <w:rFonts w:ascii="Calibri" w:hAnsi="Calibri"/>
                <w:b w:val="0"/>
                <w:color w:val="1A1A1A"/>
                <w:sz w:val="17"/>
              </w:rPr>
              <w:t>Canonical empirical</w:t>
            </w:r>
          </w:p>
        </w:tc>
      </w:tr>
      <w:tr>
        <w:tc>
          <w:tcPr>
            <w:tcW w:type="dxa" w:w="900"/>
          </w:tcPr>
          <w:p>
            <w:pPr>
              <w:spacing w:before="0" w:after="0" w:line="240" w:lineRule="auto"/>
              <w:jc w:val="left"/>
            </w:pPr>
            <w:r/>
            <w:r>
              <w:rPr>
                <w:rFonts w:ascii="Calibri" w:hAnsi="Calibri"/>
                <w:b w:val="0"/>
                <w:color w:val="1A1A1A"/>
                <w:sz w:val="17"/>
              </w:rPr>
              <w:t>F1.2</w:t>
            </w:r>
          </w:p>
        </w:tc>
        <w:tc>
          <w:tcPr>
            <w:tcW w:type="dxa" w:w="5500"/>
          </w:tcPr>
          <w:p>
            <w:pPr>
              <w:spacing w:before="0" w:after="0" w:line="240" w:lineRule="auto"/>
              <w:jc w:val="left"/>
            </w:pPr>
            <w:r/>
            <w:r>
              <w:rPr>
                <w:rFonts w:ascii="Calibri" w:hAnsi="Calibri"/>
                <w:b w:val="0"/>
                <w:color w:val="1A1A1A"/>
                <w:sz w:val="17"/>
              </w:rPr>
              <w:t>step1/figures/F1.2_clear_sky_overlay.png</w:t>
            </w:r>
          </w:p>
        </w:tc>
        <w:tc>
          <w:tcPr>
            <w:tcW w:type="dxa" w:w="2960"/>
            <w:shd w:fill="E9F5EE"/>
          </w:tcPr>
          <w:p>
            <w:pPr>
              <w:spacing w:before="0" w:after="0" w:line="240" w:lineRule="auto"/>
              <w:jc w:val="left"/>
            </w:pPr>
            <w:r/>
            <w:r>
              <w:rPr>
                <w:rFonts w:ascii="Calibri" w:hAnsi="Calibri"/>
                <w:b w:val="0"/>
                <w:color w:val="1A1A1A"/>
                <w:sz w:val="17"/>
              </w:rPr>
              <w:t>Canonical empirical</w:t>
            </w:r>
          </w:p>
        </w:tc>
      </w:tr>
      <w:tr>
        <w:tc>
          <w:tcPr>
            <w:tcW w:type="dxa" w:w="900"/>
          </w:tcPr>
          <w:p>
            <w:pPr>
              <w:spacing w:before="0" w:after="0" w:line="240" w:lineRule="auto"/>
              <w:jc w:val="left"/>
            </w:pPr>
            <w:r/>
            <w:r>
              <w:rPr>
                <w:rFonts w:ascii="Calibri" w:hAnsi="Calibri"/>
                <w:b w:val="0"/>
                <w:color w:val="1A1A1A"/>
                <w:sz w:val="17"/>
              </w:rPr>
              <w:t>F1.3</w:t>
            </w:r>
          </w:p>
        </w:tc>
        <w:tc>
          <w:tcPr>
            <w:tcW w:type="dxa" w:w="5500"/>
          </w:tcPr>
          <w:p>
            <w:pPr>
              <w:spacing w:before="0" w:after="0" w:line="240" w:lineRule="auto"/>
              <w:jc w:val="left"/>
            </w:pPr>
            <w:r/>
            <w:r>
              <w:rPr>
                <w:rFonts w:ascii="Calibri" w:hAnsi="Calibri"/>
                <w:b w:val="0"/>
                <w:color w:val="1A1A1A"/>
                <w:sz w:val="17"/>
              </w:rPr>
              <w:t>step1/figures/F1.3_corner_counts.png</w:t>
            </w:r>
          </w:p>
        </w:tc>
        <w:tc>
          <w:tcPr>
            <w:tcW w:type="dxa" w:w="2960"/>
            <w:shd w:fill="E9F5EE"/>
          </w:tcPr>
          <w:p>
            <w:pPr>
              <w:spacing w:before="0" w:after="0" w:line="240" w:lineRule="auto"/>
              <w:jc w:val="left"/>
            </w:pPr>
            <w:r/>
            <w:r>
              <w:rPr>
                <w:rFonts w:ascii="Calibri" w:hAnsi="Calibri"/>
                <w:b w:val="0"/>
                <w:color w:val="1A1A1A"/>
                <w:sz w:val="17"/>
              </w:rPr>
              <w:t>Canonical empirical</w:t>
            </w:r>
          </w:p>
        </w:tc>
      </w:tr>
      <w:tr>
        <w:tc>
          <w:tcPr>
            <w:tcW w:type="dxa" w:w="900"/>
          </w:tcPr>
          <w:p>
            <w:pPr>
              <w:spacing w:before="0" w:after="0" w:line="240" w:lineRule="auto"/>
              <w:jc w:val="left"/>
            </w:pPr>
            <w:r/>
            <w:r>
              <w:rPr>
                <w:rFonts w:ascii="Calibri" w:hAnsi="Calibri"/>
                <w:b w:val="0"/>
                <w:color w:val="1A1A1A"/>
                <w:sz w:val="17"/>
              </w:rPr>
              <w:t>F1.4</w:t>
            </w:r>
          </w:p>
        </w:tc>
        <w:tc>
          <w:tcPr>
            <w:tcW w:type="dxa" w:w="5500"/>
          </w:tcPr>
          <w:p>
            <w:pPr>
              <w:spacing w:before="0" w:after="0" w:line="240" w:lineRule="auto"/>
              <w:jc w:val="left"/>
            </w:pPr>
            <w:r/>
            <w:r>
              <w:rPr>
                <w:rFonts w:ascii="Calibri" w:hAnsi="Calibri"/>
                <w:b w:val="0"/>
                <w:color w:val="1A1A1A"/>
                <w:sz w:val="17"/>
              </w:rPr>
              <w:t>step1/figures/F1.4_joint_60d.png</w:t>
            </w:r>
          </w:p>
        </w:tc>
        <w:tc>
          <w:tcPr>
            <w:tcW w:type="dxa" w:w="2960"/>
            <w:shd w:fill="E9F5EE"/>
          </w:tcPr>
          <w:p>
            <w:pPr>
              <w:spacing w:before="0" w:after="0" w:line="240" w:lineRule="auto"/>
              <w:jc w:val="left"/>
            </w:pPr>
            <w:r/>
            <w:r>
              <w:rPr>
                <w:rFonts w:ascii="Calibri" w:hAnsi="Calibri"/>
                <w:b w:val="0"/>
                <w:color w:val="1A1A1A"/>
                <w:sz w:val="17"/>
              </w:rPr>
              <w:t>Canonical empirical</w:t>
            </w:r>
          </w:p>
        </w:tc>
      </w:tr>
      <w:tr>
        <w:tc>
          <w:tcPr>
            <w:tcW w:type="dxa" w:w="900"/>
          </w:tcPr>
          <w:p>
            <w:pPr>
              <w:spacing w:before="0" w:after="0" w:line="240" w:lineRule="auto"/>
              <w:jc w:val="left"/>
            </w:pPr>
            <w:r/>
            <w:r>
              <w:rPr>
                <w:rFonts w:ascii="Calibri" w:hAnsi="Calibri"/>
                <w:b w:val="0"/>
                <w:color w:val="1A1A1A"/>
                <w:sz w:val="17"/>
              </w:rPr>
              <w:t>T1.1</w:t>
            </w:r>
          </w:p>
        </w:tc>
        <w:tc>
          <w:tcPr>
            <w:tcW w:type="dxa" w:w="5500"/>
          </w:tcPr>
          <w:p>
            <w:pPr>
              <w:spacing w:before="0" w:after="0" w:line="240" w:lineRule="auto"/>
              <w:jc w:val="left"/>
            </w:pPr>
            <w:r/>
            <w:r>
              <w:rPr>
                <w:rFonts w:ascii="Calibri" w:hAnsi="Calibri"/>
                <w:b w:val="0"/>
                <w:color w:val="1A1A1A"/>
                <w:sz w:val="17"/>
              </w:rPr>
              <w:t>step1/tables/T1.1_city_cell_counts.csv</w:t>
            </w:r>
          </w:p>
        </w:tc>
        <w:tc>
          <w:tcPr>
            <w:tcW w:type="dxa" w:w="2960"/>
            <w:shd w:fill="E9F5EE"/>
          </w:tcPr>
          <w:p>
            <w:pPr>
              <w:spacing w:before="0" w:after="0" w:line="240" w:lineRule="auto"/>
              <w:jc w:val="left"/>
            </w:pPr>
            <w:r/>
            <w:r>
              <w:rPr>
                <w:rFonts w:ascii="Calibri" w:hAnsi="Calibri"/>
                <w:b w:val="0"/>
                <w:color w:val="1A1A1A"/>
                <w:sz w:val="17"/>
              </w:rPr>
              <w:t>Canonical empirical</w:t>
            </w:r>
          </w:p>
        </w:tc>
      </w:tr>
      <w:tr>
        <w:tc>
          <w:tcPr>
            <w:tcW w:type="dxa" w:w="900"/>
          </w:tcPr>
          <w:p>
            <w:pPr>
              <w:spacing w:before="0" w:after="0" w:line="240" w:lineRule="auto"/>
              <w:jc w:val="left"/>
            </w:pPr>
            <w:r/>
            <w:r>
              <w:rPr>
                <w:rFonts w:ascii="Calibri" w:hAnsi="Calibri"/>
                <w:b w:val="0"/>
                <w:color w:val="1A1A1A"/>
                <w:sz w:val="17"/>
              </w:rPr>
              <w:t>T1.2</w:t>
            </w:r>
          </w:p>
        </w:tc>
        <w:tc>
          <w:tcPr>
            <w:tcW w:type="dxa" w:w="5500"/>
          </w:tcPr>
          <w:p>
            <w:pPr>
              <w:spacing w:before="0" w:after="0" w:line="240" w:lineRule="auto"/>
              <w:jc w:val="left"/>
            </w:pPr>
            <w:r/>
            <w:r>
              <w:rPr>
                <w:rFonts w:ascii="Calibri" w:hAnsi="Calibri"/>
                <w:b w:val="0"/>
                <w:color w:val="1A1A1A"/>
                <w:sz w:val="17"/>
              </w:rPr>
              <w:t>step1/tables/T1.2_city_domains.csv</w:t>
            </w:r>
          </w:p>
        </w:tc>
        <w:tc>
          <w:tcPr>
            <w:tcW w:type="dxa" w:w="2960"/>
            <w:shd w:fill="E9F5EE"/>
          </w:tcPr>
          <w:p>
            <w:pPr>
              <w:spacing w:before="0" w:after="0" w:line="240" w:lineRule="auto"/>
              <w:jc w:val="left"/>
            </w:pPr>
            <w:r/>
            <w:r>
              <w:rPr>
                <w:rFonts w:ascii="Calibri" w:hAnsi="Calibri"/>
                <w:b w:val="0"/>
                <w:color w:val="1A1A1A"/>
                <w:sz w:val="17"/>
              </w:rPr>
              <w:t>Canonical empirical</w:t>
            </w:r>
          </w:p>
        </w:tc>
      </w:tr>
      <w:tr>
        <w:tc>
          <w:tcPr>
            <w:tcW w:type="dxa" w:w="900"/>
          </w:tcPr>
          <w:p>
            <w:pPr>
              <w:spacing w:before="0" w:after="0" w:line="240" w:lineRule="auto"/>
              <w:jc w:val="left"/>
            </w:pPr>
            <w:r/>
            <w:r>
              <w:rPr>
                <w:rFonts w:ascii="Calibri" w:hAnsi="Calibri"/>
                <w:b w:val="0"/>
                <w:color w:val="1A1A1A"/>
                <w:sz w:val="17"/>
              </w:rPr>
              <w:t>M1.1</w:t>
            </w:r>
          </w:p>
        </w:tc>
        <w:tc>
          <w:tcPr>
            <w:tcW w:type="dxa" w:w="5500"/>
          </w:tcPr>
          <w:p>
            <w:pPr>
              <w:spacing w:before="0" w:after="0" w:line="240" w:lineRule="auto"/>
              <w:jc w:val="left"/>
            </w:pPr>
            <w:r/>
            <w:r>
              <w:rPr>
                <w:rFonts w:ascii="Calibri" w:hAnsi="Calibri"/>
                <w:b w:val="0"/>
                <w:color w:val="1A1A1A"/>
                <w:sz w:val="17"/>
              </w:rPr>
              <w:t>step1/memos/M1.1_feasibility_gate.md</w:t>
            </w:r>
          </w:p>
        </w:tc>
        <w:tc>
          <w:tcPr>
            <w:tcW w:type="dxa" w:w="2960"/>
            <w:shd w:fill="E9F5EE"/>
          </w:tcPr>
          <w:p>
            <w:pPr>
              <w:spacing w:before="0" w:after="0" w:line="240" w:lineRule="auto"/>
              <w:jc w:val="left"/>
            </w:pPr>
            <w:r/>
            <w:r>
              <w:rPr>
                <w:rFonts w:ascii="Calibri" w:hAnsi="Calibri"/>
                <w:b w:val="0"/>
                <w:color w:val="1A1A1A"/>
                <w:sz w:val="17"/>
              </w:rPr>
              <w:t>Canonical empirical</w:t>
            </w:r>
          </w:p>
        </w:tc>
      </w:tr>
    </w:tbl>
    <w:p>
      <w:pPr>
        <w:spacing w:after="0"/>
      </w:pPr>
    </w:p>
    <w:p>
      <w:pPr>
        <w:keepLines w:val="0"/>
        <w:spacing w:after="120" w:line="264" w:lineRule="auto"/>
      </w:pPr>
      <w:r>
        <w:rPr>
          <w:rFonts w:ascii="Calibri" w:hAnsi="Calibri"/>
          <w:color w:val="5B6573"/>
          <w:sz w:val="22"/>
        </w:rPr>
        <w:t>Base path for the Step 1 entries above: data/processed/v2/task1/.</w:t>
      </w:r>
    </w:p>
    <w:p>
      <w:pPr>
        <w:pageBreakBefore/>
        <w:spacing w:before="0" w:after="0"/>
      </w:pPr>
    </w:p>
    <w:p>
      <w:pPr>
        <w:spacing w:before="0" w:after="100"/>
      </w:pPr>
      <w:r>
        <w:rPr>
          <w:rFonts w:ascii="Calibri" w:hAnsi="Calibri"/>
          <w:b/>
          <w:smallCaps/>
          <w:color w:val="2E74B5"/>
          <w:sz w:val="18"/>
        </w:rPr>
        <w:t>APPENDIX</w:t>
      </w:r>
    </w:p>
    <w:p>
      <w:pPr>
        <w:pStyle w:val="Heading1"/>
        <w:keepNext/>
      </w:pPr>
      <w:r>
        <w:t>A. Additional thirty-day joint-support figure</w:t>
      </w:r>
    </w:p>
    <w:p>
      <w:pPr>
        <w:keepLines/>
        <w:spacing w:before="60" w:after="80"/>
        <w:jc w:val="center"/>
      </w:pPr>
      <w:r>
        <w:drawing>
          <wp:inline xmlns:a="http://schemas.openxmlformats.org/drawingml/2006/main" xmlns:pic="http://schemas.openxmlformats.org/drawingml/2006/picture">
            <wp:extent cx="5715000" cy="3200400"/>
            <wp:docPr id="11" name="Picture 11"/>
            <wp:cNvGraphicFramePr>
              <a:graphicFrameLocks noChangeAspect="1"/>
            </wp:cNvGraphicFramePr>
            <a:graphic>
              <a:graphicData uri="http://schemas.openxmlformats.org/drawingml/2006/picture">
                <pic:pic>
                  <pic:nvPicPr>
                    <pic:cNvPr id="0" name="F1.1_joint_30d.png"/>
                    <pic:cNvPicPr/>
                  </pic:nvPicPr>
                  <pic:blipFill>
                    <a:blip r:embed="rId22"/>
                    <a:stretch>
                      <a:fillRect/>
                    </a:stretch>
                  </pic:blipFill>
                  <pic:spPr>
                    <a:xfrm>
                      <a:off x="0" y="0"/>
                      <a:ext cx="5715000" cy="3200400"/>
                    </a:xfrm>
                    <a:prstGeom prst="rect"/>
                  </pic:spPr>
                </pic:pic>
              </a:graphicData>
            </a:graphic>
          </wp:inline>
        </w:drawing>
      </w:r>
    </w:p>
    <w:p>
      <w:pPr>
        <w:keepLines/>
        <w:spacing w:before="0" w:after="80"/>
      </w:pPr>
      <w:r>
        <w:rPr>
          <w:rFonts w:ascii="Calibri" w:hAnsi="Calibri"/>
          <w:b/>
          <w:color w:val="1F4D78"/>
          <w:sz w:val="18"/>
        </w:rPr>
        <w:t xml:space="preserve">Appendix Figure A1 (F1.1). </w:t>
      </w:r>
      <w:r>
        <w:rPr>
          <w:rFonts w:ascii="Calibri" w:hAnsi="Calibri"/>
          <w:color w:val="1A1A1A"/>
          <w:sz w:val="18"/>
        </w:rPr>
        <w:t>All-day five-city joint distribution using the 30-day antecedent-dryness window. Tercile boundaries, nine cell counts, diagnostic corners, and Spearman correlations are shown.</w:t>
      </w:r>
    </w:p>
    <w:p>
      <w:pPr>
        <w:keepLines/>
        <w:spacing w:before="0" w:after="160"/>
      </w:pPr>
      <w:r>
        <w:rPr>
          <w:rFonts w:ascii="Calibri" w:hAnsi="Calibri"/>
          <w:i/>
          <w:color w:val="5B6573"/>
          <w:sz w:val="16"/>
        </w:rPr>
        <w:t>Evidence status: Canonical empirical meteorological screening; no thermal outcome. Source: data/processed/v2/task1/step1/figures/F1.1_joint_30d.png</w:t>
      </w:r>
    </w:p>
    <w:p>
      <w:pPr>
        <w:pStyle w:val="Heading1"/>
        <w:keepNext/>
      </w:pPr>
      <w:r>
        <w:t>B. Final state declaration</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2F8"/>
            <w:tcBorders>
              <w:top w:val="single" w:sz="12" w:color="2E74B5"/>
              <w:left w:val="single" w:sz="12" w:color="2E74B5"/>
              <w:bottom w:val="single" w:sz="12" w:color="2E74B5"/>
              <w:right w:val="single" w:sz="12" w:color="2E74B5"/>
            </w:tcBorders>
          </w:tcPr>
          <w:p>
            <w:pPr>
              <w:spacing w:after="60"/>
            </w:pPr>
            <w:r>
              <w:rPr>
                <w:rFonts w:ascii="Calibri" w:hAnsi="Calibri"/>
                <w:b/>
                <w:color w:val="1F4D78"/>
                <w:sz w:val="23"/>
              </w:rPr>
              <w:t>Professor-review conclusion</w:t>
            </w:r>
          </w:p>
          <w:p>
            <w:pPr>
              <w:spacing w:after="0" w:line="264" w:lineRule="auto"/>
            </w:pPr>
            <w:r>
              <w:rPr>
                <w:rFonts w:ascii="Calibri" w:hAnsi="Calibri"/>
                <w:color w:val="1A1A1A"/>
                <w:sz w:val="21"/>
              </w:rPr>
              <w:t>The project has a strong governance, feasibility, and reproducibility foundation; a complete pre-thermal empirical chain across Steps 1 to 3; substantial real nonthermal satellite audit work including a documented external archive failure; and a comprehensive synthetic demonstration of the remaining pipeline. It has no empirical urban-tree-cooling result, and under the present design it cannot obtain one. That is now a measured conclusion rather than an open item: both frozen gates have been issued and both returned STOP. Any evaluation should therefore credit the completed design, the Step 1 and Step 2 findings, the archive and geometry remediation, the definitive power and identifiability diagnostics, and the reproducible package — and should treat the choice of what to do next as a scientific decision for the supervisor rather than as remaining computation.</w:t>
            </w:r>
          </w:p>
        </w:tc>
      </w:tr>
    </w:tbl>
    <w:p>
      <w:pPr>
        <w:spacing w:after="0"/>
      </w:pPr>
    </w:p>
    <w:p>
      <w:pPr>
        <w:spacing w:before="480"/>
        <w:jc w:val="center"/>
      </w:pPr>
      <w:r>
        <w:rPr>
          <w:rFonts w:ascii="Calibri" w:hAnsi="Calibri"/>
          <w:b/>
          <w:color w:val="5B6573"/>
          <w:sz w:val="18"/>
        </w:rPr>
        <w:t>END OF REPORT</w:t>
      </w:r>
    </w:p>
    <w:sectPr w:rsidR="00FC693F" w:rsidRPr="0006063C" w:rsidSect="00034616">
      <w:headerReference w:type="default" r:id="rId9"/>
      <w:footerReference w:type="default" r:id="rId10"/>
      <w:pgSz w:w="12240" w:h="15840"/>
      <w:pgMar w:top="1181" w:right="1440" w:bottom="1123" w:left="144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B6573"/>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6" w:space="1" w:color="D7DCE2"/>
      </w:pBdr>
    </w:pPr>
    <w:r>
      <w:rPr>
        <w:rFonts w:ascii="Calibri" w:hAnsi="Calibri"/>
        <w:b/>
        <w:color w:val="5B6573"/>
        <w:sz w:val="17"/>
      </w:rPr>
      <w:t>URBAN TREE COOLING  |  PROFESSOR REVIEW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720"/>
        </w:tabs>
        <w:ind w:left="720" w:hanging="360"/>
      </w:pPr>
    </w:lvl>
  </w:abstractNum>
  <w:num w:numId="10">
    <w:abstractNumId w:val="9"/>
  </w:num>
  <w:abstractNum w:abstractNumId="10">
    <w:multiLevelType w:val="singleLevel"/>
    <w:lvl w:ilvl="0">
      <w:start w:val="1"/>
      <w:numFmt w:val="decimal"/>
      <w:lvlText w:val="%1."/>
      <w:lvlJc w:val="left"/>
      <w:pPr>
        <w:tabs>
          <w:tab w:val="num" w:pos="720"/>
        </w:tabs>
        <w:ind w:left="720" w:hanging="36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hyperlink" Target="https://drive.google.com/drive/folders/1l-cC0hCnsEqBJjm63h54TIxYeedL2H9a" TargetMode="External"/><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Urban Tree Cooling Study: Progress, Deliverables, and Key Results</dc:title>
  <dc:subject>Professor review report</dc:subject>
  <dc:creator>TreeProject v2 analysis record</dc:creator>
  <cp:keywords>urban tree cooling, ECOSTRESS, feasibility, progress report, reproducibility</cp:keywords>
  <dc:description>generated by python-docx</dc:description>
  <cp:lastModifiedBy/>
  <cp:revision>1</cp:revision>
  <dcterms:created xsi:type="dcterms:W3CDTF">2013-12-23T23:15:00Z</dcterms:created>
  <dcterms:modified xsi:type="dcterms:W3CDTF">2013-12-23T23:15:00Z</dcterms:modified>
  <cp:category/>
</cp:coreProperties>
</file>