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Urban tree canopy cooling next steps</w:t>
      </w:r>
    </w:p>
    <w:p>
      <w:pPr>
        <w:pStyle w:val="Subtitle"/>
      </w:pPr>
      <w:r>
        <w:t>Version 6.2  |  Integrated meeting and follow-up plan  |  19 September 2026</w:t>
      </w:r>
    </w:p>
    <w:p>
      <w:pPr>
        <w:pStyle w:val="Heading1"/>
      </w:pPr>
      <w:r>
        <w:t>Current task</w:t>
      </w:r>
    </w:p>
    <w:p>
      <w:pPr>
        <w:widowControl/>
      </w:pPr>
      <w:r>
        <w:t>Update and test the v6.2 city-pass estimator using the meeting decisions and the later emitted-energy follow-up. Full-city scaling remains paused until the pilot is reviewed. The original advisor attachment is preserved under references/sources; this is its integrated working replacement.</w:t>
      </w:r>
    </w:p>
    <w:p>
      <w:pPr>
        <w:pStyle w:val="Heading1"/>
      </w:pPr>
      <w:r>
        <w:t>Correct the estimator</w:t>
      </w:r>
    </w:p>
    <w:p>
      <w:pPr>
        <w:widowControl/>
      </w:pPr>
      <w:r>
        <w:t>Fit a separate model for each city and overpass, using native ECOSTRESS cells pooled across its eligible 1 km blocks. Block effects are intercepts. Each city-pass has one shared canopy slope; do not fit a block-by-canopy interaction and do not average all cell temperatures into one observation per block.</w:t>
      </w:r>
    </w:p>
    <w:p>
      <w:pPr>
        <w:widowControl/>
      </w:pPr>
      <w:r>
        <w:rPr>
          <w:rFonts w:ascii="Consolas" w:hAnsi="Consolas"/>
          <w:sz w:val="18"/>
        </w:rPr>
        <w:t>LST_K ~ 0 + C(block) + canopy_c + context_covariates_c</w:t>
      </w:r>
    </w:p>
    <w:p>
      <w:pPr>
        <w:widowControl/>
      </w:pPr>
      <w:r>
        <w:rPr>
          <w:rFonts w:ascii="Consolas" w:hAnsi="Consolas"/>
          <w:sz w:val="18"/>
        </w:rPr>
        <w:t>M_W_m2 ~ 0 + C(block) + canopy_c + context_covariates_c</w:t>
      </w:r>
    </w:p>
    <w:p>
      <w:pPr>
        <w:widowControl/>
      </w:pPr>
      <w:r>
        <w:t>Center canopy and context variables within block and pass. Retain impervious, low-vegetation, bare, building, elevation and water-distance context terms and the existing quality controls. Handle constant or rank-deficient terms using a rule frozen before fitting. Albedo and incoming/net radiation remain secondary radiative sensitivities.</w:t>
      </w:r>
    </w:p>
    <w:p>
      <w:pPr>
        <w:pStyle w:val="Heading1"/>
      </w:pPr>
      <w:r>
        <w:t>Replace the support rules</w:t>
      </w:r>
    </w:p>
    <w:p>
      <w:pPr>
        <w:widowControl/>
      </w:pPr>
      <w:r>
        <w:t>Remove the 0.20 per-block canopy-span floor. The later 0.10 per-block sensitivity is historical evidence, not a replacement inclusion rule. A narrow-span block may contribute to a pooled slope. Between-block differences in mean canopy cannot supply the missing within-block identifying variation.</w:t>
      </w:r>
    </w:p>
    <w:p>
      <w:pPr>
        <w:widowControl/>
      </w:pPr>
      <w:r>
        <w:t>For each city-pass calculate Sxx = sum_b sum_i w_i (f_i - mean_b(f))², its normalized variance Sxx/sum(w), and Bvar, the number of blocks with positive within-block variation above a documented numerical tolerance. Also report canopy information remaining after adjustment for the context variables and each block’s share of that information.</w:t>
      </w:r>
    </w:p>
    <w:p>
      <w:pPr>
        <w:widowControl/>
      </w:pPr>
      <w:r>
        <w:t>Set minimum Sxx and Bvar from their observed nonthermal distributions after deduplication and quality screening. Record values and reasoning before the model run. The thresholds remain pending until that nonthermal audit is complete. Remove the old minimum of eight passes per block; use a simulation of the actual independent passes, time coverage and pilot precision to justify sample size.</w:t>
      </w:r>
    </w:p>
    <w:p>
      <w:pPr>
        <w:pStyle w:val="Heading1"/>
      </w:pPr>
      <w:r>
        <w:t>Use Phoenix and a higher-canopy pilot city</w:t>
      </w:r>
    </w:p>
    <w:p>
      <w:pPr>
        <w:widowControl/>
      </w:pPr>
      <w:r>
        <w:t>Retain the five frozen Phoenix orbits 27963, 28024, 28706, 28828 and 28909. Select five equivalent passes in one higher-canopy city, Atlanta or Charlotte, using canopy heterogeneity first and clear-sky afternoon coverage second. Confirm a clearly wider within-block canopy distribution before downloading its thermal data. Record selection without using cooling outcomes. Los Angeles is a post-review expansion city, not the required high-canopy pilot.</w:t>
      </w:r>
    </w:p>
    <w:p>
      <w:pPr>
        <w:widowControl/>
      </w:pPr>
      <w:r>
        <w:t>Keep the frozen 2019–2025 main study period, annual Science TCC product, stable-cell multi-year median canopy amount and year-matched sensitivity. Freeze the selected city’s season and supported time windows before fitting. Check actual time coverage; five passes do not guarantee an estimable 10:30-to-afternoon comparison.</w:t>
      </w:r>
    </w:p>
    <w:p>
      <w:pPr>
        <w:widowControl/>
      </w:pPr>
      <w:r>
        <w:t>Build one unique ground-cell dataset per city-pass. Deduplicate repeated scenes and tile revisions using acquisition identity, grid transform and cell location. At MGRS or projection boundaries compare ground footprints and use a deterministic QA/metadata priority or exclude ambiguous overlap. Do not count the same ground area twice. Record raw and unique cell counts, overlap area, rejected duplicates and unusually dense blocks.</w:t>
      </w:r>
    </w:p>
    <w:p>
      <w:pPr>
        <w:widowControl/>
      </w:pPr>
      <w:r>
        <w:t>Keep LST on native ECOSTRESS cells. Aggregate canopy and continuous context by area-weighted overlap and categorical land cover by area fractions. Verify the actual Rasterio operations with known cases; the library name alone does not establish correct resampling.</w:t>
      </w:r>
    </w:p>
    <w:p>
      <w:pPr>
        <w:pStyle w:val="Heading1"/>
      </w:pPr>
      <w:r>
        <w:t>Run the paired analyses and mixing test</w:t>
      </w:r>
    </w:p>
    <w:p>
      <w:pPr>
        <w:widowControl/>
      </w:pPr>
      <w:r>
        <w:t>Fit the identical model to LST and M = epsilon_WB sigma T_K^4 on matched valid cells. Report signed changes in K and W/m² per 10 percentage points of canopy; label the positive-cooling sign convention separately.</w:t>
      </w:r>
    </w:p>
    <w:p>
      <w:pPr>
        <w:widowControl/>
      </w:pPr>
      <w:r>
        <w:t>Use two supported canopy values 0.10 apart and frozen reference covariates. Average the M predictions, reanchor their difference to Mref = epsilon_ref sigma Tref^4, then take the exact fourth-root difference. Freeze numerical references before effect access. The detailed pilot plan specifies the algorithm and paired bootstrap.</w:t>
      </w:r>
    </w:p>
    <w:p>
      <w:pPr>
        <w:widowControl/>
      </w:pPr>
      <w:r>
        <w:t>Use both cities’ observed canopy, absolute-temperature and emissivity distributions for simulations with a constant tree–background temperature contrast. Report artificial city/time differences with explicit component assumptions and SYNTHETIC_DATA labels. Do not implement eight-class unmixing.</w:t>
      </w:r>
    </w:p>
    <w:p>
      <w:pPr>
        <w:pStyle w:val="Heading1"/>
      </w:pPr>
      <w:r>
        <w:t>Keep precision open and effects sealed</w:t>
      </w:r>
    </w:p>
    <w:p>
      <w:pPr>
        <w:widowControl/>
      </w:pPr>
      <w:r>
        <w:t>Report each pass’s pooled-slope standard error, contributing-block count, within-block canopy information and bootstrap width without endpoints. Preserve registration, common-cell/reweighting and leverage checks. Freeze how pass precision is summarized by city before applying the approximate 0.10 K per 10 percentage points benchmark.</w:t>
      </w:r>
    </w:p>
    <w:p>
      <w:pPr>
        <w:widowControl/>
      </w:pPr>
      <w:r>
        <w:t>If either city meets the criterion, bring the pilot to review. If both fail, report the numbers and stop. Estimates remain sealed through precision review; a recorded release is required for the prespecified scale/time comparison.</w:t>
      </w:r>
    </w:p>
    <w:p>
      <w:pPr>
        <w:pStyle w:val="Heading1"/>
      </w:pPr>
      <w:r>
        <w:t>Preserve both time interpretations</w:t>
      </w:r>
    </w:p>
    <w:p>
      <w:pPr>
        <w:widowControl/>
      </w:pPr>
      <w:r>
        <w:t>The primary time pattern includes the associated solar-geometry change. A separate supported analysis standardizes geometry and season. Freeze a late-afternoon target, the time-model specification and a numerical tolerance before comparing 10:30-to-afternoon changes across LST and temperature-equivalent M.</w:t>
      </w:r>
    </w:p>
    <w:p>
      <w:pPr>
        <w:widowControl/>
      </w:pPr>
      <w:r>
        <w:t>Agreement in direction and discrepancy below tolerance keeps LST as the headline result. Material disagreement or reversal makes M the primary physical analysis and labels LST scale-dependent. The scale tolerance is not automatically the 0.10 K precision benchmark.</w:t>
      </w:r>
    </w:p>
    <w:p>
      <w:pPr>
        <w:pStyle w:val="Heading1"/>
      </w:pPr>
      <w:r>
        <w:t>Standing scope and next review</w:t>
      </w:r>
    </w:p>
    <w:p>
      <w:pPr>
        <w:widowControl/>
      </w:pPr>
      <w:r>
        <w:t>VPD is descriptive only; retain the global paper as observational evidence and cite our own support diagnostics for exclusion from primary claims. Briefly check suitable ≤1 m canopy products for validation, preserving the 30 m multi-city primary product.</w:t>
      </w:r>
    </w:p>
    <w:p>
      <w:pPr>
        <w:widowControl/>
      </w:pPr>
      <w:r>
        <w:t>Keep the old HLS/SWIR hypothesis deferred. Audit the full catalogue and replace the eight-pass minimum with simulation/power. Keep short decisions, checksums, isolation and sealing; set aside new conformance and per-deliverable packages.</w:t>
      </w:r>
    </w:p>
    <w:p>
      <w:pPr>
        <w:widowControl/>
      </w:pPr>
      <w:r>
        <w:t>After reviewed approval, process Phoenix and Los Angeles, plot the pass-level coefficients against local solar time before fitting the frozen curve, then consider eight to twelve further cities selected on nonthermal support. No expansion, unsealing or analysis is executed by this document update.</w:t>
      </w:r>
    </w:p>
    <w:sectPr w:rsidR="00C61BF5" w:rsidRPr="008F6480">
      <w:footerReference w:type="even" r:id="rId7"/>
      <w:footerReference w:type="default" r:id="rId8"/>
      <w:headerReference w:type="default" r:id="rId11"/>
      <w:headerReference w:type="first" r:id="rId12"/>
      <w:headerReference w:type="even" r:id="rId13"/>
      <w:footerReference w:type="first" r:id="rId14"/>
      <w:pgSz w:w="12240" w:h="15840"/>
      <w:pgMar w:top="1037" w:right="1123" w:bottom="936" w:left="11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D48236" w14:textId="77777777" w:rsidR="002527B9" w:rsidRDefault="002527B9">
      <w:pPr>
        <w:spacing w:after="0"/>
      </w:pPr>
      <w:r>
        <w:separator/>
      </w:r>
    </w:p>
  </w:endnote>
  <w:endnote w:type="continuationSeparator" w:id="0">
    <w:p w14:paraId="69607DB7" w14:textId="77777777" w:rsidR="002527B9" w:rsidRDefault="002527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6"/>
      </w:rPr>
      <w:t xml:space="preserve">v6.2  •  Updated 19 September 2026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CD0568" w14:textId="77777777" w:rsidR="002527B9" w:rsidRDefault="002527B9">
      <w:r>
        <w:separator/>
      </w:r>
    </w:p>
  </w:footnote>
  <w:footnote w:type="continuationSeparator" w:id="0">
    <w:p w14:paraId="5D0E0573" w14:textId="77777777" w:rsidR="002527B9" w:rsidRDefault="002527B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7E403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F200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58698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11905920">
    <w:abstractNumId w:val="0"/>
  </w:num>
  <w:num w:numId="2" w16cid:durableId="1519730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8994622">
    <w:abstractNumId w:val="1"/>
  </w:num>
  <w:num w:numId="4" w16cid:durableId="1162740598">
    <w:abstractNumId w:val="1"/>
  </w:num>
  <w:num w:numId="5" w16cid:durableId="228007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98170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BF5"/>
    <w:rsid w:val="0022620B"/>
    <w:rsid w:val="002527B9"/>
    <w:rsid w:val="004E3D87"/>
    <w:rsid w:val="008F6480"/>
    <w:rsid w:val="00C61BF5"/>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26A3F0"/>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10" w:line="252" w:lineRule="auto"/>
    </w:pPr>
    <w:rPr>
      <w:rFonts w:ascii="Calibri" w:hAnsi="Calibri"/>
      <w:color w:val="000000"/>
      <w:sz w:val="21"/>
    </w:rPr>
  </w:style>
  <w:style w:type="paragraph" w:styleId="Heading1">
    <w:name w:val="heading 1"/>
    <w:basedOn w:val="Normal"/>
    <w:next w:val="BodyText"/>
    <w:uiPriority w:val="9"/>
    <w:qFormat/>
    <w:pPr>
      <w:keepNext/>
      <w:keepLines/>
      <w:spacing w:before="200" w:after="110" w:line="252" w:lineRule="auto"/>
      <w:outlineLvl w:val="0"/>
    </w:pPr>
    <w:rPr>
      <w:rFonts w:asciiTheme="majorHAnsi" w:eastAsiaTheme="majorEastAsia" w:hAnsiTheme="majorHAnsi" w:cstheme="majorBidi" w:ascii="Calibri" w:hAnsi="Calibri"/>
      <w:b/>
      <w:bCs/>
      <w:color w:val="000000"/>
      <w:sz w:val="26"/>
      <w:szCs w:val="32"/>
    </w:rPr>
  </w:style>
  <w:style w:type="paragraph" w:styleId="Heading2">
    <w:name w:val="heading 2"/>
    <w:basedOn w:val="Normal"/>
    <w:next w:val="BodyText"/>
    <w:uiPriority w:val="9"/>
    <w:unhideWhenUsed/>
    <w:qFormat/>
    <w:pPr>
      <w:keepNext/>
      <w:keepLines/>
      <w:spacing w:before="200" w:after="110" w:line="252" w:lineRule="auto"/>
      <w:outlineLvl w:val="1"/>
    </w:pPr>
    <w:rPr>
      <w:rFonts w:asciiTheme="majorHAnsi" w:eastAsiaTheme="majorEastAsia" w:hAnsiTheme="majorHAnsi" w:cstheme="majorBidi" w:ascii="Calibri" w:hAnsi="Calibri"/>
      <w:b/>
      <w:bCs/>
      <w:color w:val="000000"/>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110" w:line="252" w:lineRule="auto"/>
      <w:jc w:val="center"/>
    </w:pPr>
    <w:rPr>
      <w:rFonts w:asciiTheme="majorHAnsi" w:eastAsiaTheme="majorEastAsia" w:hAnsiTheme="majorHAnsi" w:cstheme="majorBidi" w:ascii="Calibri" w:hAnsi="Calibri"/>
      <w:b/>
      <w:bCs/>
      <w:color w:val="000000"/>
      <w:sz w:val="42"/>
      <w:szCs w:val="36"/>
    </w:rPr>
  </w:style>
  <w:style w:type="paragraph" w:styleId="Subtitle">
    <w:name w:val="Subtitle"/>
    <w:basedOn w:val="Title"/>
    <w:next w:val="BodyText"/>
    <w:qFormat/>
    <w:pPr>
      <w:spacing w:before="240" w:after="110" w:line="252" w:lineRule="auto"/>
    </w:pPr>
    <w:rPr>
      <w:rFonts w:ascii="Calibri" w:hAnsi="Calibri"/>
      <w:color w:val="000000"/>
      <w:sz w:val="21"/>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8F6480"/>
    <w:pPr>
      <w:tabs>
        <w:tab w:val="center" w:pos="4680"/>
        <w:tab w:val="right" w:pos="9360"/>
      </w:tabs>
      <w:spacing w:after="0"/>
    </w:pPr>
  </w:style>
  <w:style w:type="character" w:customStyle="1" w:styleId="FooterChar">
    <w:name w:val="Footer Char"/>
    <w:basedOn w:val="DefaultParagraphFont"/>
    <w:link w:val="Footer"/>
    <w:rsid w:val="008F6480"/>
  </w:style>
  <w:style w:type="character" w:styleId="PageNumber">
    <w:name w:val="page number"/>
    <w:basedOn w:val="DefaultParagraphFont"/>
    <w:rsid w:val="008F6480"/>
  </w:style>
  <w:style w:type="paragraph" w:styleId="Header">
    <w:name w:val="header"/>
    <w:basedOn w:val="Normal"/>
    <w:link w:val="HeaderChar"/>
    <w:rsid w:val="008F6480"/>
    <w:pPr>
      <w:tabs>
        <w:tab w:val="center" w:pos="4680"/>
        <w:tab w:val="right" w:pos="9360"/>
      </w:tabs>
      <w:spacing w:after="0"/>
    </w:pPr>
  </w:style>
  <w:style w:type="character" w:customStyle="1" w:styleId="HeaderChar">
    <w:name w:val="Header Char"/>
    <w:basedOn w:val="DefaultParagraphFont"/>
    <w:link w:val="Header"/>
    <w:rsid w:val="008F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4706</Words>
  <Characters>26830</Characters>
  <Application>Microsoft Office Word</Application>
  <DocSecurity>0</DocSecurity>
  <Lines>223</Lines>
  <Paragraphs>62</Paragraphs>
  <ScaleCrop>false</ScaleCrop>
  <Company/>
  <LinksUpToDate>false</LinksUpToDate>
  <CharactersWithSpaces>31474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3</cp:revision>
  <dcterms:created xsi:type="dcterms:W3CDTF">2026-08-29T22:33:00Z</dcterms:created>
  <dcterms:modified xsi:type="dcterms:W3CDTF">2026-08-30T00:28:00Z</dcterms:modified>
</cp:coreProperties>
</file>